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widowControl/>
        <w:spacing w:before="480" w:line="1000" w:lineRule="exact"/>
        <w:jc w:val="center"/>
        <w:rPr>
          <w:rFonts w:ascii="黑体" w:hAnsi="黑体" w:eastAsia="黑体" w:cs="黑体"/>
          <w:b/>
          <w:bCs/>
          <w:kern w:val="0"/>
          <w:sz w:val="48"/>
          <w:szCs w:val="48"/>
        </w:rPr>
      </w:pPr>
    </w:p>
    <w:p>
      <w:pPr>
        <w:keepNext/>
        <w:keepLines/>
        <w:widowControl/>
        <w:spacing w:before="480" w:line="1000" w:lineRule="exact"/>
        <w:jc w:val="center"/>
        <w:rPr>
          <w:rFonts w:ascii="黑体" w:hAnsi="黑体" w:eastAsia="黑体" w:cs="黑体"/>
          <w:b/>
          <w:bCs/>
          <w:kern w:val="0"/>
          <w:sz w:val="48"/>
          <w:szCs w:val="48"/>
          <w:lang w:val="zh-CN"/>
        </w:rPr>
      </w:pPr>
      <w:r>
        <w:rPr>
          <w:rFonts w:hint="eastAsia" w:ascii="黑体" w:hAnsi="黑体" w:eastAsia="黑体" w:cs="黑体"/>
          <w:b/>
          <w:bCs/>
          <w:kern w:val="0"/>
          <w:sz w:val="48"/>
          <w:szCs w:val="48"/>
        </w:rPr>
        <w:t>随州市住房和城乡建设局</w:t>
      </w:r>
      <w:r>
        <w:rPr>
          <w:rFonts w:hint="eastAsia" w:ascii="黑体" w:hAnsi="黑体" w:eastAsia="黑体" w:cs="黑体"/>
          <w:b/>
          <w:bCs/>
          <w:kern w:val="0"/>
          <w:sz w:val="48"/>
          <w:szCs w:val="48"/>
          <w:lang w:val="zh-CN"/>
        </w:rPr>
        <w:t>202</w:t>
      </w:r>
      <w:r>
        <w:rPr>
          <w:rFonts w:hint="eastAsia" w:ascii="黑体" w:hAnsi="黑体" w:eastAsia="黑体" w:cs="黑体"/>
          <w:b/>
          <w:bCs/>
          <w:kern w:val="0"/>
          <w:sz w:val="48"/>
          <w:szCs w:val="48"/>
          <w:lang w:val="en-US" w:eastAsia="zh-CN"/>
        </w:rPr>
        <w:t>2</w:t>
      </w:r>
      <w:r>
        <w:rPr>
          <w:rFonts w:hint="eastAsia" w:ascii="黑体" w:hAnsi="黑体" w:eastAsia="黑体" w:cs="黑体"/>
          <w:b/>
          <w:bCs/>
          <w:kern w:val="0"/>
          <w:sz w:val="48"/>
          <w:szCs w:val="48"/>
          <w:lang w:val="zh-CN"/>
        </w:rPr>
        <w:t>年部门整体支出绩效自评报告</w:t>
      </w:r>
    </w:p>
    <w:p>
      <w:pPr>
        <w:jc w:val="center"/>
        <w:rPr>
          <w:rFonts w:ascii="宋体" w:hAnsi="宋体" w:eastAsia="宋体" w:cs="宋体"/>
          <w:sz w:val="24"/>
        </w:rPr>
      </w:pPr>
    </w:p>
    <w:p>
      <w:pPr>
        <w:jc w:val="center"/>
        <w:rPr>
          <w:rFonts w:ascii="宋体" w:hAnsi="宋体" w:eastAsia="宋体" w:cs="宋体"/>
          <w:b/>
          <w:bCs/>
          <w:sz w:val="28"/>
          <w:szCs w:val="28"/>
        </w:rPr>
      </w:pPr>
    </w:p>
    <w:p>
      <w:pPr>
        <w:ind w:left="560" w:firstLine="2700" w:firstLineChars="750"/>
        <w:jc w:val="left"/>
        <w:rPr>
          <w:rFonts w:ascii="宋体" w:hAnsi="宋体" w:eastAsia="宋体" w:cs="宋体"/>
          <w:sz w:val="36"/>
          <w:szCs w:val="36"/>
        </w:rPr>
      </w:pPr>
    </w:p>
    <w:p>
      <w:pPr>
        <w:jc w:val="left"/>
        <w:rPr>
          <w:rFonts w:ascii="宋体" w:hAnsi="宋体" w:eastAsia="宋体" w:cs="宋体"/>
          <w:sz w:val="36"/>
          <w:szCs w:val="36"/>
        </w:rPr>
      </w:pPr>
    </w:p>
    <w:p>
      <w:pPr>
        <w:jc w:val="left"/>
        <w:rPr>
          <w:rFonts w:ascii="宋体" w:hAnsi="宋体" w:eastAsia="宋体" w:cs="宋体"/>
          <w:sz w:val="36"/>
          <w:szCs w:val="36"/>
        </w:rPr>
      </w:pPr>
    </w:p>
    <w:p>
      <w:pPr>
        <w:ind w:left="560" w:firstLine="2700" w:firstLineChars="750"/>
        <w:jc w:val="left"/>
        <w:rPr>
          <w:rFonts w:ascii="宋体" w:hAnsi="宋体" w:eastAsia="宋体" w:cs="宋体"/>
          <w:sz w:val="36"/>
          <w:szCs w:val="36"/>
        </w:rPr>
      </w:pPr>
    </w:p>
    <w:p>
      <w:pPr>
        <w:keepNext w:val="0"/>
        <w:keepLines w:val="0"/>
        <w:pageBreakBefore w:val="0"/>
        <w:widowControl w:val="0"/>
        <w:kinsoku/>
        <w:wordWrap/>
        <w:overflowPunct/>
        <w:topLinePunct w:val="0"/>
        <w:autoSpaceDE/>
        <w:autoSpaceDN/>
        <w:bidi w:val="0"/>
        <w:adjustRightInd w:val="0"/>
        <w:snapToGrid w:val="0"/>
        <w:spacing w:line="420" w:lineRule="auto"/>
        <w:ind w:firstLine="964" w:firstLineChars="300"/>
        <w:textAlignment w:val="auto"/>
        <w:rPr>
          <w:rFonts w:hint="default" w:ascii="宋体" w:hAnsi="宋体" w:eastAsia="宋体" w:cs="宋体"/>
          <w:b/>
          <w:bCs w:val="0"/>
          <w:sz w:val="32"/>
          <w:szCs w:val="32"/>
          <w:u w:val="single"/>
          <w:lang w:val="en-US" w:eastAsia="zh-CN"/>
        </w:rPr>
      </w:pPr>
      <w:r>
        <w:rPr>
          <w:rFonts w:hint="eastAsia" w:ascii="宋体" w:hAnsi="宋体" w:eastAsia="宋体" w:cs="宋体"/>
          <w:b/>
          <w:bCs w:val="0"/>
          <w:sz w:val="32"/>
          <w:szCs w:val="32"/>
        </w:rPr>
        <w:t>项目名称：</w:t>
      </w:r>
      <w:r>
        <w:rPr>
          <w:rFonts w:hint="eastAsia" w:ascii="宋体" w:hAnsi="宋体" w:eastAsia="宋体" w:cs="宋体"/>
          <w:b/>
          <w:bCs w:val="0"/>
          <w:sz w:val="32"/>
          <w:szCs w:val="32"/>
          <w:u w:val="single"/>
          <w:lang w:val="zh-CN"/>
        </w:rPr>
        <w:t>部门整体支出绩效</w:t>
      </w:r>
      <w:r>
        <w:rPr>
          <w:rFonts w:hint="eastAsia" w:ascii="宋体" w:hAnsi="宋体" w:eastAsia="宋体" w:cs="宋体"/>
          <w:b/>
          <w:bCs w:val="0"/>
          <w:sz w:val="32"/>
          <w:szCs w:val="32"/>
          <w:u w:val="single"/>
          <w:lang w:val="zh-CN" w:eastAsia="zh-CN"/>
        </w:rPr>
        <w:t>评价</w:t>
      </w:r>
      <w:r>
        <w:rPr>
          <w:rFonts w:hint="eastAsia" w:ascii="宋体" w:hAnsi="宋体" w:eastAsia="宋体" w:cs="宋体"/>
          <w:b/>
          <w:bCs w:val="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420" w:lineRule="auto"/>
        <w:ind w:right="-256" w:rightChars="-80" w:firstLine="964" w:firstLineChars="300"/>
        <w:jc w:val="left"/>
        <w:textAlignment w:val="auto"/>
        <w:rPr>
          <w:rFonts w:hint="eastAsia" w:ascii="宋体" w:hAnsi="宋体" w:eastAsia="宋体" w:cs="宋体"/>
          <w:b/>
          <w:bCs w:val="0"/>
          <w:sz w:val="32"/>
          <w:szCs w:val="32"/>
          <w:u w:val="single"/>
        </w:rPr>
      </w:pPr>
      <w:r>
        <w:rPr>
          <w:rFonts w:hint="eastAsia" w:ascii="宋体" w:hAnsi="宋体" w:eastAsia="宋体" w:cs="宋体"/>
          <w:b/>
          <w:bCs w:val="0"/>
          <w:sz w:val="32"/>
          <w:szCs w:val="32"/>
        </w:rPr>
        <w:t>项目单位：</w:t>
      </w:r>
      <w:r>
        <w:rPr>
          <w:rFonts w:hint="eastAsia" w:ascii="宋体" w:hAnsi="宋体" w:eastAsia="宋体" w:cs="宋体"/>
          <w:b/>
          <w:bCs w:val="0"/>
          <w:sz w:val="32"/>
          <w:szCs w:val="32"/>
          <w:u w:val="single"/>
        </w:rPr>
        <w:t>随州市住房和城乡建设局</w:t>
      </w:r>
    </w:p>
    <w:p>
      <w:pPr>
        <w:keepNext w:val="0"/>
        <w:keepLines w:val="0"/>
        <w:pageBreakBefore w:val="0"/>
        <w:widowControl w:val="0"/>
        <w:kinsoku/>
        <w:wordWrap/>
        <w:overflowPunct/>
        <w:topLinePunct w:val="0"/>
        <w:autoSpaceDE/>
        <w:autoSpaceDN/>
        <w:bidi w:val="0"/>
        <w:adjustRightInd w:val="0"/>
        <w:snapToGrid w:val="0"/>
        <w:spacing w:line="420" w:lineRule="auto"/>
        <w:ind w:right="-256" w:rightChars="-80" w:firstLine="964" w:firstLineChars="300"/>
        <w:jc w:val="left"/>
        <w:textAlignment w:val="auto"/>
        <w:rPr>
          <w:rFonts w:hint="eastAsia" w:ascii="宋体" w:hAnsi="宋体" w:eastAsia="宋体" w:cs="宋体"/>
          <w:b/>
          <w:bCs w:val="0"/>
          <w:sz w:val="32"/>
          <w:szCs w:val="32"/>
          <w:highlight w:val="none"/>
          <w:u w:val="single"/>
          <w:lang w:val="en-US" w:eastAsia="zh-CN"/>
        </w:rPr>
      </w:pPr>
      <w:r>
        <w:rPr>
          <w:rFonts w:hint="eastAsia" w:ascii="宋体" w:hAnsi="宋体" w:eastAsia="宋体" w:cs="宋体"/>
          <w:b/>
          <w:bCs w:val="0"/>
          <w:sz w:val="32"/>
          <w:szCs w:val="32"/>
        </w:rPr>
        <w:t>主管单位：</w:t>
      </w:r>
      <w:r>
        <w:rPr>
          <w:rFonts w:hint="eastAsia" w:ascii="宋体" w:hAnsi="宋体" w:eastAsia="宋体" w:cs="宋体"/>
          <w:b/>
          <w:bCs w:val="0"/>
          <w:sz w:val="32"/>
          <w:szCs w:val="32"/>
          <w:highlight w:val="none"/>
          <w:u w:val="single"/>
        </w:rPr>
        <w:t>随州市住房和城乡建设局</w:t>
      </w:r>
      <w:r>
        <w:rPr>
          <w:rFonts w:hint="eastAsia" w:ascii="宋体" w:hAnsi="宋体" w:eastAsia="宋体" w:cs="宋体"/>
          <w:b/>
          <w:bCs w:val="0"/>
          <w:sz w:val="32"/>
          <w:szCs w:val="32"/>
          <w:highlight w:val="none"/>
          <w:u w:val="single"/>
          <w:lang w:val="en-US" w:eastAsia="zh-CN"/>
        </w:rPr>
        <w:t xml:space="preserve"> </w:t>
      </w:r>
    </w:p>
    <w:p>
      <w:pPr>
        <w:ind w:firstLine="1285" w:firstLineChars="400"/>
        <w:rPr>
          <w:rFonts w:ascii="宋体" w:hAnsi="宋体" w:eastAsia="宋体" w:cs="宋体"/>
          <w:b/>
          <w:bCs/>
          <w:szCs w:val="32"/>
        </w:rPr>
      </w:pPr>
    </w:p>
    <w:p>
      <w:pPr>
        <w:ind w:firstLine="1285" w:firstLineChars="400"/>
        <w:rPr>
          <w:rFonts w:ascii="宋体" w:hAnsi="宋体" w:eastAsia="宋体" w:cs="宋体"/>
          <w:b/>
          <w:bCs/>
          <w:szCs w:val="32"/>
        </w:rPr>
      </w:pPr>
    </w:p>
    <w:p>
      <w:pPr>
        <w:ind w:firstLine="1285" w:firstLineChars="400"/>
        <w:rPr>
          <w:rFonts w:ascii="宋体" w:hAnsi="宋体" w:eastAsia="宋体" w:cs="宋体"/>
          <w:b/>
          <w:bCs/>
          <w:szCs w:val="32"/>
        </w:rPr>
      </w:pPr>
    </w:p>
    <w:p>
      <w:pPr>
        <w:ind w:firstLine="964" w:firstLineChars="300"/>
        <w:jc w:val="center"/>
        <w:rPr>
          <w:rFonts w:ascii="宋体" w:hAnsi="宋体" w:cs="宋体"/>
          <w:b/>
          <w:bCs/>
          <w:szCs w:val="32"/>
        </w:rPr>
      </w:pPr>
    </w:p>
    <w:p>
      <w:pPr>
        <w:jc w:val="center"/>
        <w:rPr>
          <w:rFonts w:ascii="宋体" w:hAnsi="宋体" w:eastAsia="宋体" w:cs="宋体"/>
          <w:b/>
          <w:bCs/>
          <w:szCs w:val="32"/>
        </w:rPr>
      </w:pPr>
      <w:r>
        <w:rPr>
          <w:rFonts w:hint="eastAsia" w:ascii="宋体" w:hAnsi="宋体" w:eastAsia="宋体" w:cs="宋体"/>
          <w:b/>
          <w:bCs/>
          <w:szCs w:val="32"/>
        </w:rPr>
        <w:t>二〇二</w:t>
      </w:r>
      <w:r>
        <w:rPr>
          <w:rFonts w:hint="eastAsia" w:ascii="宋体" w:hAnsi="宋体" w:eastAsia="宋体" w:cs="宋体"/>
          <w:b/>
          <w:bCs/>
          <w:szCs w:val="32"/>
          <w:lang w:val="en-US" w:eastAsia="zh-CN"/>
        </w:rPr>
        <w:t>三</w:t>
      </w:r>
      <w:r>
        <w:rPr>
          <w:rFonts w:hint="eastAsia" w:ascii="宋体" w:hAnsi="宋体" w:eastAsia="宋体" w:cs="宋体"/>
          <w:b/>
          <w:bCs/>
          <w:szCs w:val="32"/>
        </w:rPr>
        <w:t>年四月</w:t>
      </w:r>
    </w:p>
    <w:p>
      <w:pPr>
        <w:jc w:val="center"/>
        <w:rPr>
          <w:rFonts w:ascii="宋体" w:hAnsi="宋体" w:eastAsia="宋体" w:cs="宋体"/>
          <w:b/>
          <w:bCs/>
          <w:sz w:val="28"/>
          <w:szCs w:val="28"/>
        </w:rPr>
      </w:pPr>
    </w:p>
    <w:p>
      <w:pPr>
        <w:jc w:val="center"/>
        <w:rPr>
          <w:rFonts w:ascii="宋体" w:hAnsi="宋体" w:eastAsia="宋体" w:cs="宋体"/>
          <w:b/>
          <w:bCs/>
          <w:sz w:val="28"/>
          <w:szCs w:val="28"/>
        </w:rPr>
      </w:pPr>
    </w:p>
    <w:p>
      <w:pPr>
        <w:adjustRightInd w:val="0"/>
        <w:snapToGrid w:val="0"/>
        <w:spacing w:line="420" w:lineRule="auto"/>
        <w:jc w:val="center"/>
        <w:rPr>
          <w:rFonts w:ascii="宋体" w:hAnsi="宋体" w:eastAsia="宋体" w:cs="宋体"/>
          <w:b/>
          <w:sz w:val="44"/>
          <w:szCs w:val="44"/>
        </w:rPr>
      </w:pPr>
      <w:r>
        <w:rPr>
          <w:rFonts w:hint="eastAsia" w:ascii="宋体" w:hAnsi="宋体" w:eastAsia="宋体" w:cs="宋体"/>
          <w:b/>
          <w:sz w:val="44"/>
          <w:szCs w:val="44"/>
        </w:rPr>
        <w:t>随州市住房和城乡建设局202</w:t>
      </w:r>
      <w:r>
        <w:rPr>
          <w:rFonts w:hint="eastAsia" w:ascii="宋体" w:hAnsi="宋体" w:eastAsia="宋体" w:cs="宋体"/>
          <w:b/>
          <w:sz w:val="44"/>
          <w:szCs w:val="44"/>
          <w:lang w:val="en-US" w:eastAsia="zh-CN"/>
        </w:rPr>
        <w:t>2</w:t>
      </w:r>
      <w:r>
        <w:rPr>
          <w:rFonts w:hint="eastAsia" w:ascii="宋体" w:hAnsi="宋体" w:eastAsia="宋体" w:cs="宋体"/>
          <w:b/>
          <w:sz w:val="44"/>
          <w:szCs w:val="44"/>
        </w:rPr>
        <w:t>年度部门整体支出绩效自评报告</w:t>
      </w:r>
    </w:p>
    <w:p>
      <w:pPr>
        <w:ind w:firstLine="640" w:firstLineChars="200"/>
        <w:rPr>
          <w:rFonts w:ascii="宋体" w:hAnsi="宋体" w:eastAsia="宋体"/>
          <w:szCs w:val="32"/>
        </w:rPr>
      </w:pPr>
    </w:p>
    <w:p>
      <w:pPr>
        <w:adjustRightInd w:val="0"/>
        <w:snapToGrid w:val="0"/>
        <w:spacing w:line="396" w:lineRule="auto"/>
        <w:ind w:firstLine="560" w:firstLineChars="200"/>
        <w:rPr>
          <w:rFonts w:ascii="宋体" w:hAnsi="宋体" w:eastAsia="宋体"/>
          <w:sz w:val="28"/>
          <w:szCs w:val="28"/>
        </w:rPr>
      </w:pPr>
      <w:r>
        <w:rPr>
          <w:rFonts w:hint="eastAsia" w:ascii="宋体" w:hAnsi="宋体" w:eastAsia="宋体"/>
          <w:sz w:val="28"/>
          <w:szCs w:val="28"/>
        </w:rPr>
        <w:t>根据市财政局《关于开展</w:t>
      </w:r>
      <w:r>
        <w:rPr>
          <w:rFonts w:hint="eastAsia" w:ascii="宋体" w:hAnsi="宋体" w:eastAsia="宋体"/>
          <w:sz w:val="28"/>
          <w:szCs w:val="28"/>
          <w:lang w:eastAsia="zh-CN"/>
        </w:rPr>
        <w:t>2022年</w:t>
      </w:r>
      <w:r>
        <w:rPr>
          <w:rFonts w:hint="eastAsia" w:ascii="宋体" w:hAnsi="宋体" w:eastAsia="宋体"/>
          <w:sz w:val="28"/>
          <w:szCs w:val="28"/>
        </w:rPr>
        <w:t>度市财政支出绩效</w:t>
      </w:r>
      <w:r>
        <w:rPr>
          <w:rFonts w:hint="eastAsia" w:ascii="宋体" w:hAnsi="宋体" w:eastAsia="宋体"/>
          <w:sz w:val="28"/>
          <w:szCs w:val="28"/>
          <w:lang w:val="en-US" w:eastAsia="zh-CN"/>
        </w:rPr>
        <w:t>目标绩效评价工作</w:t>
      </w:r>
      <w:r>
        <w:rPr>
          <w:rFonts w:hint="eastAsia" w:ascii="宋体" w:hAnsi="宋体" w:eastAsia="宋体"/>
          <w:sz w:val="28"/>
          <w:szCs w:val="28"/>
        </w:rPr>
        <w:t>的通知》（随财函【202</w:t>
      </w:r>
      <w:r>
        <w:rPr>
          <w:rFonts w:hint="eastAsia" w:ascii="宋体" w:hAnsi="宋体" w:eastAsia="宋体"/>
          <w:sz w:val="28"/>
          <w:szCs w:val="28"/>
          <w:lang w:val="en-US" w:eastAsia="zh-CN"/>
        </w:rPr>
        <w:t>3</w:t>
      </w:r>
      <w:r>
        <w:rPr>
          <w:rFonts w:hint="eastAsia" w:ascii="宋体" w:hAnsi="宋体" w:eastAsia="宋体"/>
          <w:sz w:val="28"/>
          <w:szCs w:val="28"/>
        </w:rPr>
        <w:t>】</w:t>
      </w:r>
      <w:r>
        <w:rPr>
          <w:rFonts w:hint="eastAsia" w:ascii="宋体" w:hAnsi="宋体" w:eastAsia="宋体"/>
          <w:sz w:val="28"/>
          <w:szCs w:val="28"/>
          <w:lang w:val="en-US" w:eastAsia="zh-CN"/>
        </w:rPr>
        <w:t>29</w:t>
      </w:r>
      <w:r>
        <w:rPr>
          <w:rFonts w:hint="eastAsia" w:ascii="宋体" w:hAnsi="宋体" w:eastAsia="宋体"/>
          <w:sz w:val="28"/>
          <w:szCs w:val="28"/>
        </w:rPr>
        <w:t>号），随州市住房和城乡建设局根据工作职能，结合单位整体支出的实际情况，在财政局的指导下，严格按照预算绩效管理的规定，对</w:t>
      </w:r>
      <w:r>
        <w:rPr>
          <w:rFonts w:hint="eastAsia" w:ascii="宋体" w:hAnsi="宋体" w:eastAsia="宋体"/>
          <w:sz w:val="28"/>
          <w:szCs w:val="28"/>
          <w:lang w:eastAsia="zh-CN"/>
        </w:rPr>
        <w:t>2022年</w:t>
      </w:r>
      <w:r>
        <w:rPr>
          <w:rFonts w:hint="eastAsia" w:ascii="宋体" w:hAnsi="宋体" w:eastAsia="宋体"/>
          <w:sz w:val="28"/>
          <w:szCs w:val="28"/>
        </w:rPr>
        <w:t>度随州市住房和城乡建设局整体支出进行了认真自评,现将有关情况报告如下：</w:t>
      </w:r>
    </w:p>
    <w:p>
      <w:pPr>
        <w:adjustRightInd w:val="0"/>
        <w:snapToGrid w:val="0"/>
        <w:spacing w:line="396" w:lineRule="auto"/>
        <w:ind w:firstLine="562" w:firstLineChars="200"/>
        <w:rPr>
          <w:rFonts w:ascii="宋体" w:hAnsi="宋体" w:eastAsia="宋体"/>
          <w:b/>
          <w:sz w:val="28"/>
          <w:szCs w:val="28"/>
        </w:rPr>
      </w:pPr>
      <w:r>
        <w:rPr>
          <w:rFonts w:ascii="宋体" w:hAnsi="宋体" w:eastAsia="宋体"/>
          <w:b/>
          <w:sz w:val="28"/>
          <w:szCs w:val="28"/>
        </w:rPr>
        <w:t>一、自评结论</w:t>
      </w:r>
    </w:p>
    <w:p>
      <w:pPr>
        <w:adjustRightInd w:val="0"/>
        <w:snapToGrid w:val="0"/>
        <w:spacing w:line="396" w:lineRule="auto"/>
        <w:ind w:firstLine="560" w:firstLineChars="200"/>
        <w:rPr>
          <w:rFonts w:ascii="宋体" w:hAnsi="宋体" w:eastAsia="宋体"/>
          <w:sz w:val="28"/>
          <w:szCs w:val="28"/>
        </w:rPr>
      </w:pPr>
      <w:r>
        <w:rPr>
          <w:rFonts w:ascii="宋体" w:hAnsi="宋体" w:eastAsia="宋体"/>
          <w:sz w:val="28"/>
          <w:szCs w:val="28"/>
        </w:rPr>
        <w:t>（一）部门整体绩效自评得分</w:t>
      </w:r>
      <w:r>
        <w:rPr>
          <w:rFonts w:hint="eastAsia" w:ascii="宋体" w:hAnsi="宋体" w:eastAsia="宋体"/>
          <w:sz w:val="28"/>
          <w:szCs w:val="28"/>
        </w:rPr>
        <w:t>：</w:t>
      </w:r>
      <w:r>
        <w:rPr>
          <w:rFonts w:hint="eastAsia" w:ascii="宋体" w:hAnsi="宋体" w:eastAsia="宋体"/>
          <w:sz w:val="28"/>
          <w:szCs w:val="28"/>
          <w:lang w:val="en-US" w:eastAsia="zh-CN"/>
        </w:rPr>
        <w:t>97.7</w:t>
      </w:r>
      <w:r>
        <w:rPr>
          <w:rFonts w:hint="eastAsia" w:ascii="宋体" w:hAnsi="宋体" w:eastAsia="宋体"/>
          <w:sz w:val="28"/>
          <w:szCs w:val="28"/>
        </w:rPr>
        <w:t>分</w:t>
      </w:r>
    </w:p>
    <w:p>
      <w:pPr>
        <w:adjustRightInd w:val="0"/>
        <w:snapToGrid w:val="0"/>
        <w:spacing w:line="396" w:lineRule="auto"/>
        <w:ind w:firstLine="560" w:firstLineChars="200"/>
        <w:rPr>
          <w:rFonts w:ascii="宋体" w:hAnsi="宋体" w:eastAsia="宋体"/>
          <w:sz w:val="28"/>
          <w:szCs w:val="28"/>
        </w:rPr>
      </w:pPr>
      <w:r>
        <w:rPr>
          <w:rFonts w:ascii="宋体" w:hAnsi="宋体" w:eastAsia="宋体"/>
          <w:sz w:val="28"/>
          <w:szCs w:val="28"/>
        </w:rPr>
        <w:t>（二）部门整体绩效目标完成情况</w:t>
      </w:r>
    </w:p>
    <w:p>
      <w:pPr>
        <w:adjustRightInd w:val="0"/>
        <w:snapToGrid w:val="0"/>
        <w:spacing w:line="396" w:lineRule="auto"/>
        <w:ind w:firstLine="560" w:firstLineChars="200"/>
        <w:rPr>
          <w:rFonts w:ascii="宋体" w:hAnsi="宋体" w:eastAsia="宋体"/>
          <w:sz w:val="28"/>
          <w:szCs w:val="28"/>
        </w:rPr>
      </w:pPr>
      <w:r>
        <w:rPr>
          <w:rFonts w:ascii="宋体" w:hAnsi="宋体" w:eastAsia="宋体"/>
          <w:sz w:val="28"/>
          <w:szCs w:val="28"/>
        </w:rPr>
        <w:t>1</w:t>
      </w:r>
      <w:r>
        <w:rPr>
          <w:rFonts w:hint="eastAsia" w:ascii="宋体" w:hAnsi="宋体" w:eastAsia="宋体"/>
          <w:sz w:val="28"/>
          <w:szCs w:val="28"/>
        </w:rPr>
        <w:t>、</w:t>
      </w:r>
      <w:r>
        <w:rPr>
          <w:rFonts w:hint="eastAsia" w:ascii="宋体" w:hAnsi="宋体" w:eastAsia="宋体" w:cs="仿宋"/>
          <w:sz w:val="28"/>
          <w:szCs w:val="28"/>
        </w:rPr>
        <w:t>预算</w:t>
      </w:r>
      <w:r>
        <w:rPr>
          <w:rFonts w:ascii="宋体" w:hAnsi="宋体" w:eastAsia="宋体" w:cs="仿宋"/>
          <w:sz w:val="28"/>
          <w:szCs w:val="28"/>
        </w:rPr>
        <w:t>执行率情况</w:t>
      </w:r>
      <w:r>
        <w:rPr>
          <w:rFonts w:hint="eastAsia" w:ascii="宋体" w:hAnsi="宋体" w:eastAsia="宋体"/>
          <w:sz w:val="28"/>
          <w:szCs w:val="28"/>
        </w:rPr>
        <w:t>。</w:t>
      </w:r>
      <w:r>
        <w:rPr>
          <w:rFonts w:hint="eastAsia" w:ascii="宋体" w:hAnsi="宋体" w:eastAsia="宋体"/>
          <w:sz w:val="28"/>
          <w:szCs w:val="28"/>
          <w:lang w:eastAsia="zh-CN"/>
        </w:rPr>
        <w:t>2022年</w:t>
      </w:r>
      <w:r>
        <w:rPr>
          <w:rFonts w:hint="eastAsia" w:ascii="宋体" w:hAnsi="宋体" w:eastAsia="宋体"/>
          <w:sz w:val="28"/>
          <w:szCs w:val="28"/>
        </w:rPr>
        <w:t>部门整体预算支出总额</w:t>
      </w:r>
      <w:r>
        <w:rPr>
          <w:rFonts w:hint="eastAsia" w:ascii="宋体" w:hAnsi="宋体" w:eastAsia="宋体"/>
          <w:sz w:val="28"/>
          <w:szCs w:val="28"/>
          <w:lang w:val="en-US" w:eastAsia="zh-CN"/>
        </w:rPr>
        <w:t>5271.30</w:t>
      </w:r>
      <w:r>
        <w:rPr>
          <w:rFonts w:hint="eastAsia" w:ascii="宋体" w:hAnsi="宋体" w:eastAsia="宋体"/>
          <w:sz w:val="28"/>
          <w:szCs w:val="28"/>
        </w:rPr>
        <w:t>万元，实际支出总额</w:t>
      </w:r>
      <w:r>
        <w:rPr>
          <w:rFonts w:hint="eastAsia" w:ascii="宋体" w:hAnsi="宋体" w:eastAsia="宋体"/>
          <w:sz w:val="28"/>
          <w:szCs w:val="28"/>
          <w:lang w:val="en-US" w:eastAsia="zh-CN"/>
        </w:rPr>
        <w:t>5265.30</w:t>
      </w:r>
      <w:r>
        <w:rPr>
          <w:rFonts w:hint="eastAsia" w:ascii="宋体" w:hAnsi="宋体" w:eastAsia="宋体"/>
          <w:sz w:val="28"/>
          <w:szCs w:val="28"/>
        </w:rPr>
        <w:t>万元，预算执行率</w:t>
      </w:r>
      <w:r>
        <w:rPr>
          <w:rFonts w:hint="eastAsia" w:ascii="宋体" w:hAnsi="宋体" w:eastAsia="宋体"/>
          <w:sz w:val="28"/>
          <w:szCs w:val="28"/>
          <w:lang w:val="en-US" w:eastAsia="zh-CN"/>
        </w:rPr>
        <w:t>99.89</w:t>
      </w:r>
      <w:r>
        <w:rPr>
          <w:rFonts w:hint="eastAsia" w:ascii="宋体" w:hAnsi="宋体" w:eastAsia="宋体"/>
          <w:sz w:val="28"/>
          <w:szCs w:val="28"/>
        </w:rPr>
        <w:t>%。</w:t>
      </w:r>
    </w:p>
    <w:p>
      <w:pPr>
        <w:adjustRightInd w:val="0"/>
        <w:snapToGrid w:val="0"/>
        <w:spacing w:line="396" w:lineRule="auto"/>
        <w:ind w:firstLine="560" w:firstLineChars="200"/>
        <w:rPr>
          <w:rFonts w:ascii="宋体" w:hAnsi="宋体" w:eastAsia="宋体"/>
          <w:sz w:val="28"/>
          <w:szCs w:val="28"/>
        </w:rPr>
      </w:pPr>
      <w:r>
        <w:rPr>
          <w:rFonts w:ascii="宋体" w:hAnsi="宋体" w:eastAsia="宋体"/>
          <w:sz w:val="28"/>
          <w:szCs w:val="28"/>
        </w:rPr>
        <w:t>2</w:t>
      </w:r>
      <w:r>
        <w:rPr>
          <w:rFonts w:hint="eastAsia" w:ascii="宋体" w:hAnsi="宋体" w:eastAsia="宋体"/>
          <w:sz w:val="28"/>
          <w:szCs w:val="28"/>
        </w:rPr>
        <w:t>、部门</w:t>
      </w:r>
      <w:r>
        <w:rPr>
          <w:rFonts w:ascii="宋体" w:hAnsi="宋体" w:eastAsia="宋体"/>
          <w:sz w:val="28"/>
          <w:szCs w:val="28"/>
        </w:rPr>
        <w:t>绩效</w:t>
      </w:r>
      <w:r>
        <w:rPr>
          <w:rFonts w:hint="eastAsia" w:ascii="宋体" w:hAnsi="宋体" w:eastAsia="宋体"/>
          <w:sz w:val="28"/>
          <w:szCs w:val="28"/>
        </w:rPr>
        <w:t>目标：</w:t>
      </w:r>
      <w:r>
        <w:rPr>
          <w:rFonts w:hint="eastAsia" w:ascii="宋体" w:hAnsi="宋体" w:eastAsia="宋体"/>
          <w:bCs/>
          <w:kern w:val="0"/>
          <w:sz w:val="28"/>
          <w:szCs w:val="28"/>
        </w:rPr>
        <w:t>扩大保障性住房供给，深化“红色物业”创建，提升物业服务水平。积极稳控房地产业，确保房地产业平稳健康发展。加大城市污水管网改造和配套建设力度，抓好乡镇生活污水处理设施营运。保障城市供水和燃气安全，建立完善厂网运行规章制度，形成规范完整的运营管理体系。持续深化工程项目审批和政务服务改革，提升住建领域信息化、智能化水平。</w:t>
      </w:r>
      <w:bookmarkStart w:id="0" w:name="_GoBack"/>
      <w:bookmarkEnd w:id="0"/>
    </w:p>
    <w:p>
      <w:pPr>
        <w:adjustRightInd w:val="0"/>
        <w:snapToGrid w:val="0"/>
        <w:spacing w:line="396" w:lineRule="auto"/>
        <w:ind w:firstLine="560" w:firstLineChars="200"/>
        <w:rPr>
          <w:rFonts w:ascii="宋体" w:hAnsi="宋体" w:eastAsia="宋体" w:cs="仿宋"/>
          <w:sz w:val="28"/>
          <w:szCs w:val="28"/>
        </w:rPr>
      </w:pPr>
      <w:r>
        <w:rPr>
          <w:rFonts w:hint="eastAsia" w:ascii="宋体" w:hAnsi="宋体" w:eastAsia="宋体" w:cs="仿宋"/>
          <w:sz w:val="28"/>
          <w:szCs w:val="28"/>
        </w:rPr>
        <w:fldChar w:fldCharType="begin"/>
      </w:r>
      <w:r>
        <w:rPr>
          <w:rFonts w:hint="eastAsia" w:ascii="宋体" w:hAnsi="宋体" w:eastAsia="宋体" w:cs="仿宋"/>
          <w:sz w:val="28"/>
          <w:szCs w:val="28"/>
        </w:rPr>
        <w:instrText xml:space="preserve"> = 1 \* GB3 \* MERGEFORMAT </w:instrText>
      </w:r>
      <w:r>
        <w:rPr>
          <w:rFonts w:hint="eastAsia" w:ascii="宋体" w:hAnsi="宋体" w:eastAsia="宋体" w:cs="仿宋"/>
          <w:sz w:val="28"/>
          <w:szCs w:val="28"/>
        </w:rPr>
        <w:fldChar w:fldCharType="separate"/>
      </w:r>
      <w:r>
        <w:rPr>
          <w:sz w:val="28"/>
          <w:szCs w:val="28"/>
        </w:rPr>
        <w:t>①</w:t>
      </w:r>
      <w:r>
        <w:rPr>
          <w:rFonts w:hint="eastAsia" w:ascii="宋体" w:hAnsi="宋体" w:eastAsia="宋体" w:cs="仿宋"/>
          <w:sz w:val="28"/>
          <w:szCs w:val="28"/>
        </w:rPr>
        <w:fldChar w:fldCharType="end"/>
      </w:r>
      <w:r>
        <w:rPr>
          <w:rFonts w:hint="eastAsia" w:ascii="宋体" w:hAnsi="宋体" w:eastAsia="宋体" w:cs="仿宋"/>
          <w:sz w:val="28"/>
          <w:szCs w:val="28"/>
        </w:rPr>
        <w:t>完成的绩效指标</w:t>
      </w:r>
    </w:p>
    <w:p>
      <w:pPr>
        <w:numPr>
          <w:ilvl w:val="0"/>
          <w:numId w:val="1"/>
        </w:numPr>
        <w:adjustRightInd w:val="0"/>
        <w:snapToGrid w:val="0"/>
        <w:spacing w:line="396" w:lineRule="auto"/>
        <w:ind w:firstLine="560" w:firstLineChars="200"/>
        <w:rPr>
          <w:rFonts w:hint="eastAsia" w:ascii="宋体" w:hAnsi="宋体" w:eastAsia="宋体" w:cs="仿宋"/>
          <w:sz w:val="28"/>
          <w:szCs w:val="28"/>
        </w:rPr>
      </w:pPr>
      <w:r>
        <w:rPr>
          <w:rFonts w:hint="eastAsia" w:ascii="宋体" w:hAnsi="宋体" w:eastAsia="宋体" w:cs="仿宋"/>
          <w:sz w:val="28"/>
          <w:szCs w:val="28"/>
        </w:rPr>
        <w:t>突出重点项目建设硬支撑，加快推动城市能级提升。城市重点项目建设快速推进。面对疫情、资金短缺等不利影响，充分发挥市重点项目建设协调联动领导小组办公室统筹协调作用，坚持“月调度、季通报”，协调部门广辟资金来源、联动攻坚难点问题，《神韵随州补短板品质提升三年行动（2020-2022）》圆满收官，累计完成项目155个、投资300余亿元；2022年确定的126个城市重点项目新开工84个，星光大道、编钟学校等31个投入使用，住建部门争取项目资金3.5亿元，城东应急水源工程和污水、燃气等管网改造项目快速推进，市住建局荣获全市2022年项目建设先进单位。城市品牌创建加快推进。坚持节水城市、海绵城市创建齐发力，省级节水城市顺利通过验收，达到国家评选要求；海绵城市示范城市取得国家申报资格。高标准谋划花园城市项目。围绕市委市政府花园城市建设目标，精心谋划了《中心城区花园城市建设三年行动实施方案（2023-2025年）》，计划总投资528.8亿元，实施项目177项，明确了未来城市提能级的方向。</w:t>
      </w:r>
    </w:p>
    <w:p>
      <w:pPr>
        <w:numPr>
          <w:ilvl w:val="0"/>
          <w:numId w:val="1"/>
        </w:numPr>
        <w:adjustRightInd w:val="0"/>
        <w:snapToGrid w:val="0"/>
        <w:spacing w:line="396" w:lineRule="auto"/>
        <w:ind w:left="0" w:leftChars="0" w:firstLine="560" w:firstLineChars="200"/>
        <w:rPr>
          <w:rFonts w:hint="eastAsia" w:ascii="宋体" w:hAnsi="宋体" w:eastAsia="宋体" w:cs="仿宋"/>
          <w:sz w:val="28"/>
          <w:szCs w:val="28"/>
          <w:lang w:val="en-US" w:eastAsia="zh-CN"/>
        </w:rPr>
      </w:pPr>
      <w:r>
        <w:rPr>
          <w:rFonts w:hint="eastAsia" w:ascii="宋体" w:hAnsi="宋体" w:eastAsia="宋体" w:cs="仿宋"/>
          <w:sz w:val="28"/>
          <w:szCs w:val="28"/>
        </w:rPr>
        <w:t>坚持以人民为中心，住建领域民生实事落实有力。城市更新持续深入。全年改造老旧小区159个，三年累计改造433个、惠及群众近6万人；老旧小区九大片区改造道路34条，累计完成110余条；既有住宅加装电梯102部；历史文化名城保护、地下综合管廊建设和城建档案收集等工作取得实效；草甸子街历史文化街区改造市区一体推进、攻坚突破，完成方案设计，征收698户，即将启动保护建设；老火车站改造完成前期调查摸底、资金测算等任务，铁路部门批准后全面启动实施。红色物业创建拓面提质。“红色物业”示范小区创建100个，清理移交公共服务用房9.8万㎡，“红色驿站”建设有力推进，党建引领基层治理成效显著；深入实施物业服务收费信息不透明问题专项整治，会同市纪委及相关部门开展联合行动，立案查处企业10家，清退违规收费12万余元。保障住房工作扎实有力。认真贯彻省厅1号文件，及时出台工作方案及相关配套措施，筹集房源1524套，摇号分配649套，超额完成省定目标，各县市区试点工作也全面推开，解决基本公共服务人员住房困难取得初步成效；公租房配租553套，租赁补贴1144户，占省定目标任务148%，出台公租房租金减免暂行规定，廉租房管理信息系统升级增效，实现申请“一事联办”、端口进社区等便民功能，公租房运营管理水平得到新提升；改造农村危房638户，超年度任务28%。全年57件人大、政协议提案高质量完成；住建领域创文创卫、城乡环境大提质行动工作任务有效落实。</w:t>
      </w:r>
      <w:r>
        <w:rPr>
          <w:rFonts w:hint="eastAsia" w:ascii="宋体" w:hAnsi="宋体" w:eastAsia="宋体" w:cs="仿宋"/>
          <w:sz w:val="28"/>
          <w:szCs w:val="28"/>
          <w:lang w:val="en-US" w:eastAsia="zh-CN"/>
        </w:rPr>
        <w:t xml:space="preserve">      </w:t>
      </w:r>
    </w:p>
    <w:p>
      <w:pPr>
        <w:adjustRightInd w:val="0"/>
        <w:snapToGrid w:val="0"/>
        <w:spacing w:line="396" w:lineRule="auto"/>
        <w:ind w:firstLine="560" w:firstLineChars="200"/>
        <w:rPr>
          <w:rFonts w:hint="eastAsia" w:ascii="宋体" w:hAnsi="宋体" w:eastAsia="宋体" w:cs="仿宋"/>
          <w:sz w:val="28"/>
          <w:szCs w:val="28"/>
        </w:rPr>
      </w:pPr>
      <w:r>
        <w:rPr>
          <w:rFonts w:hint="eastAsia" w:ascii="宋体" w:hAnsi="宋体" w:eastAsia="宋体" w:cs="仿宋"/>
          <w:sz w:val="28"/>
          <w:szCs w:val="28"/>
          <w:lang w:val="en-US" w:eastAsia="zh-CN"/>
        </w:rPr>
        <w:t>3、</w:t>
      </w:r>
      <w:r>
        <w:rPr>
          <w:rFonts w:hint="eastAsia" w:ascii="宋体" w:hAnsi="宋体" w:eastAsia="宋体" w:cs="仿宋"/>
          <w:sz w:val="28"/>
          <w:szCs w:val="28"/>
        </w:rPr>
        <w:t>践行绿色低碳理念，城市生态环境显著改善。加强城市水生态保护。充分聚焦第二轮中央环保督察反馈问题整改，启动地下市政基础设施普查，系统化排查市政排水管网870余公里，对排查混接、错接及缺陷管网进行整改修复；推进老旧管网更新改造和城南片区雨污管网和污水处理厂新建，消除城市污水收集空白区，落实黑臭水体长效管护机制，加强城市生活污水处理厂网运行监管，污水集中收集率达64%；100吨/日的污泥无害化处理厂正式建成投入运营，污泥全部无害化处理。建筑节能与绿色建筑成效显著。全年新建节能建筑190万㎡，绿色建筑180万㎡，分别占省定目标任务173%、236%，三年累计新建节能建筑803万㎡、绿色建筑461万㎡；装配式建筑基地建成投产、实现破题，开展预拌混凝土（砂浆）行业整治，行业监管获得省厅通报肯定，建筑节能与绿色建筑工作连续3年走在全省前列。加强工地扬尘治理。实施PM2.5、PM10动态监管，严控建筑工地扬尘，有力保障城市天气优良率。</w:t>
      </w:r>
    </w:p>
    <w:p>
      <w:pPr>
        <w:adjustRightInd w:val="0"/>
        <w:snapToGrid w:val="0"/>
        <w:spacing w:line="396" w:lineRule="auto"/>
        <w:ind w:firstLine="560" w:firstLineChars="200"/>
        <w:rPr>
          <w:rFonts w:ascii="宋体" w:hAnsi="宋体" w:eastAsia="宋体" w:cs="仿宋"/>
          <w:sz w:val="28"/>
          <w:szCs w:val="28"/>
        </w:rPr>
      </w:pPr>
      <w:r>
        <w:rPr>
          <w:rFonts w:hint="eastAsia" w:ascii="宋体" w:hAnsi="宋体" w:eastAsia="宋体" w:cs="仿宋"/>
          <w:sz w:val="28"/>
          <w:szCs w:val="28"/>
        </w:rPr>
        <w:t>4、</w:t>
      </w:r>
      <w:r>
        <w:rPr>
          <w:rFonts w:hint="eastAsia" w:ascii="宋体" w:hAnsi="宋体" w:eastAsia="宋体" w:cs="仿宋"/>
          <w:bCs/>
          <w:sz w:val="28"/>
          <w:szCs w:val="28"/>
        </w:rPr>
        <w:t>坚持稳中求进，产业发展成效明显。房地产市场企稳回暖。坚持用好用活政策“工具箱”，出台促进房地产市场平稳健康发展实施意见11条硬措施，加强“政银企”联动，打好“组合拳”，举办两次房地产交易会，随县、广水市住建局也纷纷出台居民购房、房票安置等奖补激励措施，有力推动市场恢复、销售回暖。全年房地产完成投资73亿元，四季度环比增长5.24%；新建商品房销售面积110万㎡，同比下降8.6%，回归幅度居全省第二。“保交楼”风险楼盘化解有序推进。紧紧围绕“保交楼、保民生、保稳定”目标，组建4个工作专班，分别包保负责6个风险楼盘，坚持“一项一策”“日督办、周调度”，一手抓风险楼盘化解，千方百计筹措资金，协调各方搁置争议复工建设；一手抓信访维稳，做好购房群众解释沟通和情绪疏导工作，没有发生越级上访事件，全年提供可交付房屋3266套，超额完成省定目标任务。建筑业发展稳步提升。召开建筑业高质量发展座谈会，针对本地企业强强联合、招投标平台改进等问题，赴外地考察学习，制定应对措施，努力提高本地企业市场竞争力和抗风险能力，全年帮扶10家企业晋升一级资质，实现建筑业产值120亿元，同比增长4.4%，在逆势中实现正增长。</w:t>
      </w:r>
    </w:p>
    <w:p>
      <w:pPr>
        <w:adjustRightInd w:val="0"/>
        <w:snapToGrid w:val="0"/>
        <w:spacing w:line="396" w:lineRule="auto"/>
        <w:ind w:firstLine="560" w:firstLineChars="200"/>
        <w:rPr>
          <w:rFonts w:hint="eastAsia" w:ascii="宋体" w:hAnsi="宋体" w:eastAsia="宋体" w:cs="仿宋"/>
          <w:sz w:val="28"/>
          <w:szCs w:val="28"/>
        </w:rPr>
      </w:pPr>
      <w:r>
        <w:rPr>
          <w:rFonts w:hint="eastAsia" w:ascii="宋体" w:hAnsi="宋体" w:eastAsia="宋体" w:cs="仿宋"/>
          <w:sz w:val="28"/>
          <w:szCs w:val="28"/>
        </w:rPr>
        <w:t>5、服务乡村振兴，村镇建设迈上新台阶。“擦亮小城镇”竞相发力。持续开展“擦亮小城镇”和全市乡镇环境大提质行动，督促指导18个省、市级试点镇竞相发力，“以点连线、以片带面”集中连片建设5个示范片区，城镇面貌焕然一新。曾都区住建局争取区政府投资近6000万元，谋划项目27个，全域推进“擦亮小城镇”。农房建设管理水平稳步提升。制定《随州市农村房屋建设质量安全管理办法》，建立全生命周期农房管理制度。加快推动美丽新农房建设，指导各地编制新农房图集，培训农村工匠，成片打造“荆楚派”新农居。乡村建设评价工作启动实施。全面查找存在的问题和短板，为提高乡村建设水平提供重要依据。乡镇生活污水治理提质增效。指导各地投资2亿余元，高标准实施管网延伸和扩容项目，随县住建局用最短的时间完成柳林、均川等5个乡镇生活污水处理厂水毁重建、恢复运营；全市37个乡镇生活污水处理设施全部实现处理费征收、稳定运行、达标排放，工作成效考核取得全省第4名好成绩。</w:t>
      </w:r>
    </w:p>
    <w:p>
      <w:pPr>
        <w:adjustRightInd w:val="0"/>
        <w:snapToGrid w:val="0"/>
        <w:spacing w:line="396" w:lineRule="auto"/>
        <w:ind w:firstLine="560" w:firstLineChars="200"/>
        <w:rPr>
          <w:rFonts w:ascii="宋体" w:hAnsi="宋体" w:eastAsia="宋体" w:cs="仿宋"/>
          <w:sz w:val="28"/>
          <w:szCs w:val="28"/>
        </w:rPr>
      </w:pPr>
      <w:r>
        <w:rPr>
          <w:rFonts w:hint="eastAsia" w:ascii="宋体" w:hAnsi="宋体" w:eastAsia="宋体" w:cs="仿宋"/>
          <w:sz w:val="28"/>
          <w:szCs w:val="28"/>
        </w:rPr>
        <w:t>6、坚守“安全”“稳定”底线，持续强化行业监管。以省委“三个环境”专项巡视反馈问题整改和安全生产“百日攻坚”行动为抓手，持续抓好住建行业行业监管，住建领域平安稳定。建筑工程质量安全水平实现双提升。“两书一证”推广落实得到省厅充分肯定，开展“智慧搅拌站”试点建设和“黑站”整治专项行动，质量安全监督系统录用率达100%，位列全省第一方阵，荣获省建筑结构优质工程15项、“楚天杯”工程3项；对“危大”工程、起重机械、从业人员等进行专项整治，排查项目300余项，整治消除安全隐患120余处，有力保障建设工程质量安全，全年未发生较大责任事故。住建领域市政设施安全保障不断加强。扎实开展燃气安全“百日攻坚”行动，排查整治各类安全隐患1080处，城镇燃气监管实现实时监控、管理“一张图”；优化城市供水生产调度、加大管网巡检力度，确保了城区供水安全稳定；持之以恒抓好城市防洪排涝工作，实施城市防洪排涝系统化治理等项目，加强隐患排查整改、应急演练、值班值守，确保城区安全度汛，城市安全运行。自建房安隐患排查扎实推进。坚持边排查、边鉴定、边整治，全市自建房排查70万余栋，鉴定隐患房屋1.6万余栋，整治危房1.5万余栋，完成小南门街等自建房安全隐患问题整治销号，在全省率先完成排查工作，实现排查、鉴定和整治三个100%，广水市住建局自建房安全排查整治工作成效明显。强化城乡房屋安全鉴定管理，圆满完成房屋建筑和市政设施普查，白蚁防治工作取得实效，有力保障了城乡住房安全。住建领域信访安全保障有力。全年接访各类诉求信访群众万余人（次），在党的二十大期间没有发生群体事件、进京赴省上访现象，市住建局被评为全市党的二十大安全保障工作突出集体、2名同志被评为突出个人。</w:t>
      </w:r>
    </w:p>
    <w:p>
      <w:pPr>
        <w:adjustRightInd w:val="0"/>
        <w:snapToGrid w:val="0"/>
        <w:spacing w:line="396" w:lineRule="auto"/>
        <w:ind w:firstLine="560" w:firstLineChars="200"/>
        <w:rPr>
          <w:rFonts w:ascii="宋体" w:hAnsi="宋体" w:eastAsia="宋体" w:cs="仿宋"/>
          <w:bCs/>
          <w:sz w:val="28"/>
          <w:szCs w:val="28"/>
        </w:rPr>
      </w:pPr>
      <w:r>
        <w:rPr>
          <w:rFonts w:hint="eastAsia" w:ascii="宋体" w:hAnsi="宋体" w:eastAsia="宋体" w:cs="仿宋"/>
          <w:sz w:val="28"/>
          <w:szCs w:val="28"/>
        </w:rPr>
        <w:t>7、</w:t>
      </w:r>
      <w:r>
        <w:rPr>
          <w:rFonts w:hint="eastAsia" w:ascii="宋体" w:hAnsi="宋体" w:eastAsia="宋体" w:cs="仿宋"/>
          <w:bCs/>
          <w:sz w:val="28"/>
          <w:szCs w:val="28"/>
        </w:rPr>
        <w:t>着力提升服务水平，住建领域营商环境取得阶段性成效。工程审批制度改革持续深化。优化窗口服务流程，深化“证照分离”改革，全年办件1.93万余件，全部实现“一网通办”。深入推进工程审批制度改革，进一步清理优化审批程序，推进单体竣工验收，审批时限由“705030”压缩至“332312”；随县探索完善的建设工程担保体系和曾都区探索的缩小施工图审查范围等2个改革事项获得全省优化营商环境改革先行区通报表彰，经验在全省推广。住建行业信息化建设加快推进。积极开展全省房屋市政工程监管数据中心应用试点，建成建筑工程管理信息化平台和控制中心以及工地智慧化监管平台，建成“智慧工地”45家，应用推广率100%。住宅维修资金信息化建设实现网上自助缴存等功能，建成“小区-住户-资金”一对一的监管网络，提升服务效能。法治建设取得新成效。认真履行法治建设第一责任人职责，落实“谁执法谁普法”责任清单，不断完善议事规则，推进法治工作规范化建设。坚持公平公正执法，以“三包一挂”专项整治为重点，立案查处违法项目11起，处罚企业11家、项目经理10人，严厉打击违法违规行为，营造公平公正营商环境。</w:t>
      </w:r>
    </w:p>
    <w:p>
      <w:pPr>
        <w:adjustRightInd w:val="0"/>
        <w:snapToGrid w:val="0"/>
        <w:spacing w:line="396" w:lineRule="auto"/>
        <w:ind w:firstLine="560" w:firstLineChars="200"/>
        <w:rPr>
          <w:rFonts w:ascii="宋体" w:hAnsi="宋体" w:eastAsia="宋体" w:cs="仿宋"/>
          <w:sz w:val="28"/>
          <w:szCs w:val="28"/>
        </w:rPr>
      </w:pPr>
      <w:r>
        <w:rPr>
          <w:rFonts w:ascii="宋体" w:hAnsi="宋体" w:eastAsia="宋体" w:cs="仿宋"/>
          <w:sz w:val="28"/>
          <w:szCs w:val="28"/>
        </w:rPr>
        <w:fldChar w:fldCharType="begin"/>
      </w:r>
      <w:r>
        <w:rPr>
          <w:rFonts w:ascii="宋体" w:hAnsi="宋体" w:eastAsia="宋体" w:cs="仿宋"/>
          <w:sz w:val="28"/>
          <w:szCs w:val="28"/>
        </w:rPr>
        <w:instrText xml:space="preserve"> = 2 \* GB3 \* MERGEFORMAT </w:instrText>
      </w:r>
      <w:r>
        <w:rPr>
          <w:rFonts w:ascii="宋体" w:hAnsi="宋体" w:eastAsia="宋体" w:cs="仿宋"/>
          <w:sz w:val="28"/>
          <w:szCs w:val="28"/>
        </w:rPr>
        <w:fldChar w:fldCharType="separate"/>
      </w:r>
      <w:r>
        <w:rPr>
          <w:sz w:val="28"/>
          <w:szCs w:val="28"/>
        </w:rPr>
        <w:t>②</w:t>
      </w:r>
      <w:r>
        <w:rPr>
          <w:rFonts w:ascii="宋体" w:hAnsi="宋体" w:eastAsia="宋体" w:cs="仿宋"/>
          <w:sz w:val="28"/>
          <w:szCs w:val="28"/>
        </w:rPr>
        <w:fldChar w:fldCharType="end"/>
      </w:r>
      <w:r>
        <w:rPr>
          <w:rFonts w:hint="eastAsia" w:ascii="宋体" w:hAnsi="宋体" w:eastAsia="宋体" w:cs="仿宋"/>
          <w:sz w:val="28"/>
          <w:szCs w:val="28"/>
        </w:rPr>
        <w:t>未完成的绩效目标</w:t>
      </w:r>
    </w:p>
    <w:p>
      <w:pPr>
        <w:numPr>
          <w:ilvl w:val="0"/>
          <w:numId w:val="2"/>
        </w:numPr>
        <w:adjustRightInd w:val="0"/>
        <w:snapToGrid w:val="0"/>
        <w:spacing w:line="396" w:lineRule="auto"/>
        <w:ind w:firstLine="560" w:firstLineChars="200"/>
        <w:rPr>
          <w:rFonts w:ascii="宋体" w:hAnsi="宋体" w:eastAsia="宋体" w:cs="仿宋"/>
          <w:sz w:val="28"/>
          <w:szCs w:val="28"/>
        </w:rPr>
      </w:pPr>
      <w:r>
        <w:rPr>
          <w:rFonts w:ascii="宋体" w:hAnsi="宋体" w:eastAsia="宋体" w:cs="仿宋"/>
          <w:sz w:val="28"/>
          <w:szCs w:val="28"/>
        </w:rPr>
        <w:t>全年实施城市重点工程建设项目未开工</w:t>
      </w:r>
      <w:r>
        <w:rPr>
          <w:rFonts w:hint="eastAsia" w:ascii="宋体" w:hAnsi="宋体" w:eastAsia="宋体" w:cs="仿宋"/>
          <w:sz w:val="28"/>
          <w:szCs w:val="28"/>
        </w:rPr>
        <w:t>1</w:t>
      </w:r>
      <w:r>
        <w:rPr>
          <w:rFonts w:hint="eastAsia" w:ascii="宋体" w:hAnsi="宋体" w:eastAsia="宋体" w:cs="仿宋"/>
          <w:sz w:val="28"/>
          <w:szCs w:val="28"/>
          <w:lang w:val="en-US" w:eastAsia="zh-CN"/>
        </w:rPr>
        <w:t>0</w:t>
      </w:r>
      <w:r>
        <w:rPr>
          <w:rFonts w:ascii="宋体" w:hAnsi="宋体" w:eastAsia="宋体" w:cs="仿宋"/>
          <w:sz w:val="28"/>
          <w:szCs w:val="28"/>
        </w:rPr>
        <w:t>项</w:t>
      </w:r>
      <w:r>
        <w:rPr>
          <w:rFonts w:hint="eastAsia" w:ascii="宋体" w:hAnsi="宋体" w:eastAsia="宋体" w:cs="仿宋"/>
          <w:sz w:val="28"/>
          <w:szCs w:val="28"/>
        </w:rPr>
        <w:t>。</w:t>
      </w:r>
    </w:p>
    <w:p>
      <w:pPr>
        <w:numPr>
          <w:ilvl w:val="0"/>
          <w:numId w:val="2"/>
        </w:numPr>
        <w:adjustRightInd w:val="0"/>
        <w:snapToGrid w:val="0"/>
        <w:spacing w:line="396" w:lineRule="auto"/>
        <w:ind w:firstLine="560" w:firstLineChars="200"/>
        <w:rPr>
          <w:rFonts w:ascii="宋体" w:hAnsi="宋体" w:eastAsia="宋体" w:cs="仿宋"/>
          <w:sz w:val="28"/>
          <w:szCs w:val="28"/>
        </w:rPr>
      </w:pPr>
      <w:r>
        <w:rPr>
          <w:rFonts w:hint="eastAsia" w:ascii="宋体" w:hAnsi="宋体" w:eastAsia="宋体" w:cs="仿宋"/>
          <w:bCs/>
          <w:sz w:val="28"/>
          <w:szCs w:val="28"/>
        </w:rPr>
        <w:t>恒大等6个风险楼盘处置难度大、化解时间长，还有大量工作要做；</w:t>
      </w:r>
    </w:p>
    <w:p>
      <w:pPr>
        <w:adjustRightInd w:val="0"/>
        <w:snapToGrid w:val="0"/>
        <w:spacing w:line="396" w:lineRule="auto"/>
        <w:ind w:firstLine="560" w:firstLineChars="200"/>
        <w:rPr>
          <w:rFonts w:ascii="宋体" w:hAnsi="宋体" w:eastAsia="宋体" w:cs="仿宋"/>
          <w:sz w:val="28"/>
          <w:szCs w:val="28"/>
        </w:rPr>
      </w:pPr>
      <w:r>
        <w:rPr>
          <w:rFonts w:ascii="宋体" w:hAnsi="宋体" w:eastAsia="宋体" w:cs="仿宋"/>
          <w:sz w:val="28"/>
          <w:szCs w:val="28"/>
        </w:rPr>
        <w:t>（三）存在的问题和原因</w:t>
      </w:r>
    </w:p>
    <w:p>
      <w:pPr>
        <w:adjustRightInd w:val="0"/>
        <w:snapToGrid w:val="0"/>
        <w:spacing w:line="396" w:lineRule="auto"/>
        <w:ind w:firstLine="640"/>
        <w:rPr>
          <w:rFonts w:ascii="宋体" w:hAnsi="宋体" w:eastAsia="宋体" w:cs="仿宋"/>
          <w:sz w:val="28"/>
          <w:szCs w:val="28"/>
        </w:rPr>
      </w:pPr>
      <w:r>
        <w:rPr>
          <w:rFonts w:hint="eastAsia" w:ascii="宋体" w:hAnsi="宋体" w:eastAsia="宋体" w:cs="仿宋"/>
          <w:sz w:val="28"/>
          <w:szCs w:val="28"/>
        </w:rPr>
        <w:t>1、严格按照预算编制的相关制度和要求进行预算编制，进一步提高预算编制的科学性、严谨性和可控性，严格区分财政拨款收支与非财政拨款收支。</w:t>
      </w:r>
    </w:p>
    <w:p>
      <w:pPr>
        <w:adjustRightInd w:val="0"/>
        <w:snapToGrid w:val="0"/>
        <w:spacing w:line="396" w:lineRule="auto"/>
        <w:ind w:firstLine="560" w:firstLineChars="200"/>
        <w:rPr>
          <w:rFonts w:ascii="宋体" w:hAnsi="宋体" w:eastAsia="宋体" w:cs="仿宋"/>
          <w:sz w:val="28"/>
          <w:szCs w:val="28"/>
        </w:rPr>
      </w:pPr>
      <w:r>
        <w:rPr>
          <w:rFonts w:hint="eastAsia" w:ascii="宋体" w:hAnsi="宋体" w:eastAsia="宋体" w:cs="仿宋"/>
          <w:sz w:val="28"/>
          <w:szCs w:val="28"/>
        </w:rPr>
        <w:t>2、受经济运行大环境和政府隐形债严格控制影响，城市重点工程项目特别是政府公益性项目资金筹措困难，项目推进缓慢。</w:t>
      </w:r>
    </w:p>
    <w:p>
      <w:pPr>
        <w:adjustRightInd w:val="0"/>
        <w:snapToGrid w:val="0"/>
        <w:spacing w:line="396" w:lineRule="auto"/>
        <w:ind w:firstLine="560" w:firstLineChars="200"/>
        <w:rPr>
          <w:rFonts w:ascii="宋体" w:hAnsi="宋体" w:eastAsia="宋体" w:cs="仿宋"/>
          <w:sz w:val="28"/>
          <w:szCs w:val="28"/>
        </w:rPr>
      </w:pPr>
      <w:r>
        <w:rPr>
          <w:rFonts w:hint="eastAsia" w:ascii="宋体" w:hAnsi="宋体" w:eastAsia="宋体" w:cs="仿宋"/>
          <w:sz w:val="28"/>
          <w:szCs w:val="28"/>
        </w:rPr>
        <w:t>3、防风险保安全压力依然较大。恒大等6个风险楼盘处置难度大、化解时间长，还有大量工作要做；住建领域房屋市政工程、城镇燃气、城市运行、自建房等安全牵涉面广，安全监管压力大、任务艰巨，一刻松懈不得。</w:t>
      </w:r>
    </w:p>
    <w:p>
      <w:pPr>
        <w:adjustRightInd w:val="0"/>
        <w:snapToGrid w:val="0"/>
        <w:spacing w:line="396" w:lineRule="auto"/>
        <w:ind w:firstLine="560" w:firstLineChars="200"/>
        <w:rPr>
          <w:rFonts w:ascii="宋体" w:hAnsi="宋体" w:eastAsia="宋体" w:cs="仿宋"/>
          <w:sz w:val="28"/>
          <w:szCs w:val="28"/>
        </w:rPr>
      </w:pPr>
      <w:r>
        <w:rPr>
          <w:rFonts w:hint="eastAsia" w:ascii="宋体" w:hAnsi="宋体" w:eastAsia="宋体" w:cs="仿宋"/>
          <w:sz w:val="28"/>
          <w:szCs w:val="28"/>
        </w:rPr>
        <w:t>4、受当前需求收缩、供给冲击、预期转弱三重压力影响，房企仍面临资金和销售压力，有效恢复不够；当前，因房地产开发项目减少、本地建筑企业参与公共项目中标率低等不利因素，建筑业恢复发展不足。</w:t>
      </w:r>
    </w:p>
    <w:p>
      <w:pPr>
        <w:adjustRightInd w:val="0"/>
        <w:snapToGrid w:val="0"/>
        <w:spacing w:line="396" w:lineRule="auto"/>
        <w:ind w:firstLine="560" w:firstLineChars="200"/>
        <w:rPr>
          <w:rFonts w:ascii="宋体" w:hAnsi="宋体" w:eastAsia="宋体"/>
          <w:sz w:val="28"/>
          <w:szCs w:val="28"/>
        </w:rPr>
      </w:pPr>
      <w:r>
        <w:rPr>
          <w:rFonts w:ascii="宋体" w:hAnsi="宋体" w:eastAsia="宋体" w:cs="仿宋"/>
          <w:sz w:val="28"/>
          <w:szCs w:val="28"/>
        </w:rPr>
        <w:t>（四）</w:t>
      </w:r>
      <w:r>
        <w:rPr>
          <w:rFonts w:ascii="宋体" w:hAnsi="宋体" w:eastAsia="宋体"/>
          <w:sz w:val="28"/>
          <w:szCs w:val="28"/>
        </w:rPr>
        <w:t>下一步拟改进措施</w:t>
      </w:r>
    </w:p>
    <w:p>
      <w:pPr>
        <w:adjustRightInd w:val="0"/>
        <w:snapToGrid w:val="0"/>
        <w:spacing w:line="396" w:lineRule="auto"/>
        <w:ind w:firstLine="560" w:firstLineChars="200"/>
        <w:rPr>
          <w:rFonts w:ascii="宋体" w:hAnsi="宋体" w:eastAsia="宋体" w:cs="仿宋"/>
          <w:sz w:val="28"/>
          <w:szCs w:val="28"/>
        </w:rPr>
      </w:pPr>
      <w:r>
        <w:rPr>
          <w:rFonts w:hint="eastAsia" w:ascii="宋体" w:hAnsi="宋体" w:eastAsia="宋体" w:cs="仿宋"/>
          <w:sz w:val="28"/>
          <w:szCs w:val="28"/>
        </w:rPr>
        <w:t>加强预算编制的前瞻性，建议按照新《预算法》及其实施条例的相关规定，按政策规定及本部门的发展规划，结合上一年度预算执行情况和本年度预算收支变化因素，科学、合理地编制本年预算草案，避免项目支出与基本支出划分不准或预算支出与实际执行出现较大偏差的情况，执行中确需调剂预算的，按规定程序报经批准，避免因预算经费不足导致考核指标严重超标。</w:t>
      </w:r>
    </w:p>
    <w:p>
      <w:pPr>
        <w:adjustRightInd w:val="0"/>
        <w:snapToGrid w:val="0"/>
        <w:spacing w:line="396" w:lineRule="auto"/>
        <w:ind w:firstLine="560" w:firstLineChars="200"/>
        <w:rPr>
          <w:rFonts w:ascii="宋体" w:hAnsi="宋体" w:eastAsia="宋体" w:cs="仿宋"/>
          <w:b/>
          <w:sz w:val="28"/>
          <w:szCs w:val="28"/>
        </w:rPr>
      </w:pPr>
      <w:r>
        <w:rPr>
          <w:rFonts w:ascii="宋体" w:hAnsi="宋体" w:eastAsia="宋体"/>
          <w:sz w:val="28"/>
          <w:szCs w:val="28"/>
        </w:rPr>
        <w:t>附件：</w:t>
      </w:r>
      <w:r>
        <w:rPr>
          <w:rFonts w:hint="eastAsia" w:ascii="宋体" w:hAnsi="宋体" w:eastAsia="宋体"/>
          <w:sz w:val="28"/>
          <w:szCs w:val="28"/>
          <w:lang w:eastAsia="zh-CN"/>
        </w:rPr>
        <w:t>2022年</w:t>
      </w:r>
      <w:r>
        <w:rPr>
          <w:rFonts w:ascii="宋体" w:hAnsi="宋体" w:eastAsia="宋体"/>
          <w:sz w:val="28"/>
          <w:szCs w:val="28"/>
        </w:rPr>
        <w:t>度</w:t>
      </w:r>
      <w:r>
        <w:rPr>
          <w:rFonts w:hint="eastAsia" w:ascii="宋体" w:hAnsi="宋体" w:eastAsia="宋体"/>
          <w:sz w:val="28"/>
          <w:szCs w:val="28"/>
        </w:rPr>
        <w:t>随州市住房和城乡建设局</w:t>
      </w:r>
      <w:r>
        <w:rPr>
          <w:rFonts w:ascii="宋体" w:hAnsi="宋体" w:eastAsia="宋体"/>
          <w:sz w:val="28"/>
          <w:szCs w:val="28"/>
        </w:rPr>
        <w:t>部门整体部门自评表（附后）</w:t>
      </w:r>
    </w:p>
    <w:p>
      <w:pPr>
        <w:adjustRightInd w:val="0"/>
        <w:snapToGrid w:val="0"/>
        <w:spacing w:line="396" w:lineRule="auto"/>
        <w:ind w:firstLine="562" w:firstLineChars="200"/>
        <w:rPr>
          <w:rFonts w:ascii="宋体" w:hAnsi="宋体" w:eastAsia="宋体" w:cs="仿宋"/>
          <w:b/>
          <w:sz w:val="28"/>
          <w:szCs w:val="28"/>
        </w:rPr>
      </w:pPr>
      <w:r>
        <w:rPr>
          <w:rFonts w:ascii="宋体" w:hAnsi="宋体" w:eastAsia="宋体" w:cs="仿宋"/>
          <w:b/>
          <w:sz w:val="28"/>
          <w:szCs w:val="28"/>
        </w:rPr>
        <w:t>二、佐证材料</w:t>
      </w:r>
    </w:p>
    <w:p>
      <w:pPr>
        <w:adjustRightInd w:val="0"/>
        <w:snapToGrid w:val="0"/>
        <w:spacing w:line="396" w:lineRule="auto"/>
        <w:ind w:firstLine="562" w:firstLineChars="200"/>
        <w:rPr>
          <w:rFonts w:ascii="宋体" w:hAnsi="宋体" w:eastAsia="宋体" w:cs="仿宋"/>
          <w:b/>
          <w:sz w:val="28"/>
          <w:szCs w:val="28"/>
        </w:rPr>
      </w:pPr>
      <w:r>
        <w:rPr>
          <w:rFonts w:ascii="宋体" w:hAnsi="宋体" w:eastAsia="宋体" w:cs="仿宋"/>
          <w:b/>
          <w:sz w:val="28"/>
          <w:szCs w:val="28"/>
        </w:rPr>
        <w:t>（一）基本情况</w:t>
      </w:r>
    </w:p>
    <w:p>
      <w:pPr>
        <w:pStyle w:val="13"/>
        <w:adjustRightInd w:val="0"/>
        <w:snapToGrid w:val="0"/>
        <w:spacing w:line="396" w:lineRule="auto"/>
        <w:ind w:firstLine="560" w:firstLineChars="200"/>
        <w:rPr>
          <w:rFonts w:ascii="宋体" w:hAnsi="宋体" w:eastAsia="宋体"/>
          <w:sz w:val="28"/>
          <w:szCs w:val="28"/>
        </w:rPr>
      </w:pPr>
      <w:r>
        <w:rPr>
          <w:rFonts w:ascii="宋体" w:hAnsi="宋体" w:eastAsia="宋体" w:cs="仿宋"/>
          <w:sz w:val="28"/>
          <w:szCs w:val="28"/>
        </w:rPr>
        <w:t>1</w:t>
      </w:r>
      <w:r>
        <w:rPr>
          <w:rFonts w:hint="eastAsia" w:ascii="宋体" w:hAnsi="宋体" w:eastAsia="宋体" w:cs="仿宋"/>
          <w:sz w:val="28"/>
          <w:szCs w:val="28"/>
        </w:rPr>
        <w:t>、人员情况：</w:t>
      </w:r>
      <w:r>
        <w:rPr>
          <w:rFonts w:hint="eastAsia" w:ascii="宋体" w:hAnsi="宋体" w:eastAsia="宋体" w:cs="仿宋"/>
          <w:sz w:val="28"/>
          <w:szCs w:val="28"/>
          <w:lang w:eastAsia="zh-CN"/>
        </w:rPr>
        <w:t>2022年</w:t>
      </w:r>
      <w:r>
        <w:rPr>
          <w:rFonts w:hint="eastAsia" w:ascii="宋体" w:hAnsi="宋体" w:eastAsia="宋体" w:cs="仿宋"/>
          <w:sz w:val="28"/>
          <w:szCs w:val="28"/>
        </w:rPr>
        <w:t>底在职人数</w:t>
      </w:r>
      <w:r>
        <w:rPr>
          <w:rFonts w:hint="eastAsia" w:ascii="宋体" w:hAnsi="宋体" w:eastAsia="宋体" w:cs="仿宋"/>
          <w:sz w:val="28"/>
          <w:szCs w:val="28"/>
          <w:lang w:val="en-US" w:eastAsia="zh-CN"/>
        </w:rPr>
        <w:t>36</w:t>
      </w:r>
      <w:r>
        <w:rPr>
          <w:rFonts w:hint="eastAsia" w:ascii="宋体" w:hAnsi="宋体" w:eastAsia="宋体" w:cs="仿宋"/>
          <w:sz w:val="28"/>
          <w:szCs w:val="28"/>
        </w:rPr>
        <w:t>人，其中：市住建局机关编制</w:t>
      </w:r>
      <w:r>
        <w:rPr>
          <w:rFonts w:hint="eastAsia" w:ascii="宋体" w:hAnsi="宋体" w:eastAsia="宋体" w:cs="仿宋"/>
          <w:sz w:val="28"/>
          <w:szCs w:val="28"/>
          <w:lang w:val="en-US" w:eastAsia="zh-CN"/>
        </w:rPr>
        <w:t>32</w:t>
      </w:r>
      <w:r>
        <w:rPr>
          <w:rFonts w:hint="eastAsia" w:ascii="宋体" w:hAnsi="宋体" w:eastAsia="宋体" w:cs="仿宋"/>
          <w:sz w:val="28"/>
          <w:szCs w:val="28"/>
        </w:rPr>
        <w:t>个，非参公事业人员</w:t>
      </w:r>
      <w:r>
        <w:rPr>
          <w:rFonts w:hint="eastAsia" w:ascii="宋体" w:hAnsi="宋体" w:eastAsia="宋体" w:cs="仿宋"/>
          <w:sz w:val="28"/>
          <w:szCs w:val="28"/>
          <w:lang w:val="en-US" w:eastAsia="zh-CN"/>
        </w:rPr>
        <w:t>4</w:t>
      </w:r>
      <w:r>
        <w:rPr>
          <w:rFonts w:hint="eastAsia" w:ascii="宋体" w:hAnsi="宋体" w:eastAsia="宋体" w:cs="仿宋"/>
          <w:sz w:val="28"/>
          <w:szCs w:val="28"/>
        </w:rPr>
        <w:t>人。离休1人。</w:t>
      </w:r>
      <w:r>
        <w:rPr>
          <w:rFonts w:hint="eastAsia" w:ascii="宋体" w:hAnsi="宋体" w:eastAsia="宋体"/>
          <w:sz w:val="28"/>
          <w:szCs w:val="28"/>
        </w:rPr>
        <w:t xml:space="preserve"> </w:t>
      </w:r>
    </w:p>
    <w:p>
      <w:pPr>
        <w:adjustRightInd w:val="0"/>
        <w:snapToGrid w:val="0"/>
        <w:spacing w:line="396" w:lineRule="auto"/>
        <w:ind w:firstLine="562" w:firstLineChars="200"/>
        <w:rPr>
          <w:rFonts w:ascii="宋体" w:hAnsi="宋体" w:eastAsia="宋体" w:cs="宋体"/>
          <w:bCs/>
          <w:sz w:val="28"/>
          <w:szCs w:val="28"/>
        </w:rPr>
      </w:pPr>
      <w:r>
        <w:rPr>
          <w:rFonts w:hint="eastAsia" w:ascii="宋体" w:hAnsi="宋体" w:eastAsia="宋体" w:cs="宋体"/>
          <w:b/>
          <w:bCs/>
          <w:sz w:val="28"/>
          <w:szCs w:val="28"/>
        </w:rPr>
        <w:t>2、</w:t>
      </w:r>
      <w:r>
        <w:rPr>
          <w:rFonts w:hint="eastAsia" w:ascii="宋体" w:hAnsi="宋体" w:eastAsia="宋体" w:cs="宋体"/>
          <w:bCs/>
          <w:sz w:val="28"/>
          <w:szCs w:val="28"/>
        </w:rPr>
        <w:t>部门支出基本情况</w:t>
      </w:r>
    </w:p>
    <w:p>
      <w:pPr>
        <w:adjustRightInd w:val="0"/>
        <w:snapToGrid w:val="0"/>
        <w:spacing w:line="396" w:lineRule="auto"/>
        <w:ind w:firstLine="560" w:firstLineChars="200"/>
        <w:rPr>
          <w:rFonts w:ascii="宋体" w:hAnsi="宋体" w:eastAsia="宋体" w:cs="宋体"/>
          <w:bCs/>
          <w:sz w:val="28"/>
          <w:szCs w:val="28"/>
        </w:rPr>
      </w:pPr>
      <w:r>
        <w:rPr>
          <w:rFonts w:hint="eastAsia" w:ascii="宋体" w:hAnsi="宋体" w:eastAsia="宋体" w:cs="宋体"/>
          <w:bCs/>
          <w:sz w:val="28"/>
          <w:szCs w:val="28"/>
          <w:lang w:eastAsia="zh-CN"/>
        </w:rPr>
        <w:t>2022年</w:t>
      </w:r>
      <w:r>
        <w:rPr>
          <w:rFonts w:hint="eastAsia" w:ascii="宋体" w:hAnsi="宋体" w:eastAsia="宋体" w:cs="宋体"/>
          <w:bCs/>
          <w:sz w:val="28"/>
          <w:szCs w:val="28"/>
        </w:rPr>
        <w:t>部门整体支出总额</w:t>
      </w:r>
      <w:r>
        <w:rPr>
          <w:rFonts w:hint="eastAsia" w:ascii="宋体" w:hAnsi="宋体" w:eastAsia="宋体" w:cs="宋体"/>
          <w:bCs/>
          <w:sz w:val="28"/>
          <w:szCs w:val="28"/>
          <w:lang w:val="en-US" w:eastAsia="zh-CN"/>
        </w:rPr>
        <w:t>5265.30</w:t>
      </w:r>
      <w:r>
        <w:rPr>
          <w:rFonts w:hint="eastAsia" w:ascii="宋体" w:hAnsi="宋体" w:eastAsia="宋体" w:cs="宋体"/>
          <w:bCs/>
          <w:sz w:val="28"/>
          <w:szCs w:val="28"/>
        </w:rPr>
        <w:t>万元，按支出性质分：基本支出1</w:t>
      </w:r>
      <w:r>
        <w:rPr>
          <w:rFonts w:hint="eastAsia" w:ascii="宋体" w:hAnsi="宋体" w:eastAsia="宋体" w:cs="宋体"/>
          <w:bCs/>
          <w:sz w:val="28"/>
          <w:szCs w:val="28"/>
          <w:lang w:val="en-US" w:eastAsia="zh-CN"/>
        </w:rPr>
        <w:t>100.15</w:t>
      </w:r>
      <w:r>
        <w:rPr>
          <w:rFonts w:hint="eastAsia" w:ascii="宋体" w:hAnsi="宋体" w:eastAsia="宋体" w:cs="宋体"/>
          <w:bCs/>
          <w:sz w:val="28"/>
          <w:szCs w:val="28"/>
        </w:rPr>
        <w:t>万元（其中人员支出</w:t>
      </w:r>
      <w:r>
        <w:rPr>
          <w:rFonts w:hint="eastAsia" w:ascii="宋体" w:hAnsi="宋体" w:eastAsia="宋体" w:cs="宋体"/>
          <w:bCs/>
          <w:sz w:val="28"/>
          <w:szCs w:val="28"/>
          <w:lang w:val="en-US" w:eastAsia="zh-CN"/>
        </w:rPr>
        <w:t>935.27</w:t>
      </w:r>
      <w:r>
        <w:rPr>
          <w:rFonts w:hint="eastAsia" w:ascii="宋体" w:hAnsi="宋体" w:eastAsia="宋体" w:cs="宋体"/>
          <w:bCs/>
          <w:sz w:val="28"/>
          <w:szCs w:val="28"/>
        </w:rPr>
        <w:t>万元，日常公用支出</w:t>
      </w:r>
      <w:r>
        <w:rPr>
          <w:rFonts w:hint="eastAsia" w:ascii="宋体" w:hAnsi="宋体" w:eastAsia="宋体" w:cs="宋体"/>
          <w:bCs/>
          <w:sz w:val="28"/>
          <w:szCs w:val="28"/>
          <w:lang w:val="en-US" w:eastAsia="zh-CN"/>
        </w:rPr>
        <w:t>164.88</w:t>
      </w:r>
      <w:r>
        <w:rPr>
          <w:rFonts w:hint="eastAsia" w:ascii="宋体" w:hAnsi="宋体" w:eastAsia="宋体" w:cs="宋体"/>
          <w:bCs/>
          <w:sz w:val="28"/>
          <w:szCs w:val="28"/>
        </w:rPr>
        <w:t>万元），项目支出</w:t>
      </w:r>
      <w:r>
        <w:rPr>
          <w:rFonts w:hint="eastAsia" w:ascii="宋体" w:hAnsi="宋体" w:eastAsia="宋体" w:cs="宋体"/>
          <w:bCs/>
          <w:sz w:val="28"/>
          <w:szCs w:val="28"/>
          <w:lang w:val="en-US" w:eastAsia="zh-CN"/>
        </w:rPr>
        <w:t>4165.15</w:t>
      </w:r>
      <w:r>
        <w:rPr>
          <w:rFonts w:hint="eastAsia" w:ascii="宋体" w:hAnsi="宋体" w:eastAsia="宋体" w:cs="宋体"/>
          <w:bCs/>
          <w:sz w:val="28"/>
          <w:szCs w:val="28"/>
        </w:rPr>
        <w:t>万元。按经济分类分：工资福利支出</w:t>
      </w:r>
      <w:r>
        <w:rPr>
          <w:rFonts w:hint="eastAsia" w:ascii="宋体" w:hAnsi="宋体" w:eastAsia="宋体" w:cs="宋体"/>
          <w:bCs/>
          <w:sz w:val="28"/>
          <w:szCs w:val="28"/>
          <w:lang w:val="en-US" w:eastAsia="zh-CN"/>
        </w:rPr>
        <w:t>874.59</w:t>
      </w:r>
      <w:r>
        <w:rPr>
          <w:rFonts w:hint="eastAsia" w:ascii="宋体" w:hAnsi="宋体" w:eastAsia="宋体" w:cs="宋体"/>
          <w:bCs/>
          <w:sz w:val="28"/>
          <w:szCs w:val="28"/>
        </w:rPr>
        <w:t>万元；商品和服务支出</w:t>
      </w:r>
      <w:r>
        <w:rPr>
          <w:rFonts w:hint="eastAsia" w:ascii="宋体" w:hAnsi="宋体" w:eastAsia="宋体" w:cs="宋体"/>
          <w:bCs/>
          <w:sz w:val="28"/>
          <w:szCs w:val="28"/>
          <w:lang w:val="en-US" w:eastAsia="zh-CN"/>
        </w:rPr>
        <w:t>199.75</w:t>
      </w:r>
      <w:r>
        <w:rPr>
          <w:rFonts w:hint="eastAsia" w:ascii="宋体" w:hAnsi="宋体" w:eastAsia="宋体" w:cs="宋体"/>
          <w:bCs/>
          <w:sz w:val="28"/>
          <w:szCs w:val="28"/>
        </w:rPr>
        <w:t>万元; 对个人和家庭的补助支出</w:t>
      </w:r>
      <w:r>
        <w:rPr>
          <w:rFonts w:hint="eastAsia" w:ascii="宋体" w:hAnsi="宋体" w:eastAsia="宋体" w:cs="宋体"/>
          <w:bCs/>
          <w:sz w:val="28"/>
          <w:szCs w:val="28"/>
          <w:lang w:val="en-US" w:eastAsia="zh-CN"/>
        </w:rPr>
        <w:t>60.67</w:t>
      </w:r>
      <w:r>
        <w:rPr>
          <w:rFonts w:hint="eastAsia" w:ascii="宋体" w:hAnsi="宋体" w:eastAsia="宋体" w:cs="宋体"/>
          <w:bCs/>
          <w:sz w:val="28"/>
          <w:szCs w:val="28"/>
        </w:rPr>
        <w:t>万元; 资本性支出4</w:t>
      </w:r>
      <w:r>
        <w:rPr>
          <w:rFonts w:hint="eastAsia" w:ascii="宋体" w:hAnsi="宋体" w:eastAsia="宋体" w:cs="宋体"/>
          <w:bCs/>
          <w:sz w:val="28"/>
          <w:szCs w:val="28"/>
          <w:lang w:val="en-US" w:eastAsia="zh-CN"/>
        </w:rPr>
        <w:t>6.71</w:t>
      </w:r>
      <w:r>
        <w:rPr>
          <w:rFonts w:hint="eastAsia" w:ascii="宋体" w:hAnsi="宋体" w:eastAsia="宋体" w:cs="宋体"/>
          <w:bCs/>
          <w:sz w:val="28"/>
          <w:szCs w:val="28"/>
        </w:rPr>
        <w:t>万元，其他支出</w:t>
      </w:r>
      <w:r>
        <w:rPr>
          <w:rFonts w:hint="eastAsia" w:ascii="宋体" w:hAnsi="宋体" w:eastAsia="宋体" w:cs="宋体"/>
          <w:bCs/>
          <w:sz w:val="28"/>
          <w:szCs w:val="28"/>
          <w:lang w:val="en-US" w:eastAsia="zh-CN"/>
        </w:rPr>
        <w:t>4083.58</w:t>
      </w:r>
      <w:r>
        <w:rPr>
          <w:rFonts w:hint="eastAsia" w:ascii="宋体" w:hAnsi="宋体" w:eastAsia="宋体" w:cs="宋体"/>
          <w:bCs/>
          <w:sz w:val="28"/>
          <w:szCs w:val="28"/>
        </w:rPr>
        <w:t>万元。</w:t>
      </w:r>
    </w:p>
    <w:p>
      <w:pPr>
        <w:adjustRightInd w:val="0"/>
        <w:snapToGrid w:val="0"/>
        <w:spacing w:line="396" w:lineRule="auto"/>
        <w:ind w:firstLine="560" w:firstLineChars="200"/>
        <w:rPr>
          <w:rFonts w:ascii="宋体" w:hAnsi="宋体" w:eastAsia="宋体" w:cs="宋体"/>
          <w:bCs/>
          <w:sz w:val="28"/>
          <w:szCs w:val="28"/>
        </w:rPr>
      </w:pPr>
      <w:r>
        <w:rPr>
          <w:rFonts w:hint="eastAsia" w:ascii="宋体" w:hAnsi="宋体" w:eastAsia="宋体" w:cs="宋体"/>
          <w:bCs/>
          <w:sz w:val="28"/>
          <w:szCs w:val="28"/>
          <w:lang w:eastAsia="zh-CN"/>
        </w:rPr>
        <w:t>2022年</w:t>
      </w:r>
      <w:r>
        <w:rPr>
          <w:rFonts w:hint="eastAsia" w:ascii="宋体" w:hAnsi="宋体" w:eastAsia="宋体" w:cs="宋体"/>
          <w:bCs/>
          <w:sz w:val="28"/>
          <w:szCs w:val="28"/>
        </w:rPr>
        <w:t>度完成了政府交办的各项任务。</w:t>
      </w:r>
    </w:p>
    <w:p>
      <w:pPr>
        <w:adjustRightInd w:val="0"/>
        <w:snapToGrid w:val="0"/>
        <w:spacing w:line="396" w:lineRule="auto"/>
        <w:ind w:firstLine="562" w:firstLineChars="200"/>
        <w:rPr>
          <w:rFonts w:ascii="宋体" w:hAnsi="宋体" w:eastAsia="宋体" w:cs="宋体"/>
          <w:b/>
          <w:bCs/>
          <w:sz w:val="28"/>
          <w:szCs w:val="28"/>
        </w:rPr>
      </w:pPr>
      <w:r>
        <w:rPr>
          <w:rFonts w:hint="eastAsia" w:ascii="宋体" w:hAnsi="宋体" w:eastAsia="宋体" w:cs="宋体"/>
          <w:b/>
          <w:bCs/>
          <w:sz w:val="28"/>
          <w:szCs w:val="28"/>
        </w:rPr>
        <w:t>3、</w:t>
      </w:r>
      <w:r>
        <w:rPr>
          <w:rFonts w:hint="eastAsia" w:ascii="宋体" w:hAnsi="宋体" w:eastAsia="宋体" w:cs="宋体"/>
          <w:b/>
          <w:bCs/>
          <w:sz w:val="28"/>
          <w:szCs w:val="28"/>
          <w:lang w:eastAsia="zh-CN"/>
        </w:rPr>
        <w:t>2022年</w:t>
      </w:r>
      <w:r>
        <w:rPr>
          <w:rFonts w:ascii="宋体" w:hAnsi="宋体" w:eastAsia="宋体" w:cs="宋体"/>
          <w:b/>
          <w:bCs/>
          <w:sz w:val="28"/>
          <w:szCs w:val="28"/>
        </w:rPr>
        <w:t>度部门整体绩效目标</w:t>
      </w:r>
      <w:r>
        <w:rPr>
          <w:rFonts w:hint="eastAsia" w:ascii="宋体" w:hAnsi="宋体" w:eastAsia="宋体" w:cs="宋体"/>
          <w:b/>
          <w:bCs/>
          <w:sz w:val="28"/>
          <w:szCs w:val="28"/>
        </w:rPr>
        <w:t>情况</w:t>
      </w:r>
    </w:p>
    <w:p>
      <w:pPr>
        <w:adjustRightInd w:val="0"/>
        <w:snapToGrid w:val="0"/>
        <w:spacing w:line="396" w:lineRule="auto"/>
        <w:ind w:firstLine="560" w:firstLineChars="200"/>
        <w:rPr>
          <w:rFonts w:ascii="宋体" w:hAnsi="宋体" w:eastAsia="宋体" w:cs="宋体"/>
          <w:bCs/>
          <w:sz w:val="28"/>
          <w:szCs w:val="28"/>
        </w:rPr>
      </w:pPr>
      <w:r>
        <w:rPr>
          <w:rFonts w:hint="eastAsia" w:ascii="宋体" w:hAnsi="宋体" w:eastAsia="宋体" w:cs="宋体"/>
          <w:bCs/>
          <w:sz w:val="28"/>
          <w:szCs w:val="28"/>
        </w:rPr>
        <w:t>（1）</w:t>
      </w:r>
      <w:r>
        <w:rPr>
          <w:rFonts w:ascii="宋体" w:hAnsi="宋体" w:eastAsia="宋体" w:cs="宋体"/>
          <w:bCs/>
          <w:sz w:val="28"/>
          <w:szCs w:val="28"/>
        </w:rPr>
        <w:t>城市功能不断完善</w:t>
      </w:r>
      <w:r>
        <w:rPr>
          <w:rFonts w:hint="eastAsia" w:ascii="宋体" w:hAnsi="宋体" w:eastAsia="宋体" w:cs="宋体"/>
          <w:bCs/>
          <w:sz w:val="28"/>
          <w:szCs w:val="28"/>
        </w:rPr>
        <w:t>；</w:t>
      </w:r>
    </w:p>
    <w:p>
      <w:pPr>
        <w:adjustRightInd w:val="0"/>
        <w:snapToGrid w:val="0"/>
        <w:spacing w:line="396" w:lineRule="auto"/>
        <w:ind w:firstLine="560" w:firstLineChars="200"/>
        <w:rPr>
          <w:rFonts w:ascii="宋体" w:hAnsi="宋体" w:eastAsia="宋体" w:cs="宋体"/>
          <w:bCs/>
          <w:sz w:val="28"/>
          <w:szCs w:val="28"/>
        </w:rPr>
      </w:pPr>
      <w:r>
        <w:rPr>
          <w:rFonts w:hint="eastAsia" w:ascii="宋体" w:hAnsi="宋体" w:eastAsia="宋体" w:cs="宋体"/>
          <w:bCs/>
          <w:sz w:val="28"/>
          <w:szCs w:val="28"/>
        </w:rPr>
        <w:t>（2）</w:t>
      </w:r>
      <w:r>
        <w:rPr>
          <w:rFonts w:ascii="宋体" w:hAnsi="宋体" w:eastAsia="宋体" w:cs="宋体"/>
          <w:bCs/>
          <w:sz w:val="28"/>
          <w:szCs w:val="28"/>
        </w:rPr>
        <w:t>民生保障坚实有力</w:t>
      </w:r>
      <w:r>
        <w:rPr>
          <w:rFonts w:hint="eastAsia" w:ascii="宋体" w:hAnsi="宋体" w:eastAsia="宋体" w:cs="宋体"/>
          <w:bCs/>
          <w:sz w:val="28"/>
          <w:szCs w:val="28"/>
        </w:rPr>
        <w:t>；</w:t>
      </w:r>
    </w:p>
    <w:p>
      <w:pPr>
        <w:adjustRightInd w:val="0"/>
        <w:snapToGrid w:val="0"/>
        <w:spacing w:line="396" w:lineRule="auto"/>
        <w:ind w:firstLine="560" w:firstLineChars="200"/>
        <w:rPr>
          <w:rFonts w:ascii="宋体" w:hAnsi="宋体" w:eastAsia="宋体" w:cs="宋体"/>
          <w:bCs/>
          <w:sz w:val="28"/>
          <w:szCs w:val="28"/>
        </w:rPr>
      </w:pPr>
      <w:r>
        <w:rPr>
          <w:rFonts w:hint="eastAsia" w:ascii="宋体" w:hAnsi="宋体" w:eastAsia="宋体" w:cs="宋体"/>
          <w:bCs/>
          <w:sz w:val="28"/>
          <w:szCs w:val="28"/>
        </w:rPr>
        <w:t>（3）城市生态巩固提升；</w:t>
      </w:r>
    </w:p>
    <w:p>
      <w:pPr>
        <w:adjustRightInd w:val="0"/>
        <w:snapToGrid w:val="0"/>
        <w:spacing w:line="396" w:lineRule="auto"/>
        <w:ind w:firstLine="560" w:firstLineChars="200"/>
        <w:rPr>
          <w:rFonts w:ascii="宋体" w:hAnsi="宋体" w:eastAsia="宋体" w:cs="宋体"/>
          <w:bCs/>
          <w:sz w:val="28"/>
          <w:szCs w:val="28"/>
        </w:rPr>
      </w:pPr>
      <w:r>
        <w:rPr>
          <w:rFonts w:hint="eastAsia" w:ascii="宋体" w:hAnsi="宋体" w:eastAsia="宋体" w:cs="宋体"/>
          <w:bCs/>
          <w:sz w:val="28"/>
          <w:szCs w:val="28"/>
        </w:rPr>
        <w:t>（4）村镇建设特色彰显；</w:t>
      </w:r>
    </w:p>
    <w:p>
      <w:pPr>
        <w:adjustRightInd w:val="0"/>
        <w:snapToGrid w:val="0"/>
        <w:spacing w:line="396" w:lineRule="auto"/>
        <w:ind w:firstLine="560" w:firstLineChars="200"/>
        <w:rPr>
          <w:rFonts w:ascii="宋体" w:hAnsi="宋体" w:eastAsia="宋体" w:cs="宋体"/>
          <w:bCs/>
          <w:sz w:val="28"/>
          <w:szCs w:val="28"/>
        </w:rPr>
      </w:pPr>
      <w:r>
        <w:rPr>
          <w:rFonts w:hint="eastAsia" w:ascii="宋体" w:hAnsi="宋体" w:eastAsia="宋体" w:cs="宋体"/>
          <w:bCs/>
          <w:sz w:val="28"/>
          <w:szCs w:val="28"/>
        </w:rPr>
        <w:t>（5）行业监管持续发力；</w:t>
      </w:r>
    </w:p>
    <w:p>
      <w:pPr>
        <w:adjustRightInd w:val="0"/>
        <w:snapToGrid w:val="0"/>
        <w:spacing w:line="396" w:lineRule="auto"/>
        <w:ind w:firstLine="560" w:firstLineChars="200"/>
        <w:rPr>
          <w:rFonts w:ascii="宋体" w:hAnsi="宋体" w:eastAsia="宋体" w:cs="宋体"/>
          <w:bCs/>
          <w:sz w:val="28"/>
          <w:szCs w:val="28"/>
        </w:rPr>
      </w:pPr>
      <w:r>
        <w:rPr>
          <w:rFonts w:hint="eastAsia" w:ascii="宋体" w:hAnsi="宋体" w:eastAsia="宋体" w:cs="宋体"/>
          <w:bCs/>
          <w:sz w:val="28"/>
          <w:szCs w:val="28"/>
        </w:rPr>
        <w:t>（6）产业发展克难求进；</w:t>
      </w:r>
    </w:p>
    <w:p>
      <w:pPr>
        <w:adjustRightInd w:val="0"/>
        <w:snapToGrid w:val="0"/>
        <w:spacing w:line="396" w:lineRule="auto"/>
        <w:ind w:firstLine="560" w:firstLineChars="200"/>
        <w:rPr>
          <w:rFonts w:ascii="宋体" w:hAnsi="宋体" w:eastAsia="宋体" w:cs="宋体"/>
          <w:bCs/>
          <w:sz w:val="28"/>
          <w:szCs w:val="28"/>
        </w:rPr>
      </w:pPr>
      <w:r>
        <w:rPr>
          <w:rFonts w:hint="eastAsia" w:ascii="宋体" w:hAnsi="宋体" w:eastAsia="宋体" w:cs="宋体"/>
          <w:bCs/>
          <w:sz w:val="28"/>
          <w:szCs w:val="28"/>
        </w:rPr>
        <w:t>（7）营商环境提质增效。</w:t>
      </w:r>
    </w:p>
    <w:p>
      <w:pPr>
        <w:adjustRightInd w:val="0"/>
        <w:snapToGrid w:val="0"/>
        <w:spacing w:line="396" w:lineRule="auto"/>
        <w:ind w:firstLine="562" w:firstLineChars="200"/>
        <w:rPr>
          <w:rFonts w:ascii="宋体" w:hAnsi="宋体" w:eastAsia="宋体"/>
          <w:b/>
          <w:sz w:val="28"/>
          <w:szCs w:val="28"/>
        </w:rPr>
      </w:pPr>
      <w:r>
        <w:rPr>
          <w:rFonts w:ascii="宋体" w:hAnsi="宋体" w:eastAsia="宋体"/>
          <w:b/>
          <w:sz w:val="28"/>
          <w:szCs w:val="28"/>
        </w:rPr>
        <w:t>（二）部门自评工作开展情况</w:t>
      </w:r>
    </w:p>
    <w:p>
      <w:pPr>
        <w:tabs>
          <w:tab w:val="center" w:pos="4153"/>
        </w:tabs>
        <w:adjustRightInd w:val="0"/>
        <w:snapToGrid w:val="0"/>
        <w:spacing w:line="396" w:lineRule="auto"/>
        <w:ind w:firstLine="560" w:firstLineChars="200"/>
        <w:rPr>
          <w:rFonts w:ascii="宋体" w:hAnsi="宋体" w:eastAsia="宋体" w:cs="仿宋"/>
          <w:sz w:val="28"/>
          <w:szCs w:val="28"/>
        </w:rPr>
      </w:pPr>
      <w:r>
        <w:rPr>
          <w:rFonts w:hint="eastAsia" w:ascii="宋体" w:hAnsi="宋体" w:eastAsia="宋体" w:cs="楷体"/>
          <w:sz w:val="28"/>
          <w:szCs w:val="28"/>
        </w:rPr>
        <w:t>1、充分准备前期工作。我单位</w:t>
      </w:r>
      <w:r>
        <w:rPr>
          <w:rFonts w:hint="eastAsia" w:ascii="宋体" w:hAnsi="宋体" w:eastAsia="宋体" w:cs="仿宋"/>
          <w:sz w:val="28"/>
          <w:szCs w:val="28"/>
        </w:rPr>
        <w:t>成立了</w:t>
      </w:r>
      <w:r>
        <w:rPr>
          <w:rFonts w:hint="eastAsia" w:ascii="宋体" w:hAnsi="宋体" w:eastAsia="宋体" w:cs="仿宋"/>
          <w:sz w:val="28"/>
          <w:szCs w:val="28"/>
          <w:lang w:eastAsia="zh-CN"/>
        </w:rPr>
        <w:t>2022年</w:t>
      </w:r>
      <w:r>
        <w:rPr>
          <w:rFonts w:hint="eastAsia" w:ascii="宋体" w:hAnsi="宋体" w:eastAsia="宋体" w:cs="仿宋"/>
          <w:sz w:val="28"/>
          <w:szCs w:val="28"/>
        </w:rPr>
        <w:t>度绩效评价工作领导小组。以局长为组长，分管领导为副组长，各科室负责人及委托第三方评价机构湖北德佳会计师事务所（普通合伙）共同成立的绩效评价工作领导小组，抽调专人组建工作专班，具体负责绩效评价工作。根据绩效自评工作要求，制定了</w:t>
      </w:r>
      <w:r>
        <w:rPr>
          <w:rFonts w:hint="eastAsia" w:ascii="宋体" w:hAnsi="宋体" w:eastAsia="宋体" w:cs="仿宋"/>
          <w:sz w:val="28"/>
          <w:szCs w:val="28"/>
          <w:lang w:eastAsia="zh-CN"/>
        </w:rPr>
        <w:t>2022年</w:t>
      </w:r>
      <w:r>
        <w:rPr>
          <w:rFonts w:hint="eastAsia" w:ascii="宋体" w:hAnsi="宋体" w:eastAsia="宋体" w:cs="仿宋"/>
          <w:sz w:val="28"/>
          <w:szCs w:val="28"/>
        </w:rPr>
        <w:t>度绩效评价工作方案，对绩效评价工作的时间、步骤、措施等提出了具体要求。</w:t>
      </w:r>
    </w:p>
    <w:p>
      <w:pPr>
        <w:tabs>
          <w:tab w:val="center" w:pos="4153"/>
        </w:tabs>
        <w:adjustRightInd w:val="0"/>
        <w:snapToGrid w:val="0"/>
        <w:spacing w:line="396" w:lineRule="auto"/>
        <w:ind w:firstLine="560" w:firstLineChars="200"/>
        <w:rPr>
          <w:rFonts w:ascii="宋体" w:hAnsi="宋体" w:eastAsia="宋体" w:cs="楷体"/>
          <w:sz w:val="28"/>
          <w:szCs w:val="28"/>
        </w:rPr>
      </w:pPr>
      <w:r>
        <w:rPr>
          <w:rFonts w:hint="eastAsia" w:ascii="宋体" w:hAnsi="宋体" w:eastAsia="宋体" w:cs="楷体"/>
          <w:sz w:val="28"/>
          <w:szCs w:val="28"/>
        </w:rPr>
        <w:t>2、精心组织绩效评价。</w:t>
      </w:r>
      <w:r>
        <w:rPr>
          <w:rFonts w:hint="eastAsia" w:ascii="宋体" w:hAnsi="宋体" w:eastAsia="宋体" w:cs="仿宋"/>
          <w:sz w:val="28"/>
          <w:szCs w:val="28"/>
        </w:rPr>
        <w:t>随州市住房和城乡建设局</w:t>
      </w:r>
      <w:r>
        <w:rPr>
          <w:rFonts w:hint="eastAsia" w:ascii="宋体" w:hAnsi="宋体" w:eastAsia="宋体" w:cs="仿宋"/>
          <w:sz w:val="28"/>
          <w:szCs w:val="28"/>
          <w:lang w:eastAsia="zh-CN"/>
        </w:rPr>
        <w:t>2022年</w:t>
      </w:r>
      <w:r>
        <w:rPr>
          <w:rFonts w:hint="eastAsia" w:ascii="宋体" w:hAnsi="宋体" w:eastAsia="宋体" w:cs="仿宋"/>
          <w:sz w:val="28"/>
          <w:szCs w:val="28"/>
        </w:rPr>
        <w:t>度绩效评价工作领导小组成员对绩效评价文件和相关政策依据进行了深入学习，了解绩效评份工作的重要性和必要性。由工作专班按照绩效评价工作方案的要求精心组织实施，搜集相关资料，查阅相关表格，核实相关数据，扎扎实实开展绩效自评工作。</w:t>
      </w:r>
    </w:p>
    <w:p>
      <w:pPr>
        <w:tabs>
          <w:tab w:val="center" w:pos="4153"/>
        </w:tabs>
        <w:adjustRightInd w:val="0"/>
        <w:snapToGrid w:val="0"/>
        <w:spacing w:line="396" w:lineRule="auto"/>
        <w:ind w:firstLine="560" w:firstLineChars="200"/>
        <w:rPr>
          <w:rFonts w:ascii="宋体" w:hAnsi="宋体" w:eastAsia="宋体" w:cs="仿宋"/>
          <w:sz w:val="28"/>
          <w:szCs w:val="28"/>
        </w:rPr>
      </w:pPr>
      <w:r>
        <w:rPr>
          <w:rFonts w:hint="eastAsia" w:ascii="宋体" w:hAnsi="宋体" w:eastAsia="宋体" w:cs="楷体"/>
          <w:sz w:val="28"/>
          <w:szCs w:val="28"/>
        </w:rPr>
        <w:t>3、综合分析自评报告。</w:t>
      </w:r>
      <w:r>
        <w:rPr>
          <w:rFonts w:hint="eastAsia" w:ascii="宋体" w:hAnsi="宋体" w:eastAsia="宋体" w:cs="仿宋"/>
          <w:sz w:val="28"/>
          <w:szCs w:val="28"/>
        </w:rPr>
        <w:t>绩效评价工作专班将采集的自评相关基础数据和资料进行整理汇总，并以预算申报的绩效目标为基础，根据公正公开、分组分类的原则，结合决算数据，对本年度实际的产出指标和效益指标进行分析，比较预算绩效目标完成情况，详细分析原因，提出建议，形成自评报告。</w:t>
      </w:r>
    </w:p>
    <w:p>
      <w:pPr>
        <w:adjustRightInd w:val="0"/>
        <w:snapToGrid w:val="0"/>
        <w:spacing w:line="396" w:lineRule="auto"/>
        <w:ind w:firstLine="562" w:firstLineChars="200"/>
        <w:rPr>
          <w:rFonts w:ascii="宋体" w:hAnsi="宋体" w:eastAsia="宋体"/>
          <w:b/>
          <w:sz w:val="28"/>
          <w:szCs w:val="28"/>
        </w:rPr>
      </w:pPr>
      <w:r>
        <w:rPr>
          <w:rFonts w:ascii="宋体" w:hAnsi="宋体" w:eastAsia="宋体"/>
          <w:b/>
          <w:sz w:val="28"/>
          <w:szCs w:val="28"/>
        </w:rPr>
        <w:t>（三）绩效目标完成情况分析</w:t>
      </w:r>
    </w:p>
    <w:p>
      <w:pPr>
        <w:adjustRightInd w:val="0"/>
        <w:snapToGrid w:val="0"/>
        <w:spacing w:line="396" w:lineRule="auto"/>
        <w:ind w:firstLine="560" w:firstLineChars="200"/>
        <w:rPr>
          <w:rFonts w:ascii="宋体" w:hAnsi="宋体" w:eastAsia="宋体"/>
          <w:sz w:val="28"/>
          <w:szCs w:val="28"/>
        </w:rPr>
      </w:pPr>
      <w:r>
        <w:rPr>
          <w:rFonts w:hint="eastAsia" w:ascii="宋体" w:hAnsi="宋体" w:eastAsia="宋体"/>
          <w:sz w:val="28"/>
          <w:szCs w:val="28"/>
        </w:rPr>
        <w:t>1、预算执行情况分析</w:t>
      </w:r>
    </w:p>
    <w:p>
      <w:pPr>
        <w:adjustRightInd w:val="0"/>
        <w:snapToGrid w:val="0"/>
        <w:spacing w:line="396" w:lineRule="auto"/>
        <w:ind w:firstLine="560" w:firstLineChars="200"/>
        <w:outlineLvl w:val="0"/>
        <w:rPr>
          <w:rFonts w:ascii="宋体" w:hAnsi="宋体" w:eastAsia="宋体" w:cs="楷体_GB2312"/>
          <w:sz w:val="28"/>
          <w:szCs w:val="28"/>
        </w:rPr>
      </w:pPr>
      <w:r>
        <w:rPr>
          <w:rFonts w:hint="eastAsia" w:ascii="宋体" w:hAnsi="宋体" w:eastAsia="宋体" w:cs="楷体_GB2312"/>
          <w:sz w:val="28"/>
          <w:szCs w:val="28"/>
        </w:rPr>
        <w:t>（1）资金投入情况分析</w:t>
      </w:r>
    </w:p>
    <w:p>
      <w:pPr>
        <w:adjustRightInd w:val="0"/>
        <w:snapToGrid w:val="0"/>
        <w:spacing w:line="396" w:lineRule="auto"/>
        <w:ind w:firstLine="560" w:firstLineChars="200"/>
        <w:rPr>
          <w:rFonts w:ascii="宋体" w:hAnsi="宋体" w:eastAsia="宋体" w:cs="仿宋_GB2312"/>
          <w:sz w:val="28"/>
          <w:szCs w:val="28"/>
        </w:rPr>
      </w:pPr>
      <w:r>
        <w:rPr>
          <w:rFonts w:hint="eastAsia" w:ascii="宋体" w:hAnsi="宋体" w:eastAsia="宋体" w:cs="仿宋_GB2312"/>
          <w:sz w:val="28"/>
          <w:szCs w:val="28"/>
        </w:rPr>
        <w:t>《市财政局关于批复</w:t>
      </w:r>
      <w:r>
        <w:rPr>
          <w:rFonts w:hint="eastAsia" w:ascii="宋体" w:hAnsi="宋体" w:eastAsia="宋体" w:cs="仿宋_GB2312"/>
          <w:sz w:val="28"/>
          <w:szCs w:val="28"/>
          <w:lang w:eastAsia="zh-CN"/>
        </w:rPr>
        <w:t>2022年</w:t>
      </w:r>
      <w:r>
        <w:rPr>
          <w:rFonts w:hint="eastAsia" w:ascii="宋体" w:hAnsi="宋体" w:eastAsia="宋体" w:cs="仿宋_GB2312"/>
          <w:sz w:val="28"/>
          <w:szCs w:val="28"/>
        </w:rPr>
        <w:t>市直部门预算的通知》批复了本项目资金的来源。</w:t>
      </w:r>
      <w:r>
        <w:rPr>
          <w:rFonts w:hint="eastAsia" w:ascii="宋体" w:hAnsi="宋体" w:eastAsia="宋体" w:cs="仿宋_GB2312"/>
          <w:sz w:val="28"/>
          <w:szCs w:val="28"/>
          <w:lang w:eastAsia="zh-CN"/>
        </w:rPr>
        <w:t>2022年</w:t>
      </w:r>
      <w:r>
        <w:rPr>
          <w:rFonts w:hint="eastAsia" w:ascii="宋体" w:hAnsi="宋体" w:eastAsia="宋体" w:cs="仿宋_GB2312"/>
          <w:sz w:val="28"/>
          <w:szCs w:val="28"/>
        </w:rPr>
        <w:t>年初结转</w:t>
      </w:r>
      <w:r>
        <w:rPr>
          <w:rFonts w:ascii="宋体" w:hAnsi="宋体" w:eastAsia="宋体" w:cs="仿宋_GB2312"/>
          <w:sz w:val="28"/>
          <w:szCs w:val="28"/>
        </w:rPr>
        <w:t>5</w:t>
      </w:r>
      <w:r>
        <w:rPr>
          <w:rFonts w:hint="eastAsia" w:ascii="宋体" w:hAnsi="宋体" w:eastAsia="宋体" w:cs="仿宋_GB2312"/>
          <w:sz w:val="28"/>
          <w:szCs w:val="28"/>
          <w:lang w:val="en-US" w:eastAsia="zh-CN"/>
        </w:rPr>
        <w:t>09.73</w:t>
      </w:r>
      <w:r>
        <w:rPr>
          <w:rFonts w:hint="eastAsia" w:ascii="宋体" w:hAnsi="宋体" w:eastAsia="宋体" w:cs="仿宋_GB2312"/>
          <w:sz w:val="28"/>
          <w:szCs w:val="28"/>
        </w:rPr>
        <w:t>万元，</w:t>
      </w:r>
      <w:r>
        <w:rPr>
          <w:rFonts w:hint="eastAsia" w:ascii="宋体" w:hAnsi="宋体" w:eastAsia="宋体" w:cs="仿宋_GB2312"/>
          <w:sz w:val="28"/>
          <w:szCs w:val="28"/>
          <w:lang w:val="en-US" w:eastAsia="zh-CN"/>
        </w:rPr>
        <w:t>全年</w:t>
      </w:r>
      <w:r>
        <w:rPr>
          <w:rFonts w:hint="eastAsia" w:ascii="宋体" w:hAnsi="宋体" w:eastAsia="宋体" w:cs="仿宋_GB2312"/>
          <w:sz w:val="28"/>
          <w:szCs w:val="28"/>
        </w:rPr>
        <w:t>预算数</w:t>
      </w:r>
      <w:r>
        <w:rPr>
          <w:rFonts w:hint="eastAsia" w:ascii="宋体" w:hAnsi="宋体" w:eastAsia="宋体" w:cs="仿宋_GB2312"/>
          <w:sz w:val="28"/>
          <w:szCs w:val="28"/>
          <w:lang w:val="en-US" w:eastAsia="zh-CN"/>
        </w:rPr>
        <w:t>5271.30</w:t>
      </w:r>
      <w:r>
        <w:rPr>
          <w:rFonts w:hint="eastAsia" w:ascii="宋体" w:hAnsi="宋体" w:eastAsia="宋体" w:cs="仿宋_GB2312"/>
          <w:sz w:val="28"/>
          <w:szCs w:val="28"/>
        </w:rPr>
        <w:t>万元。</w:t>
      </w:r>
    </w:p>
    <w:p>
      <w:pPr>
        <w:adjustRightInd w:val="0"/>
        <w:snapToGrid w:val="0"/>
        <w:spacing w:line="396" w:lineRule="auto"/>
        <w:ind w:firstLine="560" w:firstLineChars="200"/>
        <w:rPr>
          <w:rFonts w:ascii="宋体" w:hAnsi="宋体" w:eastAsia="宋体" w:cs="仿宋_GB2312"/>
          <w:sz w:val="28"/>
          <w:szCs w:val="28"/>
        </w:rPr>
      </w:pPr>
      <w:r>
        <w:rPr>
          <w:rFonts w:hint="eastAsia" w:ascii="宋体" w:hAnsi="宋体" w:eastAsia="宋体" w:cs="仿宋_GB2312"/>
          <w:sz w:val="28"/>
          <w:szCs w:val="28"/>
        </w:rPr>
        <w:t>其中：实际财政拨款收入</w:t>
      </w:r>
      <w:r>
        <w:rPr>
          <w:rFonts w:hint="eastAsia" w:ascii="宋体" w:hAnsi="宋体" w:eastAsia="宋体" w:cs="仿宋_GB2312"/>
          <w:sz w:val="28"/>
          <w:szCs w:val="28"/>
          <w:lang w:val="en-US" w:eastAsia="zh-CN"/>
        </w:rPr>
        <w:t>4263.80</w:t>
      </w:r>
      <w:r>
        <w:rPr>
          <w:rFonts w:hint="eastAsia" w:ascii="宋体" w:hAnsi="宋体" w:eastAsia="宋体" w:cs="仿宋_GB2312"/>
          <w:sz w:val="28"/>
          <w:szCs w:val="28"/>
        </w:rPr>
        <w:t>万元，</w:t>
      </w:r>
      <w:r>
        <w:rPr>
          <w:rFonts w:hint="eastAsia" w:ascii="宋体" w:hAnsi="宋体" w:eastAsia="宋体" w:cs="仿宋_GB2312"/>
          <w:sz w:val="28"/>
          <w:szCs w:val="28"/>
          <w:lang w:val="en-US" w:eastAsia="zh-CN"/>
        </w:rPr>
        <w:t>其他收入497.77万元，</w:t>
      </w:r>
      <w:r>
        <w:rPr>
          <w:rFonts w:hint="eastAsia" w:ascii="宋体" w:hAnsi="宋体" w:eastAsia="宋体" w:cs="仿宋_GB2312"/>
          <w:sz w:val="28"/>
          <w:szCs w:val="28"/>
        </w:rPr>
        <w:t>合计</w:t>
      </w:r>
      <w:r>
        <w:rPr>
          <w:rFonts w:hint="eastAsia" w:ascii="宋体" w:hAnsi="宋体" w:eastAsia="宋体" w:cs="仿宋_GB2312"/>
          <w:sz w:val="28"/>
          <w:szCs w:val="28"/>
          <w:lang w:val="en-US" w:eastAsia="zh-CN"/>
        </w:rPr>
        <w:t>4761.57</w:t>
      </w:r>
      <w:r>
        <w:rPr>
          <w:rFonts w:hint="eastAsia" w:ascii="宋体" w:hAnsi="宋体" w:eastAsia="宋体" w:cs="仿宋_GB2312"/>
          <w:sz w:val="28"/>
          <w:szCs w:val="28"/>
        </w:rPr>
        <w:t>万元。</w:t>
      </w:r>
    </w:p>
    <w:p>
      <w:pPr>
        <w:adjustRightInd w:val="0"/>
        <w:snapToGrid w:val="0"/>
        <w:spacing w:line="396" w:lineRule="auto"/>
        <w:ind w:firstLine="560" w:firstLineChars="200"/>
        <w:rPr>
          <w:rFonts w:ascii="宋体" w:hAnsi="宋体" w:eastAsia="宋体" w:cs="仿宋_GB2312"/>
          <w:sz w:val="28"/>
          <w:szCs w:val="28"/>
        </w:rPr>
      </w:pPr>
      <w:r>
        <w:rPr>
          <w:rFonts w:hint="eastAsia" w:ascii="宋体" w:hAnsi="宋体" w:eastAsia="宋体" w:cs="仿宋_GB2312"/>
          <w:sz w:val="28"/>
          <w:szCs w:val="28"/>
        </w:rPr>
        <w:t>资金投入到位率为100%。</w:t>
      </w:r>
    </w:p>
    <w:p>
      <w:pPr>
        <w:adjustRightInd w:val="0"/>
        <w:snapToGrid w:val="0"/>
        <w:spacing w:line="396" w:lineRule="auto"/>
        <w:ind w:firstLine="560" w:firstLineChars="200"/>
        <w:rPr>
          <w:rFonts w:ascii="宋体" w:hAnsi="宋体" w:eastAsia="宋体" w:cs="仿宋_GB2312"/>
          <w:bCs/>
          <w:sz w:val="28"/>
          <w:szCs w:val="28"/>
        </w:rPr>
      </w:pPr>
      <w:r>
        <w:rPr>
          <w:rFonts w:hint="eastAsia" w:ascii="宋体" w:hAnsi="宋体" w:eastAsia="宋体" w:cs="仿宋_GB2312"/>
          <w:bCs/>
          <w:sz w:val="28"/>
          <w:szCs w:val="28"/>
        </w:rPr>
        <w:t>（2）资金执行情况分析。</w:t>
      </w:r>
    </w:p>
    <w:p>
      <w:pPr>
        <w:adjustRightInd w:val="0"/>
        <w:snapToGrid w:val="0"/>
        <w:spacing w:line="396" w:lineRule="auto"/>
        <w:ind w:firstLine="560" w:firstLineChars="200"/>
        <w:rPr>
          <w:rFonts w:ascii="宋体" w:hAnsi="宋体" w:eastAsia="宋体" w:cs="仿宋_GB2312"/>
          <w:b/>
          <w:bCs/>
          <w:sz w:val="28"/>
          <w:szCs w:val="28"/>
        </w:rPr>
      </w:pPr>
      <w:r>
        <w:rPr>
          <w:rFonts w:hint="eastAsia" w:ascii="宋体" w:hAnsi="宋体" w:eastAsia="宋体"/>
          <w:sz w:val="28"/>
          <w:szCs w:val="28"/>
          <w:lang w:eastAsia="zh-CN"/>
        </w:rPr>
        <w:t>2022年</w:t>
      </w:r>
      <w:r>
        <w:rPr>
          <w:rFonts w:hint="eastAsia" w:ascii="宋体" w:hAnsi="宋体" w:eastAsia="宋体"/>
          <w:sz w:val="28"/>
          <w:szCs w:val="28"/>
        </w:rPr>
        <w:t>部门整体调整后的预算支出总额</w:t>
      </w:r>
      <w:r>
        <w:rPr>
          <w:rFonts w:hint="eastAsia" w:ascii="宋体" w:hAnsi="宋体" w:eastAsia="宋体" w:cs="仿宋_GB2312"/>
          <w:sz w:val="28"/>
          <w:szCs w:val="28"/>
          <w:lang w:val="en-US" w:eastAsia="zh-CN"/>
        </w:rPr>
        <w:t>5265.30</w:t>
      </w:r>
      <w:r>
        <w:rPr>
          <w:rFonts w:hint="eastAsia" w:ascii="宋体" w:hAnsi="宋体" w:eastAsia="宋体"/>
          <w:sz w:val="28"/>
          <w:szCs w:val="28"/>
        </w:rPr>
        <w:t>万元，实际支出总额</w:t>
      </w:r>
      <w:r>
        <w:rPr>
          <w:rFonts w:hint="eastAsia" w:ascii="宋体" w:hAnsi="宋体" w:eastAsia="宋体"/>
          <w:sz w:val="28"/>
          <w:szCs w:val="28"/>
          <w:lang w:val="en-US" w:eastAsia="zh-CN"/>
        </w:rPr>
        <w:t>5265.30</w:t>
      </w:r>
      <w:r>
        <w:rPr>
          <w:rFonts w:hint="eastAsia" w:ascii="宋体" w:hAnsi="宋体" w:eastAsia="宋体"/>
          <w:sz w:val="28"/>
          <w:szCs w:val="28"/>
        </w:rPr>
        <w:t>万元，资金支出预算执行率100%。其中：</w:t>
      </w:r>
    </w:p>
    <w:p>
      <w:pPr>
        <w:adjustRightInd w:val="0"/>
        <w:snapToGrid w:val="0"/>
        <w:spacing w:line="396" w:lineRule="auto"/>
        <w:ind w:firstLine="560" w:firstLineChars="200"/>
        <w:rPr>
          <w:rFonts w:ascii="宋体" w:hAnsi="宋体" w:eastAsia="宋体" w:cs="仿宋_GB2312"/>
          <w:sz w:val="28"/>
          <w:szCs w:val="28"/>
        </w:rPr>
      </w:pPr>
      <w:r>
        <w:rPr>
          <w:rFonts w:hint="eastAsia" w:ascii="宋体" w:hAnsi="宋体" w:eastAsia="宋体" w:cs="仿宋_GB2312"/>
          <w:sz w:val="28"/>
          <w:szCs w:val="28"/>
        </w:rPr>
        <w:t>基本支出调整后预算</w:t>
      </w:r>
      <w:r>
        <w:rPr>
          <w:rFonts w:hint="eastAsia" w:ascii="宋体" w:hAnsi="宋体" w:eastAsia="宋体" w:cs="仿宋_GB2312"/>
          <w:sz w:val="28"/>
          <w:szCs w:val="28"/>
          <w:lang w:val="en-US" w:eastAsia="zh-CN"/>
        </w:rPr>
        <w:t>1100.15</w:t>
      </w:r>
      <w:r>
        <w:rPr>
          <w:rFonts w:hint="eastAsia" w:ascii="宋体" w:hAnsi="宋体" w:eastAsia="宋体" w:cs="仿宋_GB2312"/>
          <w:sz w:val="28"/>
          <w:szCs w:val="28"/>
        </w:rPr>
        <w:t>万元，实际支出</w:t>
      </w:r>
      <w:r>
        <w:rPr>
          <w:rFonts w:hint="eastAsia" w:ascii="宋体" w:hAnsi="宋体" w:eastAsia="宋体" w:cs="仿宋_GB2312"/>
          <w:sz w:val="28"/>
          <w:szCs w:val="28"/>
          <w:lang w:val="en-US" w:eastAsia="zh-CN"/>
        </w:rPr>
        <w:t>1100.15</w:t>
      </w:r>
      <w:r>
        <w:rPr>
          <w:rFonts w:hint="eastAsia" w:ascii="宋体" w:hAnsi="宋体" w:eastAsia="宋体" w:cs="仿宋_GB2312"/>
          <w:sz w:val="28"/>
          <w:szCs w:val="28"/>
        </w:rPr>
        <w:t>万元，具体包括工资福利支出</w:t>
      </w:r>
      <w:r>
        <w:rPr>
          <w:rFonts w:hint="eastAsia" w:ascii="宋体" w:hAnsi="宋体" w:eastAsia="宋体" w:cs="仿宋_GB2312"/>
          <w:sz w:val="28"/>
          <w:szCs w:val="28"/>
          <w:lang w:val="en-US" w:eastAsia="zh-CN"/>
        </w:rPr>
        <w:t>874.59</w:t>
      </w:r>
      <w:r>
        <w:rPr>
          <w:rFonts w:hint="eastAsia" w:ascii="宋体" w:hAnsi="宋体" w:eastAsia="宋体" w:cs="仿宋_GB2312"/>
          <w:sz w:val="28"/>
          <w:szCs w:val="28"/>
        </w:rPr>
        <w:t>万元，商品和服务支出</w:t>
      </w:r>
      <w:r>
        <w:rPr>
          <w:rFonts w:hint="eastAsia" w:ascii="宋体" w:hAnsi="宋体" w:eastAsia="宋体" w:cs="仿宋_GB2312"/>
          <w:sz w:val="28"/>
          <w:szCs w:val="28"/>
          <w:lang w:val="en-US" w:eastAsia="zh-CN"/>
        </w:rPr>
        <w:t>124.95</w:t>
      </w:r>
      <w:r>
        <w:rPr>
          <w:rFonts w:hint="eastAsia" w:ascii="宋体" w:hAnsi="宋体" w:eastAsia="宋体" w:cs="仿宋_GB2312"/>
          <w:sz w:val="28"/>
          <w:szCs w:val="28"/>
        </w:rPr>
        <w:t>万元，对个人和家庭补助支出</w:t>
      </w:r>
      <w:r>
        <w:rPr>
          <w:rFonts w:hint="eastAsia" w:ascii="宋体" w:hAnsi="宋体" w:eastAsia="宋体" w:cs="仿宋_GB2312"/>
          <w:sz w:val="28"/>
          <w:szCs w:val="28"/>
          <w:lang w:val="en-US" w:eastAsia="zh-CN"/>
        </w:rPr>
        <w:t>60.67</w:t>
      </w:r>
      <w:r>
        <w:rPr>
          <w:rFonts w:hint="eastAsia" w:ascii="宋体" w:hAnsi="宋体" w:eastAsia="宋体" w:cs="仿宋_GB2312"/>
          <w:sz w:val="28"/>
          <w:szCs w:val="28"/>
        </w:rPr>
        <w:t>万元，资本性支出</w:t>
      </w:r>
      <w:r>
        <w:rPr>
          <w:rFonts w:hint="eastAsia" w:ascii="宋体" w:hAnsi="宋体" w:eastAsia="宋体" w:cs="仿宋_GB2312"/>
          <w:sz w:val="28"/>
          <w:szCs w:val="28"/>
          <w:lang w:val="en-US" w:eastAsia="zh-CN"/>
        </w:rPr>
        <w:t>6.71</w:t>
      </w:r>
      <w:r>
        <w:rPr>
          <w:rFonts w:hint="eastAsia" w:ascii="宋体" w:hAnsi="宋体" w:eastAsia="宋体" w:cs="仿宋_GB2312"/>
          <w:sz w:val="28"/>
          <w:szCs w:val="28"/>
        </w:rPr>
        <w:t>万元，其它支出</w:t>
      </w:r>
      <w:r>
        <w:rPr>
          <w:rFonts w:hint="eastAsia" w:ascii="宋体" w:hAnsi="宋体" w:eastAsia="宋体" w:cs="仿宋_GB2312"/>
          <w:sz w:val="28"/>
          <w:szCs w:val="28"/>
          <w:lang w:val="en-US" w:eastAsia="zh-CN"/>
        </w:rPr>
        <w:t>33.23</w:t>
      </w:r>
      <w:r>
        <w:rPr>
          <w:rFonts w:hint="eastAsia" w:ascii="宋体" w:hAnsi="宋体" w:eastAsia="宋体" w:cs="仿宋_GB2312"/>
          <w:sz w:val="28"/>
          <w:szCs w:val="28"/>
        </w:rPr>
        <w:t>万元。</w:t>
      </w:r>
    </w:p>
    <w:p>
      <w:pPr>
        <w:adjustRightInd w:val="0"/>
        <w:snapToGrid w:val="0"/>
        <w:spacing w:line="396" w:lineRule="auto"/>
        <w:ind w:firstLine="560" w:firstLineChars="200"/>
        <w:rPr>
          <w:rFonts w:ascii="宋体" w:hAnsi="宋体" w:eastAsia="宋体" w:cs="仿宋_GB2312"/>
          <w:sz w:val="28"/>
          <w:szCs w:val="28"/>
        </w:rPr>
      </w:pPr>
      <w:r>
        <w:rPr>
          <w:rFonts w:hint="eastAsia" w:ascii="宋体" w:hAnsi="宋体" w:eastAsia="宋体" w:cs="仿宋_GB2312"/>
          <w:sz w:val="28"/>
          <w:szCs w:val="28"/>
        </w:rPr>
        <w:t>项目支出调整后预算</w:t>
      </w:r>
      <w:r>
        <w:rPr>
          <w:rFonts w:hint="eastAsia" w:ascii="宋体" w:hAnsi="宋体" w:eastAsia="宋体" w:cs="仿宋_GB2312"/>
          <w:sz w:val="28"/>
          <w:szCs w:val="28"/>
          <w:lang w:val="en-US" w:eastAsia="zh-CN"/>
        </w:rPr>
        <w:t>5265.30</w:t>
      </w:r>
      <w:r>
        <w:rPr>
          <w:rFonts w:hint="eastAsia" w:ascii="宋体" w:hAnsi="宋体" w:eastAsia="宋体" w:cs="仿宋_GB2312"/>
          <w:sz w:val="28"/>
          <w:szCs w:val="28"/>
        </w:rPr>
        <w:t>万元，实际支出为</w:t>
      </w:r>
      <w:r>
        <w:rPr>
          <w:rFonts w:hint="eastAsia" w:ascii="宋体" w:hAnsi="宋体" w:eastAsia="宋体" w:cs="仿宋_GB2312"/>
          <w:sz w:val="28"/>
          <w:szCs w:val="28"/>
          <w:lang w:val="en-US" w:eastAsia="zh-CN"/>
        </w:rPr>
        <w:t>5265.30</w:t>
      </w:r>
      <w:r>
        <w:rPr>
          <w:rFonts w:hint="eastAsia" w:ascii="宋体" w:hAnsi="宋体" w:eastAsia="宋体" w:cs="仿宋_GB2312"/>
          <w:sz w:val="28"/>
          <w:szCs w:val="28"/>
        </w:rPr>
        <w:t>万元</w:t>
      </w:r>
      <w:r>
        <w:rPr>
          <w:rFonts w:hint="eastAsia" w:ascii="宋体" w:hAnsi="宋体" w:eastAsia="宋体" w:cs="仿宋_GB2312"/>
          <w:sz w:val="28"/>
          <w:szCs w:val="28"/>
          <w:lang w:val="en-US" w:eastAsia="zh-CN"/>
        </w:rPr>
        <w:t>.</w:t>
      </w:r>
    </w:p>
    <w:p>
      <w:pPr>
        <w:adjustRightInd w:val="0"/>
        <w:snapToGrid w:val="0"/>
        <w:spacing w:line="396" w:lineRule="auto"/>
        <w:ind w:left="570"/>
        <w:rPr>
          <w:rFonts w:ascii="宋体" w:hAnsi="宋体" w:eastAsia="宋体" w:cs="仿宋_GB2312"/>
          <w:sz w:val="28"/>
          <w:szCs w:val="28"/>
        </w:rPr>
      </w:pPr>
      <w:r>
        <w:rPr>
          <w:rFonts w:ascii="宋体" w:hAnsi="宋体" w:eastAsia="宋体" w:cs="仿宋_GB2312"/>
          <w:sz w:val="28"/>
          <w:szCs w:val="28"/>
        </w:rPr>
        <w:fldChar w:fldCharType="begin"/>
      </w:r>
      <w:r>
        <w:rPr>
          <w:rFonts w:ascii="宋体" w:hAnsi="宋体" w:eastAsia="宋体" w:cs="仿宋_GB2312"/>
          <w:sz w:val="28"/>
          <w:szCs w:val="28"/>
        </w:rPr>
        <w:instrText xml:space="preserve"> </w:instrText>
      </w:r>
      <w:r>
        <w:rPr>
          <w:rFonts w:hint="eastAsia" w:ascii="宋体" w:hAnsi="宋体" w:eastAsia="宋体" w:cs="仿宋_GB2312"/>
          <w:sz w:val="28"/>
          <w:szCs w:val="28"/>
        </w:rPr>
        <w:instrText xml:space="preserve">= 1 \* GB3</w:instrText>
      </w:r>
      <w:r>
        <w:rPr>
          <w:rFonts w:ascii="宋体" w:hAnsi="宋体" w:eastAsia="宋体" w:cs="仿宋_GB2312"/>
          <w:sz w:val="28"/>
          <w:szCs w:val="28"/>
        </w:rPr>
        <w:instrText xml:space="preserve"> </w:instrText>
      </w:r>
      <w:r>
        <w:rPr>
          <w:rFonts w:ascii="宋体" w:hAnsi="宋体" w:eastAsia="宋体" w:cs="仿宋_GB2312"/>
          <w:sz w:val="28"/>
          <w:szCs w:val="28"/>
        </w:rPr>
        <w:fldChar w:fldCharType="separate"/>
      </w:r>
      <w:r>
        <w:rPr>
          <w:rFonts w:hint="eastAsia" w:ascii="宋体" w:hAnsi="宋体" w:eastAsia="宋体" w:cs="仿宋_GB2312"/>
          <w:sz w:val="28"/>
          <w:szCs w:val="28"/>
        </w:rPr>
        <w:t>①</w:t>
      </w:r>
      <w:r>
        <w:rPr>
          <w:rFonts w:ascii="宋体" w:hAnsi="宋体" w:eastAsia="宋体" w:cs="仿宋_GB2312"/>
          <w:sz w:val="28"/>
          <w:szCs w:val="28"/>
        </w:rPr>
        <w:fldChar w:fldCharType="end"/>
      </w:r>
      <w:r>
        <w:rPr>
          <w:rFonts w:hint="eastAsia" w:ascii="宋体" w:hAnsi="宋体" w:eastAsia="宋体" w:cs="仿宋_GB2312"/>
          <w:sz w:val="28"/>
          <w:szCs w:val="28"/>
        </w:rPr>
        <w:t>结转结余率</w:t>
      </w:r>
    </w:p>
    <w:p>
      <w:pPr>
        <w:adjustRightInd w:val="0"/>
        <w:snapToGrid w:val="0"/>
        <w:spacing w:line="396" w:lineRule="auto"/>
        <w:ind w:left="-15" w:right="125" w:firstLine="550"/>
        <w:rPr>
          <w:rFonts w:ascii="宋体" w:hAnsi="宋体" w:eastAsia="宋体" w:cs="仿宋_GB2312"/>
          <w:sz w:val="28"/>
          <w:szCs w:val="28"/>
        </w:rPr>
      </w:pPr>
      <w:r>
        <w:rPr>
          <w:rFonts w:hint="eastAsia" w:ascii="宋体" w:hAnsi="宋体" w:eastAsia="宋体" w:cs="仿宋_GB2312"/>
          <w:sz w:val="28"/>
          <w:szCs w:val="28"/>
        </w:rPr>
        <w:t>根据预决算资料，年末结转结余</w:t>
      </w:r>
      <w:r>
        <w:rPr>
          <w:rFonts w:hint="eastAsia" w:ascii="宋体" w:hAnsi="宋体" w:eastAsia="宋体" w:cs="仿宋_GB2312"/>
          <w:sz w:val="28"/>
          <w:szCs w:val="28"/>
          <w:lang w:val="en-US" w:eastAsia="zh-CN"/>
        </w:rPr>
        <w:t>6</w:t>
      </w:r>
      <w:r>
        <w:rPr>
          <w:rFonts w:hint="eastAsia" w:ascii="宋体" w:hAnsi="宋体" w:eastAsia="宋体" w:cs="仿宋_GB2312"/>
          <w:sz w:val="28"/>
          <w:szCs w:val="28"/>
        </w:rPr>
        <w:t>万元，全年支出决算总额</w:t>
      </w:r>
      <w:r>
        <w:rPr>
          <w:rFonts w:hint="eastAsia" w:ascii="宋体" w:hAnsi="宋体" w:eastAsia="宋体" w:cs="仿宋_GB2312"/>
          <w:sz w:val="28"/>
          <w:szCs w:val="28"/>
          <w:lang w:val="en-US" w:eastAsia="zh-CN"/>
        </w:rPr>
        <w:t>5265.30</w:t>
      </w:r>
      <w:r>
        <w:rPr>
          <w:rFonts w:hint="eastAsia" w:ascii="宋体" w:hAnsi="宋体" w:eastAsia="宋体" w:cs="仿宋_GB2312"/>
          <w:sz w:val="28"/>
          <w:szCs w:val="28"/>
        </w:rPr>
        <w:t>万元，结转结余率为</w:t>
      </w:r>
      <w:r>
        <w:rPr>
          <w:rFonts w:hint="eastAsia" w:ascii="宋体" w:hAnsi="宋体" w:eastAsia="宋体" w:cs="仿宋_GB2312"/>
          <w:sz w:val="28"/>
          <w:szCs w:val="28"/>
          <w:lang w:val="en-US" w:eastAsia="zh-CN"/>
        </w:rPr>
        <w:t>0.09</w:t>
      </w:r>
      <w:r>
        <w:rPr>
          <w:rFonts w:hint="eastAsia" w:ascii="宋体" w:hAnsi="宋体" w:eastAsia="宋体" w:cs="仿宋_GB2312"/>
          <w:sz w:val="28"/>
          <w:szCs w:val="28"/>
        </w:rPr>
        <w:t>%。年度结转结余得到有效控制。</w:t>
      </w:r>
    </w:p>
    <w:p>
      <w:pPr>
        <w:adjustRightInd w:val="0"/>
        <w:snapToGrid w:val="0"/>
        <w:spacing w:line="396" w:lineRule="auto"/>
        <w:ind w:left="-15" w:right="125" w:firstLine="550"/>
        <w:rPr>
          <w:rFonts w:ascii="宋体" w:hAnsi="宋体" w:eastAsia="宋体" w:cs="仿宋_GB2312"/>
          <w:sz w:val="28"/>
          <w:szCs w:val="28"/>
        </w:rPr>
      </w:pPr>
      <w:r>
        <w:rPr>
          <w:rFonts w:ascii="宋体" w:hAnsi="宋体" w:eastAsia="宋体" w:cs="仿宋_GB2312"/>
          <w:sz w:val="28"/>
          <w:szCs w:val="28"/>
        </w:rPr>
        <w:fldChar w:fldCharType="begin"/>
      </w:r>
      <w:r>
        <w:rPr>
          <w:rFonts w:ascii="宋体" w:hAnsi="宋体" w:eastAsia="宋体" w:cs="仿宋_GB2312"/>
          <w:sz w:val="28"/>
          <w:szCs w:val="28"/>
        </w:rPr>
        <w:instrText xml:space="preserve"> </w:instrText>
      </w:r>
      <w:r>
        <w:rPr>
          <w:rFonts w:hint="eastAsia" w:ascii="宋体" w:hAnsi="宋体" w:eastAsia="宋体" w:cs="仿宋_GB2312"/>
          <w:sz w:val="28"/>
          <w:szCs w:val="28"/>
        </w:rPr>
        <w:instrText xml:space="preserve">= 2 \* GB3</w:instrText>
      </w:r>
      <w:r>
        <w:rPr>
          <w:rFonts w:ascii="宋体" w:hAnsi="宋体" w:eastAsia="宋体" w:cs="仿宋_GB2312"/>
          <w:sz w:val="28"/>
          <w:szCs w:val="28"/>
        </w:rPr>
        <w:instrText xml:space="preserve"> </w:instrText>
      </w:r>
      <w:r>
        <w:rPr>
          <w:rFonts w:ascii="宋体" w:hAnsi="宋体" w:eastAsia="宋体" w:cs="仿宋_GB2312"/>
          <w:sz w:val="28"/>
          <w:szCs w:val="28"/>
        </w:rPr>
        <w:fldChar w:fldCharType="separate"/>
      </w:r>
      <w:r>
        <w:rPr>
          <w:rFonts w:hint="eastAsia" w:ascii="宋体" w:hAnsi="宋体" w:eastAsia="宋体" w:cs="仿宋_GB2312"/>
          <w:sz w:val="28"/>
          <w:szCs w:val="28"/>
        </w:rPr>
        <w:t>②</w:t>
      </w:r>
      <w:r>
        <w:rPr>
          <w:rFonts w:ascii="宋体" w:hAnsi="宋体" w:eastAsia="宋体" w:cs="仿宋_GB2312"/>
          <w:sz w:val="28"/>
          <w:szCs w:val="28"/>
        </w:rPr>
        <w:fldChar w:fldCharType="end"/>
      </w:r>
      <w:r>
        <w:rPr>
          <w:rFonts w:hint="eastAsia" w:ascii="宋体" w:hAnsi="宋体" w:eastAsia="宋体" w:cs="仿宋_GB2312"/>
          <w:sz w:val="28"/>
          <w:szCs w:val="28"/>
        </w:rPr>
        <w:t>结转结余变动率</w:t>
      </w:r>
    </w:p>
    <w:p>
      <w:pPr>
        <w:adjustRightInd w:val="0"/>
        <w:snapToGrid w:val="0"/>
        <w:spacing w:line="396" w:lineRule="auto"/>
        <w:ind w:left="-15" w:right="125" w:firstLine="550"/>
        <w:rPr>
          <w:rFonts w:ascii="宋体" w:hAnsi="宋体" w:eastAsia="宋体" w:cs="仿宋_GB2312"/>
          <w:sz w:val="28"/>
          <w:szCs w:val="28"/>
        </w:rPr>
      </w:pPr>
      <w:r>
        <w:rPr>
          <w:rFonts w:hint="eastAsia" w:ascii="宋体" w:hAnsi="宋体" w:eastAsia="宋体" w:cs="仿宋_GB2312"/>
          <w:sz w:val="28"/>
          <w:szCs w:val="28"/>
        </w:rPr>
        <w:t>根据预决算资料，部门本年度结余结转资金总额</w:t>
      </w:r>
      <w:r>
        <w:rPr>
          <w:rFonts w:hint="eastAsia" w:ascii="宋体" w:hAnsi="宋体" w:eastAsia="宋体" w:cs="仿宋_GB2312"/>
          <w:sz w:val="28"/>
          <w:szCs w:val="28"/>
          <w:lang w:val="en-US" w:eastAsia="zh-CN"/>
        </w:rPr>
        <w:t>6</w:t>
      </w:r>
      <w:r>
        <w:rPr>
          <w:rFonts w:hint="eastAsia" w:ascii="宋体" w:hAnsi="宋体" w:eastAsia="宋体" w:cs="仿宋_GB2312"/>
          <w:sz w:val="28"/>
          <w:szCs w:val="28"/>
        </w:rPr>
        <w:t>万元，上年度调整后结余结转资金总额</w:t>
      </w:r>
      <w:r>
        <w:rPr>
          <w:rFonts w:hint="eastAsia" w:ascii="宋体" w:hAnsi="宋体" w:eastAsia="宋体" w:cs="仿宋_GB2312"/>
          <w:sz w:val="28"/>
          <w:szCs w:val="28"/>
          <w:lang w:val="en-US" w:eastAsia="zh-CN"/>
        </w:rPr>
        <w:t>509.73</w:t>
      </w:r>
      <w:r>
        <w:rPr>
          <w:rFonts w:hint="eastAsia" w:ascii="宋体" w:hAnsi="宋体" w:eastAsia="宋体" w:cs="仿宋_GB2312"/>
          <w:sz w:val="28"/>
          <w:szCs w:val="28"/>
        </w:rPr>
        <w:t>万元，结转结余变动率</w:t>
      </w:r>
      <w:r>
        <w:rPr>
          <w:rFonts w:hint="eastAsia" w:ascii="宋体" w:hAnsi="宋体" w:eastAsia="宋体" w:cs="仿宋_GB2312"/>
          <w:sz w:val="28"/>
          <w:szCs w:val="28"/>
          <w:lang w:val="en-US" w:eastAsia="zh-CN"/>
        </w:rPr>
        <w:t>98.82</w:t>
      </w:r>
      <w:r>
        <w:rPr>
          <w:rFonts w:hint="eastAsia" w:ascii="宋体" w:hAnsi="宋体" w:eastAsia="宋体" w:cs="仿宋_GB2312"/>
          <w:sz w:val="28"/>
          <w:szCs w:val="28"/>
        </w:rPr>
        <w:t>%。</w:t>
      </w:r>
    </w:p>
    <w:p>
      <w:pPr>
        <w:adjustRightInd w:val="0"/>
        <w:snapToGrid w:val="0"/>
        <w:spacing w:line="396" w:lineRule="auto"/>
        <w:ind w:left="-15" w:right="125" w:firstLine="550"/>
        <w:rPr>
          <w:rFonts w:ascii="宋体" w:hAnsi="宋体" w:eastAsia="宋体" w:cs="仿宋_GB2312"/>
          <w:sz w:val="28"/>
          <w:szCs w:val="28"/>
        </w:rPr>
      </w:pPr>
      <w:r>
        <w:rPr>
          <w:rFonts w:ascii="宋体" w:hAnsi="宋体" w:eastAsia="宋体" w:cs="仿宋_GB2312"/>
          <w:sz w:val="28"/>
          <w:szCs w:val="28"/>
        </w:rPr>
        <w:fldChar w:fldCharType="begin"/>
      </w:r>
      <w:r>
        <w:rPr>
          <w:rFonts w:ascii="宋体" w:hAnsi="宋体" w:eastAsia="宋体" w:cs="仿宋_GB2312"/>
          <w:sz w:val="28"/>
          <w:szCs w:val="28"/>
        </w:rPr>
        <w:instrText xml:space="preserve"> </w:instrText>
      </w:r>
      <w:r>
        <w:rPr>
          <w:rFonts w:hint="eastAsia" w:ascii="宋体" w:hAnsi="宋体" w:eastAsia="宋体" w:cs="仿宋_GB2312"/>
          <w:sz w:val="28"/>
          <w:szCs w:val="28"/>
        </w:rPr>
        <w:instrText xml:space="preserve">= 3 \* GB3</w:instrText>
      </w:r>
      <w:r>
        <w:rPr>
          <w:rFonts w:ascii="宋体" w:hAnsi="宋体" w:eastAsia="宋体" w:cs="仿宋_GB2312"/>
          <w:sz w:val="28"/>
          <w:szCs w:val="28"/>
        </w:rPr>
        <w:instrText xml:space="preserve"> </w:instrText>
      </w:r>
      <w:r>
        <w:rPr>
          <w:rFonts w:ascii="宋体" w:hAnsi="宋体" w:eastAsia="宋体" w:cs="仿宋_GB2312"/>
          <w:sz w:val="28"/>
          <w:szCs w:val="28"/>
        </w:rPr>
        <w:fldChar w:fldCharType="separate"/>
      </w:r>
      <w:r>
        <w:rPr>
          <w:rFonts w:hint="eastAsia" w:ascii="宋体" w:hAnsi="宋体" w:eastAsia="宋体" w:cs="仿宋_GB2312"/>
          <w:sz w:val="28"/>
          <w:szCs w:val="28"/>
        </w:rPr>
        <w:t>③</w:t>
      </w:r>
      <w:r>
        <w:rPr>
          <w:rFonts w:ascii="宋体" w:hAnsi="宋体" w:eastAsia="宋体" w:cs="仿宋_GB2312"/>
          <w:sz w:val="28"/>
          <w:szCs w:val="28"/>
        </w:rPr>
        <w:fldChar w:fldCharType="end"/>
      </w:r>
      <w:r>
        <w:rPr>
          <w:rFonts w:hint="eastAsia" w:ascii="宋体" w:hAnsi="宋体" w:eastAsia="宋体" w:cs="仿宋_GB2312"/>
          <w:sz w:val="28"/>
          <w:szCs w:val="28"/>
        </w:rPr>
        <w:t>公用经费控制率</w:t>
      </w:r>
    </w:p>
    <w:p>
      <w:pPr>
        <w:adjustRightInd w:val="0"/>
        <w:snapToGrid w:val="0"/>
        <w:spacing w:line="396" w:lineRule="auto"/>
        <w:ind w:left="-15" w:right="125" w:firstLine="550"/>
        <w:rPr>
          <w:rFonts w:ascii="宋体" w:hAnsi="宋体" w:eastAsia="宋体" w:cs="仿宋_GB2312"/>
          <w:sz w:val="28"/>
          <w:szCs w:val="28"/>
        </w:rPr>
      </w:pPr>
      <w:r>
        <w:rPr>
          <w:rFonts w:hint="eastAsia" w:ascii="宋体" w:hAnsi="宋体" w:eastAsia="宋体" w:cs="仿宋_GB2312"/>
          <w:sz w:val="28"/>
          <w:szCs w:val="28"/>
        </w:rPr>
        <w:t>根据预决算资料，部门预算安排的公用经费总额为</w:t>
      </w:r>
      <w:r>
        <w:rPr>
          <w:rFonts w:hint="eastAsia" w:ascii="宋体" w:hAnsi="宋体" w:eastAsia="宋体" w:cs="仿宋_GB2312"/>
          <w:sz w:val="28"/>
          <w:szCs w:val="28"/>
          <w:lang w:val="en-US" w:eastAsia="zh-CN"/>
        </w:rPr>
        <w:t>164.88</w:t>
      </w:r>
      <w:r>
        <w:rPr>
          <w:rFonts w:hint="eastAsia" w:ascii="宋体" w:hAnsi="宋体" w:eastAsia="宋体" w:cs="仿宋_GB2312"/>
          <w:sz w:val="28"/>
          <w:szCs w:val="28"/>
        </w:rPr>
        <w:t>万元，实际支出的公用经费总额为</w:t>
      </w:r>
      <w:r>
        <w:rPr>
          <w:rFonts w:hint="eastAsia" w:ascii="宋体" w:hAnsi="宋体" w:eastAsia="宋体" w:cs="仿宋_GB2312"/>
          <w:sz w:val="28"/>
          <w:szCs w:val="28"/>
          <w:lang w:val="en-US" w:eastAsia="zh-CN"/>
        </w:rPr>
        <w:t>164.88</w:t>
      </w:r>
      <w:r>
        <w:rPr>
          <w:rFonts w:hint="eastAsia" w:ascii="宋体" w:hAnsi="宋体" w:eastAsia="宋体" w:cs="仿宋_GB2312"/>
          <w:sz w:val="28"/>
          <w:szCs w:val="28"/>
        </w:rPr>
        <w:t>万元，公用经费控制率100%。</w:t>
      </w:r>
    </w:p>
    <w:p>
      <w:pPr>
        <w:adjustRightInd w:val="0"/>
        <w:snapToGrid w:val="0"/>
        <w:spacing w:line="396" w:lineRule="auto"/>
        <w:ind w:left="-15" w:right="125" w:firstLine="550"/>
        <w:rPr>
          <w:rFonts w:ascii="宋体" w:hAnsi="宋体" w:eastAsia="宋体" w:cs="仿宋_GB2312"/>
          <w:sz w:val="28"/>
          <w:szCs w:val="28"/>
        </w:rPr>
      </w:pPr>
      <w:r>
        <w:rPr>
          <w:rFonts w:ascii="宋体" w:hAnsi="宋体" w:eastAsia="宋体" w:cs="仿宋_GB2312"/>
          <w:sz w:val="28"/>
          <w:szCs w:val="28"/>
        </w:rPr>
        <w:fldChar w:fldCharType="begin"/>
      </w:r>
      <w:r>
        <w:rPr>
          <w:rFonts w:ascii="宋体" w:hAnsi="宋体" w:eastAsia="宋体" w:cs="仿宋_GB2312"/>
          <w:sz w:val="28"/>
          <w:szCs w:val="28"/>
        </w:rPr>
        <w:instrText xml:space="preserve"> </w:instrText>
      </w:r>
      <w:r>
        <w:rPr>
          <w:rFonts w:hint="eastAsia" w:ascii="宋体" w:hAnsi="宋体" w:eastAsia="宋体" w:cs="仿宋_GB2312"/>
          <w:sz w:val="28"/>
          <w:szCs w:val="28"/>
        </w:rPr>
        <w:instrText xml:space="preserve">= 4 \* GB3</w:instrText>
      </w:r>
      <w:r>
        <w:rPr>
          <w:rFonts w:ascii="宋体" w:hAnsi="宋体" w:eastAsia="宋体" w:cs="仿宋_GB2312"/>
          <w:sz w:val="28"/>
          <w:szCs w:val="28"/>
        </w:rPr>
        <w:instrText xml:space="preserve"> </w:instrText>
      </w:r>
      <w:r>
        <w:rPr>
          <w:rFonts w:ascii="宋体" w:hAnsi="宋体" w:eastAsia="宋体" w:cs="仿宋_GB2312"/>
          <w:sz w:val="28"/>
          <w:szCs w:val="28"/>
        </w:rPr>
        <w:fldChar w:fldCharType="separate"/>
      </w:r>
      <w:r>
        <w:rPr>
          <w:rFonts w:hint="eastAsia" w:ascii="宋体" w:hAnsi="宋体" w:eastAsia="宋体" w:cs="仿宋_GB2312"/>
          <w:sz w:val="28"/>
          <w:szCs w:val="28"/>
        </w:rPr>
        <w:t>④</w:t>
      </w:r>
      <w:r>
        <w:rPr>
          <w:rFonts w:ascii="宋体" w:hAnsi="宋体" w:eastAsia="宋体" w:cs="仿宋_GB2312"/>
          <w:sz w:val="28"/>
          <w:szCs w:val="28"/>
        </w:rPr>
        <w:fldChar w:fldCharType="end"/>
      </w:r>
      <w:r>
        <w:rPr>
          <w:rFonts w:hint="eastAsia" w:ascii="宋体" w:hAnsi="宋体" w:eastAsia="宋体" w:cs="仿宋_GB2312"/>
          <w:sz w:val="28"/>
          <w:szCs w:val="28"/>
        </w:rPr>
        <w:t xml:space="preserve"> “三公经费”控制率</w:t>
      </w:r>
    </w:p>
    <w:p>
      <w:pPr>
        <w:adjustRightInd w:val="0"/>
        <w:snapToGrid w:val="0"/>
        <w:spacing w:line="396" w:lineRule="auto"/>
        <w:ind w:firstLine="560" w:firstLineChars="200"/>
        <w:rPr>
          <w:rFonts w:ascii="宋体" w:hAnsi="宋体" w:eastAsia="宋体" w:cs="仿宋_GB2312"/>
          <w:sz w:val="28"/>
          <w:szCs w:val="28"/>
        </w:rPr>
      </w:pPr>
      <w:r>
        <w:rPr>
          <w:rFonts w:hint="eastAsia" w:ascii="宋体" w:hAnsi="宋体" w:eastAsia="宋体" w:cs="仿宋_GB2312"/>
          <w:sz w:val="28"/>
          <w:szCs w:val="28"/>
        </w:rPr>
        <w:t>根据预决算资料，“三公经费”预算数为1</w:t>
      </w:r>
      <w:r>
        <w:rPr>
          <w:rFonts w:hint="eastAsia" w:ascii="宋体" w:hAnsi="宋体" w:eastAsia="宋体" w:cs="仿宋_GB2312"/>
          <w:sz w:val="28"/>
          <w:szCs w:val="28"/>
          <w:lang w:val="en-US" w:eastAsia="zh-CN"/>
        </w:rPr>
        <w:t>3.43</w:t>
      </w:r>
      <w:r>
        <w:rPr>
          <w:rFonts w:hint="eastAsia" w:ascii="宋体" w:hAnsi="宋体" w:eastAsia="宋体" w:cs="仿宋_GB2312"/>
          <w:sz w:val="28"/>
          <w:szCs w:val="28"/>
        </w:rPr>
        <w:t>万元，实际支出数为</w:t>
      </w:r>
      <w:r>
        <w:rPr>
          <w:rFonts w:hint="eastAsia" w:ascii="宋体" w:hAnsi="宋体" w:eastAsia="宋体" w:cs="仿宋_GB2312"/>
          <w:sz w:val="28"/>
          <w:szCs w:val="28"/>
          <w:lang w:val="en-US" w:eastAsia="zh-CN"/>
        </w:rPr>
        <w:t>8.42</w:t>
      </w:r>
      <w:r>
        <w:rPr>
          <w:rFonts w:hint="eastAsia" w:ascii="宋体" w:hAnsi="宋体" w:eastAsia="宋体" w:cs="仿宋_GB2312"/>
          <w:sz w:val="28"/>
          <w:szCs w:val="28"/>
        </w:rPr>
        <w:t>万元，控制率为</w:t>
      </w:r>
      <w:r>
        <w:rPr>
          <w:rFonts w:hint="eastAsia" w:ascii="宋体" w:hAnsi="宋体" w:eastAsia="宋体" w:cs="仿宋_GB2312"/>
          <w:sz w:val="28"/>
          <w:szCs w:val="28"/>
          <w:lang w:val="en-US" w:eastAsia="zh-CN"/>
        </w:rPr>
        <w:t>62.69</w:t>
      </w:r>
      <w:r>
        <w:rPr>
          <w:rFonts w:hint="eastAsia" w:ascii="宋体" w:hAnsi="宋体" w:eastAsia="宋体" w:cs="仿宋_GB2312"/>
          <w:sz w:val="28"/>
          <w:szCs w:val="28"/>
        </w:rPr>
        <w:t>%。因公出国（境）未发生费用，且实施公务用车制度改革，公务用车购置及运行维护费</w:t>
      </w:r>
      <w:r>
        <w:rPr>
          <w:rFonts w:hint="eastAsia" w:ascii="宋体" w:hAnsi="宋体" w:eastAsia="宋体" w:cs="仿宋_GB2312"/>
          <w:sz w:val="28"/>
          <w:szCs w:val="28"/>
          <w:lang w:val="en-US" w:eastAsia="zh-CN"/>
        </w:rPr>
        <w:t>7.04</w:t>
      </w:r>
      <w:r>
        <w:rPr>
          <w:rFonts w:hint="eastAsia" w:ascii="宋体" w:hAnsi="宋体" w:eastAsia="宋体" w:cs="仿宋_GB2312"/>
          <w:sz w:val="28"/>
          <w:szCs w:val="28"/>
        </w:rPr>
        <w:t>万元，公务接待活动费用1</w:t>
      </w:r>
      <w:r>
        <w:rPr>
          <w:rFonts w:hint="eastAsia" w:ascii="宋体" w:hAnsi="宋体" w:eastAsia="宋体" w:cs="仿宋_GB2312"/>
          <w:sz w:val="28"/>
          <w:szCs w:val="28"/>
          <w:lang w:val="en-US" w:eastAsia="zh-CN"/>
        </w:rPr>
        <w:t>.38</w:t>
      </w:r>
      <w:r>
        <w:rPr>
          <w:rFonts w:hint="eastAsia" w:ascii="宋体" w:hAnsi="宋体" w:eastAsia="宋体" w:cs="仿宋_GB2312"/>
          <w:sz w:val="28"/>
          <w:szCs w:val="28"/>
        </w:rPr>
        <w:t>万元，因疫情影响使得“三公”经费单项有所减少。</w:t>
      </w:r>
    </w:p>
    <w:p>
      <w:pPr>
        <w:adjustRightInd w:val="0"/>
        <w:snapToGrid w:val="0"/>
        <w:spacing w:line="384" w:lineRule="auto"/>
        <w:ind w:firstLine="560" w:firstLineChars="200"/>
        <w:rPr>
          <w:rFonts w:ascii="宋体" w:hAnsi="宋体" w:eastAsia="宋体" w:cs="仿宋_GB2312"/>
          <w:sz w:val="28"/>
          <w:szCs w:val="28"/>
        </w:rPr>
      </w:pPr>
      <w:r>
        <w:rPr>
          <w:rFonts w:ascii="宋体" w:hAnsi="宋体" w:eastAsia="宋体" w:cs="仿宋_GB2312"/>
          <w:sz w:val="28"/>
          <w:szCs w:val="28"/>
        </w:rPr>
        <w:fldChar w:fldCharType="begin"/>
      </w:r>
      <w:r>
        <w:rPr>
          <w:rFonts w:ascii="宋体" w:hAnsi="宋体" w:eastAsia="宋体" w:cs="仿宋_GB2312"/>
          <w:sz w:val="28"/>
          <w:szCs w:val="28"/>
        </w:rPr>
        <w:instrText xml:space="preserve"> </w:instrText>
      </w:r>
      <w:r>
        <w:rPr>
          <w:rFonts w:hint="eastAsia" w:ascii="宋体" w:hAnsi="宋体" w:eastAsia="宋体" w:cs="仿宋_GB2312"/>
          <w:sz w:val="28"/>
          <w:szCs w:val="28"/>
        </w:rPr>
        <w:instrText xml:space="preserve">= 5 \* GB3</w:instrText>
      </w:r>
      <w:r>
        <w:rPr>
          <w:rFonts w:ascii="宋体" w:hAnsi="宋体" w:eastAsia="宋体" w:cs="仿宋_GB2312"/>
          <w:sz w:val="28"/>
          <w:szCs w:val="28"/>
        </w:rPr>
        <w:instrText xml:space="preserve"> </w:instrText>
      </w:r>
      <w:r>
        <w:rPr>
          <w:rFonts w:ascii="宋体" w:hAnsi="宋体" w:eastAsia="宋体" w:cs="仿宋_GB2312"/>
          <w:sz w:val="28"/>
          <w:szCs w:val="28"/>
        </w:rPr>
        <w:fldChar w:fldCharType="separate"/>
      </w:r>
      <w:r>
        <w:rPr>
          <w:rFonts w:hint="eastAsia" w:ascii="宋体" w:hAnsi="宋体" w:eastAsia="宋体" w:cs="仿宋_GB2312"/>
          <w:sz w:val="28"/>
          <w:szCs w:val="28"/>
        </w:rPr>
        <w:t>⑤</w:t>
      </w:r>
      <w:r>
        <w:rPr>
          <w:rFonts w:ascii="宋体" w:hAnsi="宋体" w:eastAsia="宋体" w:cs="仿宋_GB2312"/>
          <w:sz w:val="28"/>
          <w:szCs w:val="28"/>
        </w:rPr>
        <w:fldChar w:fldCharType="end"/>
      </w:r>
      <w:r>
        <w:rPr>
          <w:rFonts w:hint="eastAsia" w:ascii="宋体" w:hAnsi="宋体" w:eastAsia="宋体" w:cs="仿宋_GB2312"/>
          <w:sz w:val="28"/>
          <w:szCs w:val="28"/>
        </w:rPr>
        <w:t>管理制度健全性</w:t>
      </w:r>
    </w:p>
    <w:p>
      <w:pPr>
        <w:adjustRightInd w:val="0"/>
        <w:snapToGrid w:val="0"/>
        <w:spacing w:line="384" w:lineRule="auto"/>
        <w:ind w:firstLine="560" w:firstLineChars="200"/>
        <w:rPr>
          <w:rFonts w:ascii="宋体" w:hAnsi="宋体" w:eastAsia="宋体" w:cs="仿宋_GB2312"/>
          <w:sz w:val="28"/>
          <w:szCs w:val="28"/>
        </w:rPr>
      </w:pPr>
      <w:r>
        <w:rPr>
          <w:rFonts w:hint="eastAsia" w:ascii="宋体" w:hAnsi="宋体" w:eastAsia="宋体" w:cs="仿宋_GB2312"/>
          <w:sz w:val="28"/>
          <w:szCs w:val="28"/>
        </w:rPr>
        <w:t>本部门建立各项管理制度，有内部财务管理制度、会计核算制度、公务接待制度、出差管理办法、公车管理、会议制度、预案销号制度、厉行节约制度、资产管理等制度，相关管理制度合法、合规、完整，相关管理制度得到有效执行。</w:t>
      </w:r>
    </w:p>
    <w:p>
      <w:pPr>
        <w:adjustRightInd w:val="0"/>
        <w:snapToGrid w:val="0"/>
        <w:spacing w:line="384" w:lineRule="auto"/>
        <w:ind w:firstLine="560" w:firstLineChars="200"/>
        <w:rPr>
          <w:rFonts w:ascii="宋体" w:hAnsi="宋体" w:eastAsia="宋体" w:cs="仿宋_GB2312"/>
          <w:sz w:val="28"/>
          <w:szCs w:val="28"/>
        </w:rPr>
      </w:pPr>
      <w:r>
        <w:rPr>
          <w:rFonts w:hint="eastAsia" w:ascii="宋体" w:hAnsi="宋体" w:eastAsia="宋体" w:cs="仿宋_GB2312"/>
          <w:sz w:val="28"/>
          <w:szCs w:val="28"/>
        </w:rPr>
        <w:fldChar w:fldCharType="begin"/>
      </w:r>
      <w:r>
        <w:rPr>
          <w:rFonts w:hint="eastAsia" w:ascii="宋体" w:hAnsi="宋体" w:eastAsia="宋体" w:cs="仿宋_GB2312"/>
          <w:sz w:val="28"/>
          <w:szCs w:val="28"/>
        </w:rPr>
        <w:instrText xml:space="preserve"> = 6 \* GB3 \* MERGEFORMAT </w:instrText>
      </w:r>
      <w:r>
        <w:rPr>
          <w:rFonts w:hint="eastAsia" w:ascii="宋体" w:hAnsi="宋体" w:eastAsia="宋体" w:cs="仿宋_GB2312"/>
          <w:sz w:val="28"/>
          <w:szCs w:val="28"/>
        </w:rPr>
        <w:fldChar w:fldCharType="separate"/>
      </w:r>
      <w:r>
        <w:rPr>
          <w:sz w:val="28"/>
          <w:szCs w:val="28"/>
        </w:rPr>
        <w:t>⑥</w:t>
      </w:r>
      <w:r>
        <w:rPr>
          <w:rFonts w:hint="eastAsia" w:ascii="宋体" w:hAnsi="宋体" w:eastAsia="宋体" w:cs="仿宋_GB2312"/>
          <w:sz w:val="28"/>
          <w:szCs w:val="28"/>
        </w:rPr>
        <w:fldChar w:fldCharType="end"/>
      </w:r>
      <w:r>
        <w:rPr>
          <w:rFonts w:hint="eastAsia" w:ascii="宋体" w:hAnsi="宋体" w:eastAsia="宋体" w:cs="仿宋_GB2312"/>
          <w:sz w:val="28"/>
          <w:szCs w:val="28"/>
        </w:rPr>
        <w:t>资金使用合规性</w:t>
      </w:r>
    </w:p>
    <w:p>
      <w:pPr>
        <w:adjustRightInd w:val="0"/>
        <w:snapToGrid w:val="0"/>
        <w:spacing w:line="384" w:lineRule="auto"/>
        <w:ind w:firstLine="560" w:firstLineChars="200"/>
        <w:rPr>
          <w:rFonts w:ascii="宋体" w:hAnsi="宋体" w:eastAsia="宋体" w:cs="仿宋_GB2312"/>
          <w:sz w:val="28"/>
          <w:szCs w:val="28"/>
        </w:rPr>
      </w:pPr>
      <w:r>
        <w:rPr>
          <w:rFonts w:hint="eastAsia" w:ascii="宋体" w:hAnsi="宋体" w:eastAsia="宋体" w:cs="仿宋_GB2312"/>
          <w:sz w:val="28"/>
          <w:szCs w:val="28"/>
        </w:rPr>
        <w:t>本部门支出符合国家财经法规和财务管理制度规定以及有关专项资金管理办法的规定，资金的拨付有完整的审批过程和手续，项目的支出按规定经过评估论证，支出符合部门预算批复的用途，资金使用无截留、挤占、挪用、虚列支出等情况。</w:t>
      </w:r>
    </w:p>
    <w:p>
      <w:pPr>
        <w:adjustRightInd w:val="0"/>
        <w:snapToGrid w:val="0"/>
        <w:spacing w:line="384" w:lineRule="auto"/>
        <w:ind w:firstLine="560" w:firstLineChars="200"/>
        <w:rPr>
          <w:rFonts w:ascii="宋体" w:hAnsi="宋体" w:eastAsia="宋体" w:cs="仿宋_GB2312"/>
          <w:sz w:val="28"/>
          <w:szCs w:val="28"/>
        </w:rPr>
      </w:pPr>
      <w:r>
        <w:rPr>
          <w:rFonts w:hint="eastAsia" w:ascii="宋体" w:hAnsi="宋体" w:eastAsia="宋体" w:cs="仿宋_GB2312"/>
          <w:sz w:val="28"/>
          <w:szCs w:val="28"/>
        </w:rPr>
        <w:fldChar w:fldCharType="begin"/>
      </w:r>
      <w:r>
        <w:rPr>
          <w:rFonts w:hint="eastAsia" w:ascii="宋体" w:hAnsi="宋体" w:eastAsia="宋体" w:cs="仿宋_GB2312"/>
          <w:sz w:val="28"/>
          <w:szCs w:val="28"/>
        </w:rPr>
        <w:instrText xml:space="preserve"> = 7 \* GB3 \* MERGEFORMAT </w:instrText>
      </w:r>
      <w:r>
        <w:rPr>
          <w:rFonts w:hint="eastAsia" w:ascii="宋体" w:hAnsi="宋体" w:eastAsia="宋体" w:cs="仿宋_GB2312"/>
          <w:sz w:val="28"/>
          <w:szCs w:val="28"/>
        </w:rPr>
        <w:fldChar w:fldCharType="separate"/>
      </w:r>
      <w:r>
        <w:rPr>
          <w:sz w:val="28"/>
          <w:szCs w:val="28"/>
        </w:rPr>
        <w:t>⑦</w:t>
      </w:r>
      <w:r>
        <w:rPr>
          <w:rFonts w:hint="eastAsia" w:ascii="宋体" w:hAnsi="宋体" w:eastAsia="宋体" w:cs="仿宋_GB2312"/>
          <w:sz w:val="28"/>
          <w:szCs w:val="28"/>
        </w:rPr>
        <w:fldChar w:fldCharType="end"/>
      </w:r>
      <w:r>
        <w:rPr>
          <w:rFonts w:hint="eastAsia" w:ascii="宋体" w:hAnsi="宋体" w:eastAsia="宋体" w:cs="仿宋_GB2312"/>
          <w:sz w:val="28"/>
          <w:szCs w:val="28"/>
        </w:rPr>
        <w:t>资产管理安全性</w:t>
      </w:r>
    </w:p>
    <w:p>
      <w:pPr>
        <w:adjustRightInd w:val="0"/>
        <w:snapToGrid w:val="0"/>
        <w:spacing w:line="384" w:lineRule="auto"/>
        <w:ind w:firstLine="560" w:firstLineChars="200"/>
        <w:rPr>
          <w:rFonts w:ascii="宋体" w:hAnsi="宋体" w:eastAsia="宋体" w:cs="仿宋_GB2312"/>
          <w:sz w:val="28"/>
          <w:szCs w:val="28"/>
        </w:rPr>
      </w:pPr>
      <w:r>
        <w:rPr>
          <w:rFonts w:hint="eastAsia" w:ascii="宋体" w:hAnsi="宋体" w:eastAsia="宋体" w:cs="仿宋_GB2312"/>
          <w:sz w:val="28"/>
          <w:szCs w:val="28"/>
        </w:rPr>
        <w:t>资产保存完整、使用合规、配置合理、处置规范，资产账务管理合规，账实相符。</w:t>
      </w:r>
    </w:p>
    <w:p>
      <w:pPr>
        <w:adjustRightInd w:val="0"/>
        <w:snapToGrid w:val="0"/>
        <w:spacing w:line="396" w:lineRule="auto"/>
        <w:ind w:left="-15" w:right="125" w:firstLine="550"/>
        <w:rPr>
          <w:rFonts w:ascii="宋体" w:hAnsi="宋体" w:eastAsia="宋体" w:cs="仿宋_GB2312"/>
          <w:sz w:val="28"/>
          <w:szCs w:val="28"/>
        </w:rPr>
      </w:pPr>
      <w:r>
        <w:rPr>
          <w:rFonts w:hint="eastAsia" w:ascii="宋体" w:hAnsi="宋体" w:eastAsia="宋体" w:cs="仿宋_GB2312"/>
          <w:sz w:val="28"/>
          <w:szCs w:val="28"/>
        </w:rPr>
        <w:fldChar w:fldCharType="begin"/>
      </w:r>
      <w:r>
        <w:rPr>
          <w:rFonts w:hint="eastAsia" w:ascii="宋体" w:hAnsi="宋体" w:eastAsia="宋体" w:cs="仿宋_GB2312"/>
          <w:sz w:val="28"/>
          <w:szCs w:val="28"/>
        </w:rPr>
        <w:instrText xml:space="preserve"> = 8 \* GB3 \* MERGEFORMAT </w:instrText>
      </w:r>
      <w:r>
        <w:rPr>
          <w:rFonts w:hint="eastAsia" w:ascii="宋体" w:hAnsi="宋体" w:eastAsia="宋体" w:cs="仿宋_GB2312"/>
          <w:sz w:val="28"/>
          <w:szCs w:val="28"/>
        </w:rPr>
        <w:fldChar w:fldCharType="separate"/>
      </w:r>
      <w:r>
        <w:rPr>
          <w:sz w:val="28"/>
          <w:szCs w:val="28"/>
        </w:rPr>
        <w:t>⑧</w:t>
      </w:r>
      <w:r>
        <w:rPr>
          <w:rFonts w:hint="eastAsia" w:ascii="宋体" w:hAnsi="宋体" w:eastAsia="宋体" w:cs="仿宋_GB2312"/>
          <w:sz w:val="28"/>
          <w:szCs w:val="28"/>
        </w:rPr>
        <w:fldChar w:fldCharType="end"/>
      </w:r>
      <w:r>
        <w:rPr>
          <w:rFonts w:hint="eastAsia" w:ascii="宋体" w:hAnsi="宋体" w:eastAsia="宋体" w:cs="仿宋_GB2312"/>
          <w:sz w:val="28"/>
          <w:szCs w:val="28"/>
        </w:rPr>
        <w:t>预决算信息公开性</w:t>
      </w:r>
    </w:p>
    <w:p>
      <w:pPr>
        <w:adjustRightInd w:val="0"/>
        <w:snapToGrid w:val="0"/>
        <w:spacing w:line="396" w:lineRule="auto"/>
        <w:ind w:left="-15" w:right="125" w:firstLine="550"/>
        <w:rPr>
          <w:rFonts w:hint="eastAsia" w:ascii="宋体" w:hAnsi="宋体" w:eastAsia="宋体" w:cs="仿宋_GB2312"/>
          <w:sz w:val="28"/>
          <w:szCs w:val="28"/>
          <w:lang w:val="en-US" w:eastAsia="zh-CN"/>
        </w:rPr>
      </w:pPr>
      <w:r>
        <w:rPr>
          <w:rFonts w:hint="eastAsia" w:ascii="宋体" w:hAnsi="宋体" w:eastAsia="宋体" w:cs="仿宋_GB2312"/>
          <w:sz w:val="28"/>
          <w:szCs w:val="28"/>
        </w:rPr>
        <w:t>按照预决算信息公开要求，</w:t>
      </w:r>
      <w:r>
        <w:rPr>
          <w:rFonts w:hint="eastAsia" w:ascii="宋体" w:hAnsi="宋体" w:eastAsia="宋体" w:cs="仿宋_GB2312"/>
          <w:sz w:val="28"/>
          <w:szCs w:val="28"/>
          <w:lang w:eastAsia="zh-CN"/>
        </w:rPr>
        <w:t>2022年</w:t>
      </w:r>
      <w:r>
        <w:rPr>
          <w:rFonts w:hint="eastAsia" w:ascii="宋体" w:hAnsi="宋体" w:eastAsia="宋体" w:cs="仿宋_GB2312"/>
          <w:sz w:val="28"/>
          <w:szCs w:val="28"/>
        </w:rPr>
        <w:t>度部门预算在政府门户网站公告专栏栏目上公开，并对预算的收入情况、项目支出明细情况都作了相应的说明</w:t>
      </w:r>
      <w:r>
        <w:rPr>
          <w:rFonts w:hint="eastAsia" w:ascii="宋体" w:hAnsi="宋体" w:eastAsia="宋体" w:cs="仿宋_GB2312"/>
          <w:sz w:val="28"/>
          <w:szCs w:val="28"/>
          <w:lang w:eastAsia="zh-CN"/>
        </w:rPr>
        <w:t>。</w:t>
      </w:r>
    </w:p>
    <w:p>
      <w:pPr>
        <w:adjustRightInd w:val="0"/>
        <w:snapToGrid w:val="0"/>
        <w:spacing w:line="396" w:lineRule="auto"/>
        <w:ind w:firstLine="560" w:firstLineChars="20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绩效目标完成情况分析</w:t>
      </w:r>
    </w:p>
    <w:p>
      <w:pPr>
        <w:adjustRightInd w:val="0"/>
        <w:snapToGrid w:val="0"/>
        <w:spacing w:line="396" w:lineRule="auto"/>
        <w:ind w:firstLine="560" w:firstLineChars="200"/>
        <w:rPr>
          <w:rFonts w:ascii="宋体" w:hAnsi="宋体" w:eastAsia="宋体"/>
          <w:sz w:val="28"/>
          <w:szCs w:val="28"/>
        </w:rPr>
      </w:pPr>
      <w:r>
        <w:rPr>
          <w:rFonts w:hint="eastAsia" w:ascii="宋体" w:hAnsi="宋体" w:eastAsia="宋体"/>
          <w:sz w:val="28"/>
          <w:szCs w:val="28"/>
        </w:rPr>
        <w:t>（1）产出指标完成情况分析</w:t>
      </w:r>
    </w:p>
    <w:p>
      <w:pPr>
        <w:adjustRightInd w:val="0"/>
        <w:snapToGrid w:val="0"/>
        <w:spacing w:line="396" w:lineRule="auto"/>
        <w:ind w:firstLine="560" w:firstLineChars="200"/>
        <w:rPr>
          <w:rFonts w:hint="eastAsia" w:ascii="宋体" w:hAnsi="宋体" w:eastAsia="宋体" w:cs="仿宋"/>
          <w:sz w:val="28"/>
          <w:szCs w:val="28"/>
        </w:rPr>
      </w:pPr>
      <w:r>
        <w:rPr>
          <w:rFonts w:ascii="宋体" w:hAnsi="宋体" w:eastAsia="宋体" w:cs="仿宋"/>
          <w:sz w:val="28"/>
          <w:szCs w:val="28"/>
        </w:rPr>
        <w:fldChar w:fldCharType="begin"/>
      </w:r>
      <w:r>
        <w:rPr>
          <w:rFonts w:ascii="宋体" w:hAnsi="宋体" w:eastAsia="宋体" w:cs="仿宋"/>
          <w:sz w:val="28"/>
          <w:szCs w:val="28"/>
        </w:rPr>
        <w:instrText xml:space="preserve"> </w:instrText>
      </w:r>
      <w:r>
        <w:rPr>
          <w:rFonts w:hint="eastAsia" w:ascii="宋体" w:hAnsi="宋体" w:eastAsia="宋体" w:cs="仿宋"/>
          <w:sz w:val="28"/>
          <w:szCs w:val="28"/>
        </w:rPr>
        <w:instrText xml:space="preserve">= 1 \* GB3</w:instrText>
      </w:r>
      <w:r>
        <w:rPr>
          <w:rFonts w:ascii="宋体" w:hAnsi="宋体" w:eastAsia="宋体" w:cs="仿宋"/>
          <w:sz w:val="28"/>
          <w:szCs w:val="28"/>
        </w:rPr>
        <w:instrText xml:space="preserve"> </w:instrText>
      </w:r>
      <w:r>
        <w:rPr>
          <w:rFonts w:ascii="宋体" w:hAnsi="宋体" w:eastAsia="宋体" w:cs="仿宋"/>
          <w:sz w:val="28"/>
          <w:szCs w:val="28"/>
        </w:rPr>
        <w:fldChar w:fldCharType="separate"/>
      </w:r>
      <w:r>
        <w:rPr>
          <w:rFonts w:hint="eastAsia" w:ascii="宋体" w:hAnsi="宋体" w:eastAsia="宋体" w:cs="仿宋"/>
          <w:sz w:val="28"/>
          <w:szCs w:val="28"/>
        </w:rPr>
        <w:t>①</w:t>
      </w:r>
      <w:r>
        <w:rPr>
          <w:rFonts w:ascii="宋体" w:hAnsi="宋体" w:eastAsia="宋体" w:cs="仿宋"/>
          <w:sz w:val="28"/>
          <w:szCs w:val="28"/>
        </w:rPr>
        <w:fldChar w:fldCharType="end"/>
      </w:r>
      <w:r>
        <w:rPr>
          <w:rFonts w:ascii="宋体" w:hAnsi="宋体" w:eastAsia="宋体" w:cs="宋体"/>
          <w:bCs/>
          <w:sz w:val="28"/>
          <w:szCs w:val="28"/>
        </w:rPr>
        <w:t>城市功能不断完善</w:t>
      </w:r>
      <w:r>
        <w:rPr>
          <w:rFonts w:hint="eastAsia" w:ascii="宋体" w:hAnsi="宋体" w:eastAsia="宋体" w:cs="宋体"/>
          <w:bCs/>
          <w:sz w:val="28"/>
          <w:szCs w:val="28"/>
          <w:lang w:eastAsia="zh-CN"/>
        </w:rPr>
        <w:t>，</w:t>
      </w:r>
      <w:r>
        <w:rPr>
          <w:rFonts w:hint="eastAsia" w:ascii="宋体" w:hAnsi="宋体" w:eastAsia="宋体" w:cs="仿宋"/>
          <w:sz w:val="28"/>
          <w:szCs w:val="28"/>
        </w:rPr>
        <w:t>突出重点项目建设硬支撑</w:t>
      </w:r>
      <w:r>
        <w:rPr>
          <w:rFonts w:hint="eastAsia" w:ascii="宋体" w:hAnsi="宋体" w:eastAsia="宋体" w:cs="仿宋"/>
          <w:sz w:val="28"/>
          <w:szCs w:val="28"/>
          <w:lang w:eastAsia="zh-CN"/>
        </w:rPr>
        <w:t>，</w:t>
      </w:r>
      <w:r>
        <w:rPr>
          <w:rFonts w:hint="eastAsia" w:ascii="宋体" w:hAnsi="宋体" w:eastAsia="宋体" w:cs="仿宋"/>
          <w:sz w:val="28"/>
          <w:szCs w:val="28"/>
        </w:rPr>
        <w:t>加快推动城市能级提升。</w:t>
      </w:r>
    </w:p>
    <w:p>
      <w:pPr>
        <w:adjustRightInd w:val="0"/>
        <w:snapToGrid w:val="0"/>
        <w:spacing w:line="396" w:lineRule="auto"/>
        <w:ind w:firstLine="560" w:firstLineChars="200"/>
        <w:rPr>
          <w:rFonts w:hint="eastAsia" w:ascii="宋体" w:hAnsi="宋体" w:eastAsia="宋体" w:cs="仿宋"/>
          <w:sz w:val="28"/>
          <w:szCs w:val="28"/>
          <w:lang w:eastAsia="zh-CN"/>
        </w:rPr>
      </w:pPr>
      <w:r>
        <w:rPr>
          <w:rFonts w:hint="eastAsia" w:ascii="宋体" w:hAnsi="宋体" w:eastAsia="宋体" w:cs="仿宋"/>
          <w:sz w:val="28"/>
          <w:szCs w:val="28"/>
        </w:rPr>
        <w:t>城市重点项目建设快速推进。2022年确定的126个城市重点项目新开工84个，星光大道、编钟学校等31个投入使用</w:t>
      </w:r>
      <w:r>
        <w:rPr>
          <w:rFonts w:hint="eastAsia" w:ascii="宋体" w:hAnsi="宋体" w:eastAsia="宋体" w:cs="仿宋"/>
          <w:sz w:val="28"/>
          <w:szCs w:val="28"/>
          <w:lang w:eastAsia="zh-CN"/>
        </w:rPr>
        <w:t>。</w:t>
      </w:r>
    </w:p>
    <w:p>
      <w:pPr>
        <w:numPr>
          <w:ilvl w:val="0"/>
          <w:numId w:val="0"/>
        </w:numPr>
        <w:adjustRightInd w:val="0"/>
        <w:snapToGrid w:val="0"/>
        <w:spacing w:line="396" w:lineRule="auto"/>
        <w:ind w:firstLine="560" w:firstLineChars="200"/>
        <w:rPr>
          <w:rFonts w:hint="eastAsia" w:ascii="宋体" w:hAnsi="宋体" w:eastAsia="宋体" w:cs="仿宋"/>
          <w:sz w:val="28"/>
          <w:szCs w:val="28"/>
        </w:rPr>
      </w:pPr>
      <w:r>
        <w:rPr>
          <w:rFonts w:hint="eastAsia" w:ascii="宋体" w:hAnsi="宋体" w:eastAsia="宋体" w:cs="仿宋"/>
          <w:sz w:val="28"/>
          <w:szCs w:val="28"/>
        </w:rPr>
        <w:t>住建部门争取项目资金3.5亿元，城东应急水源工程和污水、燃气等管网改造项目快速推进，市住建局荣获全市2022年项目建设先进单位。</w:t>
      </w:r>
    </w:p>
    <w:p>
      <w:pPr>
        <w:numPr>
          <w:ilvl w:val="0"/>
          <w:numId w:val="0"/>
        </w:numPr>
        <w:adjustRightInd w:val="0"/>
        <w:snapToGrid w:val="0"/>
        <w:spacing w:line="396" w:lineRule="auto"/>
        <w:ind w:firstLine="560" w:firstLineChars="200"/>
        <w:rPr>
          <w:rFonts w:hint="eastAsia" w:ascii="宋体" w:hAnsi="宋体" w:eastAsia="宋体" w:cs="仿宋"/>
          <w:sz w:val="28"/>
          <w:szCs w:val="28"/>
        </w:rPr>
      </w:pPr>
      <w:r>
        <w:rPr>
          <w:rFonts w:hint="eastAsia" w:ascii="宋体" w:hAnsi="宋体" w:eastAsia="宋体" w:cs="仿宋"/>
          <w:sz w:val="28"/>
          <w:szCs w:val="28"/>
        </w:rPr>
        <w:t>城市品牌创建加快推进。坚持节水城市、海绵城市创建齐发力，省级节水城市顺利通过验收，达到国家评选要求；海绵城市示范城市取得国家申报资格。</w:t>
      </w:r>
    </w:p>
    <w:p>
      <w:pPr>
        <w:numPr>
          <w:ilvl w:val="0"/>
          <w:numId w:val="0"/>
        </w:numPr>
        <w:adjustRightInd w:val="0"/>
        <w:snapToGrid w:val="0"/>
        <w:spacing w:line="396" w:lineRule="auto"/>
        <w:ind w:firstLine="560" w:firstLineChars="200"/>
        <w:rPr>
          <w:rFonts w:hint="eastAsia" w:ascii="宋体" w:hAnsi="宋体" w:eastAsia="宋体" w:cs="仿宋"/>
          <w:sz w:val="28"/>
          <w:szCs w:val="28"/>
        </w:rPr>
      </w:pPr>
      <w:r>
        <w:rPr>
          <w:rFonts w:hint="eastAsia" w:ascii="宋体" w:hAnsi="宋体" w:eastAsia="宋体" w:cs="仿宋"/>
          <w:sz w:val="28"/>
          <w:szCs w:val="28"/>
        </w:rPr>
        <w:t>高标准谋划花园城市项目。围绕市委市政府花园城市建设目标，精心谋划了《中心城区花园城市建设三年行动实施方案（2023-2025年）》，计划总投资528.8亿元，实施项目177项，明确了未来城市提能级的方向。</w:t>
      </w:r>
    </w:p>
    <w:p>
      <w:pPr>
        <w:adjustRightInd w:val="0"/>
        <w:snapToGrid w:val="0"/>
        <w:spacing w:line="396" w:lineRule="auto"/>
        <w:ind w:firstLine="560" w:firstLineChars="200"/>
        <w:rPr>
          <w:rFonts w:hint="eastAsia" w:ascii="宋体" w:hAnsi="宋体" w:eastAsia="宋体"/>
          <w:bCs/>
          <w:sz w:val="28"/>
          <w:szCs w:val="28"/>
        </w:rPr>
      </w:pPr>
      <w:r>
        <w:rPr>
          <w:rFonts w:ascii="宋体" w:hAnsi="宋体" w:eastAsia="宋体" w:cs="仿宋"/>
          <w:sz w:val="28"/>
          <w:szCs w:val="28"/>
        </w:rPr>
        <w:fldChar w:fldCharType="begin"/>
      </w:r>
      <w:r>
        <w:rPr>
          <w:rFonts w:ascii="宋体" w:hAnsi="宋体" w:eastAsia="宋体" w:cs="仿宋"/>
          <w:sz w:val="28"/>
          <w:szCs w:val="28"/>
        </w:rPr>
        <w:instrText xml:space="preserve"> </w:instrText>
      </w:r>
      <w:r>
        <w:rPr>
          <w:rFonts w:hint="eastAsia" w:ascii="宋体" w:hAnsi="宋体" w:eastAsia="宋体" w:cs="仿宋"/>
          <w:sz w:val="28"/>
          <w:szCs w:val="28"/>
        </w:rPr>
        <w:instrText xml:space="preserve">= 2 \* GB3</w:instrText>
      </w:r>
      <w:r>
        <w:rPr>
          <w:rFonts w:ascii="宋体" w:hAnsi="宋体" w:eastAsia="宋体" w:cs="仿宋"/>
          <w:sz w:val="28"/>
          <w:szCs w:val="28"/>
        </w:rPr>
        <w:instrText xml:space="preserve"> </w:instrText>
      </w:r>
      <w:r>
        <w:rPr>
          <w:rFonts w:ascii="宋体" w:hAnsi="宋体" w:eastAsia="宋体" w:cs="仿宋"/>
          <w:sz w:val="28"/>
          <w:szCs w:val="28"/>
        </w:rPr>
        <w:fldChar w:fldCharType="separate"/>
      </w:r>
      <w:r>
        <w:rPr>
          <w:rFonts w:hint="eastAsia" w:ascii="宋体" w:hAnsi="宋体" w:eastAsia="宋体" w:cs="仿宋"/>
          <w:sz w:val="28"/>
          <w:szCs w:val="28"/>
        </w:rPr>
        <w:t>②</w:t>
      </w:r>
      <w:r>
        <w:rPr>
          <w:rFonts w:ascii="宋体" w:hAnsi="宋体" w:eastAsia="宋体" w:cs="仿宋"/>
          <w:sz w:val="28"/>
          <w:szCs w:val="28"/>
        </w:rPr>
        <w:fldChar w:fldCharType="end"/>
      </w:r>
      <w:r>
        <w:rPr>
          <w:rFonts w:ascii="宋体" w:hAnsi="宋体" w:eastAsia="宋体"/>
          <w:bCs/>
          <w:kern w:val="0"/>
          <w:sz w:val="28"/>
          <w:szCs w:val="28"/>
        </w:rPr>
        <w:t>民生保障坚实有力</w:t>
      </w:r>
      <w:r>
        <w:rPr>
          <w:rFonts w:hint="eastAsia" w:ascii="宋体" w:hAnsi="宋体" w:eastAsia="宋体"/>
          <w:bCs/>
          <w:kern w:val="0"/>
          <w:sz w:val="28"/>
          <w:szCs w:val="28"/>
          <w:lang w:eastAsia="zh-CN"/>
        </w:rPr>
        <w:t>，</w:t>
      </w:r>
      <w:r>
        <w:rPr>
          <w:rFonts w:hint="eastAsia" w:ascii="宋体" w:hAnsi="宋体" w:eastAsia="宋体"/>
          <w:bCs/>
          <w:sz w:val="28"/>
          <w:szCs w:val="28"/>
        </w:rPr>
        <w:t>坚持以人民为中心，住建领域民生实事落实有力。</w:t>
      </w:r>
    </w:p>
    <w:p>
      <w:pPr>
        <w:adjustRightInd w:val="0"/>
        <w:snapToGrid w:val="0"/>
        <w:spacing w:line="396" w:lineRule="auto"/>
        <w:ind w:firstLine="560" w:firstLineChars="200"/>
        <w:rPr>
          <w:rFonts w:hint="eastAsia" w:ascii="宋体" w:hAnsi="宋体" w:eastAsia="宋体"/>
          <w:bCs/>
          <w:sz w:val="28"/>
          <w:szCs w:val="28"/>
        </w:rPr>
      </w:pPr>
      <w:r>
        <w:rPr>
          <w:rFonts w:hint="eastAsia" w:ascii="宋体" w:hAnsi="宋体" w:eastAsia="宋体"/>
          <w:bCs/>
          <w:sz w:val="28"/>
          <w:szCs w:val="28"/>
        </w:rPr>
        <w:t>城市更新持续深入。全年改造老旧小区159个，老旧小区九大片区改造道路34条，累计完成110余条；既有住宅加装电梯102部；</w:t>
      </w:r>
    </w:p>
    <w:p>
      <w:pPr>
        <w:adjustRightInd w:val="0"/>
        <w:snapToGrid w:val="0"/>
        <w:spacing w:line="396" w:lineRule="auto"/>
        <w:ind w:firstLine="560" w:firstLineChars="200"/>
        <w:rPr>
          <w:rFonts w:hint="eastAsia" w:ascii="宋体" w:hAnsi="宋体" w:eastAsia="宋体"/>
          <w:bCs/>
          <w:sz w:val="28"/>
          <w:szCs w:val="28"/>
        </w:rPr>
      </w:pPr>
      <w:r>
        <w:rPr>
          <w:rFonts w:hint="eastAsia" w:ascii="宋体" w:hAnsi="宋体" w:eastAsia="宋体"/>
          <w:bCs/>
          <w:sz w:val="28"/>
          <w:szCs w:val="28"/>
        </w:rPr>
        <w:t>历史文化名城保护、地下综合管廊建设和城建档案收集等工作取得实效；草甸子街历史文化街区改造市区一体推进、攻坚突破，完成方案设计，征收698户，即将启动保护建设；老火车站改造完成前期调查摸底、资金测算等任务，铁路部门批准后全面启动实施。</w:t>
      </w:r>
    </w:p>
    <w:p>
      <w:pPr>
        <w:adjustRightInd w:val="0"/>
        <w:snapToGrid w:val="0"/>
        <w:spacing w:line="396" w:lineRule="auto"/>
        <w:ind w:firstLine="560" w:firstLineChars="200"/>
        <w:rPr>
          <w:rFonts w:hint="eastAsia" w:ascii="宋体" w:hAnsi="宋体" w:eastAsia="宋体"/>
          <w:bCs/>
          <w:sz w:val="28"/>
          <w:szCs w:val="28"/>
        </w:rPr>
      </w:pPr>
      <w:r>
        <w:rPr>
          <w:rFonts w:hint="eastAsia" w:ascii="宋体" w:hAnsi="宋体" w:eastAsia="宋体"/>
          <w:bCs/>
          <w:sz w:val="28"/>
          <w:szCs w:val="28"/>
        </w:rPr>
        <w:t>红色物业创建拓面提质。“红色物业”示范小区创建100个，清理移交公共服务用房9.8万㎡，“红色驿站”建设有力推进，党建引领基层治理成效显著；</w:t>
      </w:r>
    </w:p>
    <w:p>
      <w:pPr>
        <w:adjustRightInd w:val="0"/>
        <w:snapToGrid w:val="0"/>
        <w:spacing w:line="396" w:lineRule="auto"/>
        <w:ind w:firstLine="560" w:firstLineChars="200"/>
        <w:rPr>
          <w:rFonts w:hint="eastAsia" w:ascii="宋体" w:hAnsi="宋体" w:eastAsia="宋体"/>
          <w:bCs/>
          <w:sz w:val="28"/>
          <w:szCs w:val="28"/>
        </w:rPr>
      </w:pPr>
      <w:r>
        <w:rPr>
          <w:rFonts w:hint="eastAsia" w:ascii="宋体" w:hAnsi="宋体" w:eastAsia="宋体"/>
          <w:bCs/>
          <w:sz w:val="28"/>
          <w:szCs w:val="28"/>
        </w:rPr>
        <w:t>保障住房工作扎实有力。公租房配租553套，租赁补贴1144户，占省定目标任务148%，出台公租房租金减免暂行规定，廉租房管理信息系统升级增效，实现申请“一事联办”、端口进社区等便民功能，公租房运营管理水平得到新提升；改造农村危房638户，超年度任务28%。全年57件人大、政协议提案高质量完成；住建领域创文创卫、城乡环境大提质行动工作任务有效落实。</w:t>
      </w:r>
    </w:p>
    <w:p>
      <w:pPr>
        <w:adjustRightInd w:val="0"/>
        <w:snapToGrid w:val="0"/>
        <w:spacing w:line="396" w:lineRule="auto"/>
        <w:ind w:firstLine="560" w:firstLineChars="200"/>
        <w:rPr>
          <w:rFonts w:hint="eastAsia" w:ascii="宋体" w:hAnsi="宋体" w:eastAsia="宋体"/>
          <w:sz w:val="28"/>
          <w:szCs w:val="28"/>
        </w:rPr>
      </w:pPr>
      <w:r>
        <w:rPr>
          <w:rFonts w:ascii="宋体" w:hAnsi="宋体" w:eastAsia="宋体" w:cs="仿宋"/>
          <w:sz w:val="28"/>
          <w:szCs w:val="28"/>
        </w:rPr>
        <w:fldChar w:fldCharType="begin"/>
      </w:r>
      <w:r>
        <w:rPr>
          <w:rFonts w:ascii="宋体" w:hAnsi="宋体" w:eastAsia="宋体" w:cs="仿宋"/>
          <w:sz w:val="28"/>
          <w:szCs w:val="28"/>
        </w:rPr>
        <w:instrText xml:space="preserve"> </w:instrText>
      </w:r>
      <w:r>
        <w:rPr>
          <w:rFonts w:hint="eastAsia" w:ascii="宋体" w:hAnsi="宋体" w:eastAsia="宋体" w:cs="仿宋"/>
          <w:sz w:val="28"/>
          <w:szCs w:val="28"/>
        </w:rPr>
        <w:instrText xml:space="preserve">= 3 \* GB3</w:instrText>
      </w:r>
      <w:r>
        <w:rPr>
          <w:rFonts w:ascii="宋体" w:hAnsi="宋体" w:eastAsia="宋体" w:cs="仿宋"/>
          <w:sz w:val="28"/>
          <w:szCs w:val="28"/>
        </w:rPr>
        <w:instrText xml:space="preserve"> </w:instrText>
      </w:r>
      <w:r>
        <w:rPr>
          <w:rFonts w:ascii="宋体" w:hAnsi="宋体" w:eastAsia="宋体" w:cs="仿宋"/>
          <w:sz w:val="28"/>
          <w:szCs w:val="28"/>
        </w:rPr>
        <w:fldChar w:fldCharType="separate"/>
      </w:r>
      <w:r>
        <w:rPr>
          <w:rFonts w:hint="eastAsia" w:ascii="宋体" w:hAnsi="宋体" w:eastAsia="宋体" w:cs="仿宋"/>
          <w:sz w:val="28"/>
          <w:szCs w:val="28"/>
        </w:rPr>
        <w:t>③</w:t>
      </w:r>
      <w:r>
        <w:rPr>
          <w:rFonts w:ascii="宋体" w:hAnsi="宋体" w:eastAsia="宋体" w:cs="仿宋"/>
          <w:sz w:val="28"/>
          <w:szCs w:val="28"/>
        </w:rPr>
        <w:fldChar w:fldCharType="end"/>
      </w:r>
      <w:r>
        <w:rPr>
          <w:rFonts w:ascii="宋体" w:hAnsi="宋体" w:eastAsia="宋体"/>
          <w:sz w:val="28"/>
          <w:szCs w:val="28"/>
        </w:rPr>
        <w:t>城市生态巩固提升</w:t>
      </w:r>
      <w:r>
        <w:rPr>
          <w:rFonts w:hint="eastAsia" w:ascii="宋体" w:hAnsi="宋体" w:eastAsia="宋体"/>
          <w:sz w:val="28"/>
          <w:szCs w:val="28"/>
          <w:lang w:eastAsia="zh-CN"/>
        </w:rPr>
        <w:t>，</w:t>
      </w:r>
      <w:r>
        <w:rPr>
          <w:rFonts w:hint="eastAsia" w:ascii="宋体" w:hAnsi="宋体" w:eastAsia="宋体"/>
          <w:sz w:val="28"/>
          <w:szCs w:val="28"/>
        </w:rPr>
        <w:t>践行绿色低碳理念，城市生态环境显著改善。</w:t>
      </w:r>
    </w:p>
    <w:p>
      <w:pPr>
        <w:adjustRightInd w:val="0"/>
        <w:snapToGrid w:val="0"/>
        <w:spacing w:line="396" w:lineRule="auto"/>
        <w:ind w:firstLine="560" w:firstLineChars="200"/>
        <w:rPr>
          <w:rFonts w:hint="eastAsia" w:ascii="宋体" w:hAnsi="宋体" w:eastAsia="宋体"/>
          <w:sz w:val="28"/>
          <w:szCs w:val="28"/>
        </w:rPr>
      </w:pPr>
      <w:r>
        <w:rPr>
          <w:rFonts w:hint="eastAsia" w:ascii="宋体" w:hAnsi="宋体" w:eastAsia="宋体"/>
          <w:sz w:val="28"/>
          <w:szCs w:val="28"/>
        </w:rPr>
        <w:t>加强城市水生态保护。充分聚焦第二轮中央环保督察反馈问题整改，启动地下市政基础设施普查，系统化排查市政排水管网870余公里，对排查混接、错接及缺陷管网进行整改修复；</w:t>
      </w:r>
    </w:p>
    <w:p>
      <w:pPr>
        <w:adjustRightInd w:val="0"/>
        <w:snapToGrid w:val="0"/>
        <w:spacing w:line="396" w:lineRule="auto"/>
        <w:ind w:firstLine="560" w:firstLineChars="200"/>
        <w:rPr>
          <w:rFonts w:hint="eastAsia" w:ascii="宋体" w:hAnsi="宋体" w:eastAsia="宋体"/>
          <w:sz w:val="28"/>
          <w:szCs w:val="28"/>
        </w:rPr>
      </w:pPr>
      <w:r>
        <w:rPr>
          <w:rFonts w:hint="eastAsia" w:ascii="宋体" w:hAnsi="宋体" w:eastAsia="宋体"/>
          <w:sz w:val="28"/>
          <w:szCs w:val="28"/>
        </w:rPr>
        <w:t>加强城市生活污水处理厂网运行监管，污水集中收集率达64%；100吨/日的污泥无害化处理厂正式建成投入运营，污泥全部无害化处理。</w:t>
      </w:r>
    </w:p>
    <w:p>
      <w:pPr>
        <w:adjustRightInd w:val="0"/>
        <w:snapToGrid w:val="0"/>
        <w:spacing w:line="396" w:lineRule="auto"/>
        <w:ind w:firstLine="560" w:firstLineChars="200"/>
        <w:rPr>
          <w:rFonts w:hint="eastAsia" w:ascii="宋体" w:hAnsi="宋体" w:eastAsia="宋体"/>
          <w:sz w:val="28"/>
          <w:szCs w:val="28"/>
          <w:lang w:val="en-US" w:eastAsia="zh-CN"/>
        </w:rPr>
      </w:pPr>
      <w:r>
        <w:rPr>
          <w:rFonts w:hint="eastAsia" w:ascii="宋体" w:hAnsi="宋体" w:eastAsia="宋体"/>
          <w:sz w:val="28"/>
          <w:szCs w:val="28"/>
        </w:rPr>
        <w:t>建筑节能与绿色建筑成效显著。全年新建节能建筑190万㎡，绿色建筑180万㎡，分别占省定目标任务173%、236%</w:t>
      </w:r>
      <w:r>
        <w:rPr>
          <w:rFonts w:hint="eastAsia" w:ascii="宋体" w:hAnsi="宋体" w:eastAsia="宋体"/>
          <w:sz w:val="28"/>
          <w:szCs w:val="28"/>
          <w:lang w:eastAsia="zh-CN"/>
        </w:rPr>
        <w:t>。</w:t>
      </w:r>
    </w:p>
    <w:p>
      <w:pPr>
        <w:adjustRightInd w:val="0"/>
        <w:snapToGrid w:val="0"/>
        <w:spacing w:line="396" w:lineRule="auto"/>
        <w:ind w:firstLine="560" w:firstLineChars="200"/>
        <w:rPr>
          <w:rFonts w:hint="eastAsia" w:ascii="宋体" w:hAnsi="宋体" w:eastAsia="宋体"/>
          <w:bCs/>
          <w:sz w:val="28"/>
          <w:szCs w:val="28"/>
        </w:rPr>
      </w:pPr>
      <w:r>
        <w:rPr>
          <w:rFonts w:ascii="宋体" w:hAnsi="宋体" w:eastAsia="宋体"/>
          <w:sz w:val="28"/>
          <w:szCs w:val="28"/>
        </w:rPr>
        <w:fldChar w:fldCharType="begin"/>
      </w:r>
      <w:r>
        <w:rPr>
          <w:rFonts w:ascii="宋体" w:hAnsi="宋体" w:eastAsia="宋体"/>
          <w:sz w:val="28"/>
          <w:szCs w:val="28"/>
        </w:rPr>
        <w:instrText xml:space="preserve"> </w:instrText>
      </w:r>
      <w:r>
        <w:rPr>
          <w:rFonts w:hint="eastAsia" w:ascii="宋体" w:hAnsi="宋体" w:eastAsia="宋体"/>
          <w:sz w:val="28"/>
          <w:szCs w:val="28"/>
        </w:rPr>
        <w:instrText xml:space="preserve">= 4 \* GB3</w:instrText>
      </w:r>
      <w:r>
        <w:rPr>
          <w:rFonts w:ascii="宋体" w:hAnsi="宋体" w:eastAsia="宋体"/>
          <w:sz w:val="28"/>
          <w:szCs w:val="28"/>
        </w:rPr>
        <w:instrText xml:space="preserve"> </w:instrText>
      </w:r>
      <w:r>
        <w:rPr>
          <w:rFonts w:ascii="宋体" w:hAnsi="宋体" w:eastAsia="宋体"/>
          <w:sz w:val="28"/>
          <w:szCs w:val="28"/>
        </w:rPr>
        <w:fldChar w:fldCharType="separate"/>
      </w:r>
      <w:r>
        <w:rPr>
          <w:rFonts w:hint="eastAsia" w:ascii="宋体" w:hAnsi="宋体" w:eastAsia="宋体"/>
          <w:sz w:val="28"/>
          <w:szCs w:val="28"/>
        </w:rPr>
        <w:t>④</w:t>
      </w:r>
      <w:r>
        <w:rPr>
          <w:rFonts w:ascii="宋体" w:hAnsi="宋体" w:eastAsia="宋体"/>
          <w:sz w:val="28"/>
          <w:szCs w:val="28"/>
        </w:rPr>
        <w:fldChar w:fldCharType="end"/>
      </w:r>
      <w:r>
        <w:rPr>
          <w:rFonts w:ascii="宋体" w:hAnsi="宋体" w:eastAsia="宋体"/>
          <w:sz w:val="28"/>
          <w:szCs w:val="28"/>
        </w:rPr>
        <w:t>村镇建设特色彰显</w:t>
      </w:r>
      <w:r>
        <w:rPr>
          <w:rFonts w:hint="eastAsia" w:ascii="宋体" w:hAnsi="宋体" w:eastAsia="宋体"/>
          <w:sz w:val="28"/>
          <w:szCs w:val="28"/>
          <w:lang w:eastAsia="zh-CN"/>
        </w:rPr>
        <w:t>，</w:t>
      </w:r>
      <w:r>
        <w:rPr>
          <w:rFonts w:hint="eastAsia" w:ascii="宋体" w:hAnsi="宋体" w:eastAsia="宋体"/>
          <w:bCs/>
          <w:sz w:val="28"/>
          <w:szCs w:val="28"/>
        </w:rPr>
        <w:t>服务乡村振兴，村镇建设迈上新台阶。</w:t>
      </w:r>
    </w:p>
    <w:p>
      <w:pPr>
        <w:adjustRightInd w:val="0"/>
        <w:snapToGrid w:val="0"/>
        <w:spacing w:line="396" w:lineRule="auto"/>
        <w:ind w:firstLine="560" w:firstLineChars="200"/>
        <w:rPr>
          <w:rFonts w:hint="eastAsia" w:ascii="宋体" w:hAnsi="宋体" w:eastAsia="宋体"/>
          <w:bCs/>
          <w:sz w:val="28"/>
          <w:szCs w:val="28"/>
        </w:rPr>
      </w:pPr>
      <w:r>
        <w:rPr>
          <w:rFonts w:hint="eastAsia" w:ascii="宋体" w:hAnsi="宋体" w:eastAsia="宋体"/>
          <w:bCs/>
          <w:sz w:val="28"/>
          <w:szCs w:val="28"/>
        </w:rPr>
        <w:t>“擦亮小城镇”竞相发力。持续开展“擦亮小城镇”和全市乡镇环境大提质行动，督促指导18个省、市级试点镇竞相发力，“以点连线、以片带面”集中连片建设5个示范片区，城镇面貌焕然一新。曾都区住建局争取区政府投资近6000万元，谋划项目27个，全域推进“擦亮小城镇”。</w:t>
      </w:r>
    </w:p>
    <w:p>
      <w:pPr>
        <w:adjustRightInd w:val="0"/>
        <w:snapToGrid w:val="0"/>
        <w:spacing w:line="396" w:lineRule="auto"/>
        <w:ind w:firstLine="560" w:firstLineChars="200"/>
        <w:rPr>
          <w:rFonts w:hint="eastAsia" w:ascii="宋体" w:hAnsi="宋体" w:eastAsia="宋体"/>
          <w:bCs/>
          <w:sz w:val="28"/>
          <w:szCs w:val="28"/>
        </w:rPr>
      </w:pPr>
      <w:r>
        <w:rPr>
          <w:rFonts w:hint="eastAsia" w:ascii="宋体" w:hAnsi="宋体" w:eastAsia="宋体"/>
          <w:bCs/>
          <w:sz w:val="28"/>
          <w:szCs w:val="28"/>
        </w:rPr>
        <w:t>农房建设管理水平稳步提升。制定《随州市农村房屋建设质量安全管理办法》，建立全生命周期农房管理制度。乡村建设评价工作启动实施。全面查找存在的问题和短板，为提高乡村建设水平提供重要依据。</w:t>
      </w:r>
    </w:p>
    <w:p>
      <w:pPr>
        <w:adjustRightInd w:val="0"/>
        <w:snapToGrid w:val="0"/>
        <w:spacing w:line="396" w:lineRule="auto"/>
        <w:ind w:firstLine="560" w:firstLineChars="200"/>
        <w:rPr>
          <w:rFonts w:hint="eastAsia" w:ascii="宋体" w:hAnsi="宋体" w:eastAsia="宋体"/>
          <w:bCs/>
          <w:sz w:val="28"/>
          <w:szCs w:val="28"/>
        </w:rPr>
      </w:pPr>
      <w:r>
        <w:rPr>
          <w:rFonts w:hint="eastAsia" w:ascii="宋体" w:hAnsi="宋体" w:eastAsia="宋体"/>
          <w:bCs/>
          <w:sz w:val="28"/>
          <w:szCs w:val="28"/>
        </w:rPr>
        <w:t>乡镇生活污水治理提质增效。指导各地投资2亿余元，高标准实施管网延伸和扩容项目，随县住建局用最短的时间完成柳林、均川等5个乡镇生活污水处理厂水毁重建、恢复运营；全市37个乡镇生活污水处理设施全部实现处理费征收、稳定运行、达标排放，工作成效考核取得全省第4名好成绩。</w:t>
      </w:r>
    </w:p>
    <w:p>
      <w:pPr>
        <w:adjustRightInd w:val="0"/>
        <w:snapToGrid w:val="0"/>
        <w:spacing w:line="396" w:lineRule="auto"/>
        <w:ind w:firstLine="560" w:firstLineChars="200"/>
        <w:rPr>
          <w:rFonts w:hint="eastAsia" w:ascii="宋体" w:hAnsi="宋体" w:eastAsia="宋体"/>
          <w:bCs/>
          <w:sz w:val="28"/>
          <w:szCs w:val="28"/>
        </w:rPr>
      </w:pPr>
      <w:r>
        <w:rPr>
          <w:rFonts w:ascii="宋体" w:hAnsi="宋体" w:eastAsia="宋体" w:cs="仿宋"/>
          <w:sz w:val="28"/>
          <w:szCs w:val="28"/>
        </w:rPr>
        <w:fldChar w:fldCharType="begin"/>
      </w:r>
      <w:r>
        <w:rPr>
          <w:rFonts w:ascii="宋体" w:hAnsi="宋体" w:eastAsia="宋体" w:cs="仿宋"/>
          <w:sz w:val="28"/>
          <w:szCs w:val="28"/>
        </w:rPr>
        <w:instrText xml:space="preserve"> </w:instrText>
      </w:r>
      <w:r>
        <w:rPr>
          <w:rFonts w:hint="eastAsia" w:ascii="宋体" w:hAnsi="宋体" w:eastAsia="宋体" w:cs="仿宋"/>
          <w:sz w:val="28"/>
          <w:szCs w:val="28"/>
        </w:rPr>
        <w:instrText xml:space="preserve">= 5 \* GB3</w:instrText>
      </w:r>
      <w:r>
        <w:rPr>
          <w:rFonts w:ascii="宋体" w:hAnsi="宋体" w:eastAsia="宋体" w:cs="仿宋"/>
          <w:sz w:val="28"/>
          <w:szCs w:val="28"/>
        </w:rPr>
        <w:instrText xml:space="preserve"> </w:instrText>
      </w:r>
      <w:r>
        <w:rPr>
          <w:rFonts w:ascii="宋体" w:hAnsi="宋体" w:eastAsia="宋体" w:cs="仿宋"/>
          <w:sz w:val="28"/>
          <w:szCs w:val="28"/>
        </w:rPr>
        <w:fldChar w:fldCharType="separate"/>
      </w:r>
      <w:r>
        <w:rPr>
          <w:rFonts w:hint="eastAsia" w:ascii="宋体" w:hAnsi="宋体" w:eastAsia="宋体" w:cs="仿宋"/>
          <w:sz w:val="28"/>
          <w:szCs w:val="28"/>
        </w:rPr>
        <w:t>⑤</w:t>
      </w:r>
      <w:r>
        <w:rPr>
          <w:rFonts w:ascii="宋体" w:hAnsi="宋体" w:eastAsia="宋体" w:cs="仿宋"/>
          <w:sz w:val="28"/>
          <w:szCs w:val="28"/>
        </w:rPr>
        <w:fldChar w:fldCharType="end"/>
      </w:r>
      <w:r>
        <w:rPr>
          <w:rFonts w:ascii="宋体" w:hAnsi="宋体" w:eastAsia="宋体"/>
          <w:bCs/>
          <w:sz w:val="28"/>
          <w:szCs w:val="28"/>
        </w:rPr>
        <w:t>行业监管持续发力</w:t>
      </w:r>
      <w:r>
        <w:rPr>
          <w:rFonts w:hint="eastAsia" w:ascii="宋体" w:hAnsi="宋体" w:eastAsia="宋体"/>
          <w:bCs/>
          <w:sz w:val="28"/>
          <w:szCs w:val="28"/>
          <w:lang w:eastAsia="zh-CN"/>
        </w:rPr>
        <w:t>，</w:t>
      </w:r>
      <w:r>
        <w:rPr>
          <w:rFonts w:hint="eastAsia" w:ascii="宋体" w:hAnsi="宋体" w:eastAsia="宋体"/>
          <w:bCs/>
          <w:sz w:val="28"/>
          <w:szCs w:val="28"/>
        </w:rPr>
        <w:t>坚守“安全”“稳定”底线，持续强化行业监管。</w:t>
      </w:r>
    </w:p>
    <w:p>
      <w:pPr>
        <w:adjustRightInd w:val="0"/>
        <w:snapToGrid w:val="0"/>
        <w:spacing w:line="396" w:lineRule="auto"/>
        <w:ind w:firstLine="560" w:firstLineChars="200"/>
        <w:rPr>
          <w:rFonts w:hint="eastAsia" w:ascii="宋体" w:hAnsi="宋体" w:eastAsia="宋体"/>
          <w:bCs/>
          <w:sz w:val="28"/>
          <w:szCs w:val="28"/>
        </w:rPr>
      </w:pPr>
      <w:r>
        <w:rPr>
          <w:rFonts w:hint="eastAsia" w:ascii="宋体" w:hAnsi="宋体" w:eastAsia="宋体"/>
          <w:bCs/>
          <w:sz w:val="28"/>
          <w:szCs w:val="28"/>
        </w:rPr>
        <w:t>以省委“三个环境”专项巡视反馈问题整改和安全生产“百日攻坚”行动为抓手，持续抓好住建行业行业监管，住建领域平安稳定。建筑工程质量安全水平实现双提升。“两书一证”推广落实得到省厅充分肯定，开展“智慧搅拌站”试点建设和“黑站”整治专项行动，质量安全监督系统录用率达100%，位列全省第一方阵，荣获省建筑结构优质工程15项、“楚天杯”工程3项；对“危大”工程、起重机械、从业人员等进行专项整治，排查项目300余项，整治消除安全隐患120余处，有力保障建设工程质量安全，全年未发生较大责任事故。</w:t>
      </w:r>
    </w:p>
    <w:p>
      <w:pPr>
        <w:adjustRightInd w:val="0"/>
        <w:snapToGrid w:val="0"/>
        <w:spacing w:line="396" w:lineRule="auto"/>
        <w:ind w:firstLine="560" w:firstLineChars="200"/>
        <w:rPr>
          <w:rFonts w:hint="eastAsia" w:ascii="宋体" w:hAnsi="宋体" w:eastAsia="宋体"/>
          <w:bCs/>
          <w:sz w:val="28"/>
          <w:szCs w:val="28"/>
        </w:rPr>
      </w:pPr>
      <w:r>
        <w:rPr>
          <w:rFonts w:hint="eastAsia" w:ascii="宋体" w:hAnsi="宋体" w:eastAsia="宋体"/>
          <w:bCs/>
          <w:sz w:val="28"/>
          <w:szCs w:val="28"/>
        </w:rPr>
        <w:t>住建领域市政设施安全保障不断加强。扎实开展燃气安全“百日攻坚”行动，排查整治各类安全隐患1080处，城镇燃气监管实现实时监控、管理“一张图”；优化城市供水生产调度、加大管网巡检力度，确保了城区供水安全稳定；持之以恒抓好城市防洪排涝工作，实施城市防洪排涝系统化治理等项目，加强隐患排查整改、应急演练、值班值守，确保城区安全度汛，城市安全运行。</w:t>
      </w:r>
    </w:p>
    <w:p>
      <w:pPr>
        <w:adjustRightInd w:val="0"/>
        <w:snapToGrid w:val="0"/>
        <w:spacing w:line="396" w:lineRule="auto"/>
        <w:ind w:firstLine="560" w:firstLineChars="200"/>
        <w:rPr>
          <w:rFonts w:hint="eastAsia" w:ascii="宋体" w:hAnsi="宋体" w:eastAsia="宋体"/>
          <w:bCs/>
          <w:sz w:val="28"/>
          <w:szCs w:val="28"/>
        </w:rPr>
      </w:pPr>
      <w:r>
        <w:rPr>
          <w:rFonts w:hint="eastAsia" w:ascii="宋体" w:hAnsi="宋体" w:eastAsia="宋体"/>
          <w:bCs/>
          <w:sz w:val="28"/>
          <w:szCs w:val="28"/>
        </w:rPr>
        <w:t>自建房安隐患排查扎实推进。坚持边排查、边鉴定、边整治，全市自建房排查70万余栋，鉴定隐患房屋1.6万余栋，整治危房1.5万余栋，完成小南门街等自建房安全隐患问题整治销号，在全省率先完成排查工作，实现排查、鉴定和整治三个100%，广水市住建局自建房安全排查整治工作成效明显。强化城乡房屋安全鉴定管理，圆满完成房屋建筑和市政设施普查，白蚁防治工作取得实效，有力保障了城乡住房安全。</w:t>
      </w:r>
    </w:p>
    <w:p>
      <w:pPr>
        <w:adjustRightInd w:val="0"/>
        <w:snapToGrid w:val="0"/>
        <w:spacing w:line="396" w:lineRule="auto"/>
        <w:ind w:firstLine="560" w:firstLineChars="200"/>
        <w:rPr>
          <w:rFonts w:hint="eastAsia" w:ascii="宋体" w:hAnsi="宋体" w:eastAsia="宋体"/>
          <w:bCs/>
          <w:sz w:val="28"/>
          <w:szCs w:val="28"/>
        </w:rPr>
      </w:pPr>
      <w:r>
        <w:rPr>
          <w:rFonts w:ascii="宋体" w:hAnsi="宋体" w:eastAsia="宋体" w:cs="仿宋"/>
          <w:sz w:val="28"/>
          <w:szCs w:val="28"/>
        </w:rPr>
        <w:fldChar w:fldCharType="begin"/>
      </w:r>
      <w:r>
        <w:rPr>
          <w:rFonts w:ascii="宋体" w:hAnsi="宋体" w:eastAsia="宋体" w:cs="仿宋"/>
          <w:sz w:val="28"/>
          <w:szCs w:val="28"/>
        </w:rPr>
        <w:instrText xml:space="preserve"> </w:instrText>
      </w:r>
      <w:r>
        <w:rPr>
          <w:rFonts w:hint="eastAsia" w:ascii="宋体" w:hAnsi="宋体" w:eastAsia="宋体" w:cs="仿宋"/>
          <w:sz w:val="28"/>
          <w:szCs w:val="28"/>
        </w:rPr>
        <w:instrText xml:space="preserve">= 6 \* GB3</w:instrText>
      </w:r>
      <w:r>
        <w:rPr>
          <w:rFonts w:ascii="宋体" w:hAnsi="宋体" w:eastAsia="宋体" w:cs="仿宋"/>
          <w:sz w:val="28"/>
          <w:szCs w:val="28"/>
        </w:rPr>
        <w:instrText xml:space="preserve"> </w:instrText>
      </w:r>
      <w:r>
        <w:rPr>
          <w:rFonts w:ascii="宋体" w:hAnsi="宋体" w:eastAsia="宋体" w:cs="仿宋"/>
          <w:sz w:val="28"/>
          <w:szCs w:val="28"/>
        </w:rPr>
        <w:fldChar w:fldCharType="separate"/>
      </w:r>
      <w:r>
        <w:rPr>
          <w:rFonts w:hint="eastAsia" w:ascii="宋体" w:hAnsi="宋体" w:eastAsia="宋体" w:cs="仿宋"/>
          <w:sz w:val="28"/>
          <w:szCs w:val="28"/>
        </w:rPr>
        <w:t>⑥</w:t>
      </w:r>
      <w:r>
        <w:rPr>
          <w:rFonts w:ascii="宋体" w:hAnsi="宋体" w:eastAsia="宋体" w:cs="仿宋"/>
          <w:sz w:val="28"/>
          <w:szCs w:val="28"/>
        </w:rPr>
        <w:fldChar w:fldCharType="end"/>
      </w:r>
      <w:r>
        <w:rPr>
          <w:rFonts w:ascii="宋体" w:hAnsi="宋体" w:eastAsia="宋体"/>
          <w:bCs/>
          <w:sz w:val="28"/>
          <w:szCs w:val="28"/>
        </w:rPr>
        <w:t>产业发展克难求进</w:t>
      </w:r>
      <w:r>
        <w:rPr>
          <w:rFonts w:hint="eastAsia" w:ascii="宋体" w:hAnsi="宋体" w:eastAsia="宋体"/>
          <w:bCs/>
          <w:sz w:val="28"/>
          <w:szCs w:val="28"/>
          <w:lang w:eastAsia="zh-CN"/>
        </w:rPr>
        <w:t>，</w:t>
      </w:r>
      <w:r>
        <w:rPr>
          <w:rFonts w:hint="eastAsia" w:ascii="宋体" w:hAnsi="宋体" w:eastAsia="宋体"/>
          <w:bCs/>
          <w:sz w:val="28"/>
          <w:szCs w:val="28"/>
        </w:rPr>
        <w:t>坚持稳中求进，产业发展成效明显。</w:t>
      </w:r>
    </w:p>
    <w:p>
      <w:pPr>
        <w:adjustRightInd w:val="0"/>
        <w:snapToGrid w:val="0"/>
        <w:spacing w:line="396" w:lineRule="auto"/>
        <w:ind w:firstLine="560" w:firstLineChars="200"/>
        <w:rPr>
          <w:rFonts w:hint="eastAsia" w:ascii="宋体" w:hAnsi="宋体" w:eastAsia="宋体"/>
          <w:bCs/>
          <w:sz w:val="28"/>
          <w:szCs w:val="28"/>
        </w:rPr>
      </w:pPr>
      <w:r>
        <w:rPr>
          <w:rFonts w:hint="eastAsia" w:ascii="宋体" w:hAnsi="宋体" w:eastAsia="宋体"/>
          <w:bCs/>
          <w:sz w:val="28"/>
          <w:szCs w:val="28"/>
        </w:rPr>
        <w:t>房地产市场企稳回暖。坚持用好用活政策“工具箱”，出台促进房地产市场平稳健康发展实施意见11条硬措施，加强“政银企”联动，打好“组合拳”，举办两次房地产交易会，随县、广水市住建局也纷纷出台居民购房、房票安置等奖补激励措施，有力推动市场恢复、销售回暖。全年房地产完成投资73亿元，四季度环比增长5.24%；新建商品房销售面积110万㎡，同比下降8.6%，回归幅度居全省第二。</w:t>
      </w:r>
    </w:p>
    <w:p>
      <w:pPr>
        <w:adjustRightInd w:val="0"/>
        <w:snapToGrid w:val="0"/>
        <w:spacing w:line="396" w:lineRule="auto"/>
        <w:ind w:firstLine="560" w:firstLineChars="200"/>
        <w:rPr>
          <w:rFonts w:hint="eastAsia" w:ascii="宋体" w:hAnsi="宋体" w:eastAsia="宋体"/>
          <w:bCs/>
          <w:sz w:val="28"/>
          <w:szCs w:val="28"/>
        </w:rPr>
      </w:pPr>
      <w:r>
        <w:rPr>
          <w:rFonts w:hint="eastAsia" w:ascii="宋体" w:hAnsi="宋体" w:eastAsia="宋体"/>
          <w:bCs/>
          <w:sz w:val="28"/>
          <w:szCs w:val="28"/>
        </w:rPr>
        <w:t>“保交楼”风险楼盘化解有序推进。紧紧围绕“保交楼、保民生、保稳定”目标，组建4个工作专班，分别包保负责6个风险楼盘，坚持“一项一策”“日督办、周调度”，一手抓风险楼盘化解，千方百计筹措资金，协调各方搁置争议复工建设；一手抓信访维稳，做好购房群众解释沟通和情绪疏导工作，没有发生越级上访事件，全年提供可交付房屋3266套，超额完成省定目标任务。</w:t>
      </w:r>
    </w:p>
    <w:p>
      <w:pPr>
        <w:adjustRightInd w:val="0"/>
        <w:snapToGrid w:val="0"/>
        <w:spacing w:line="396" w:lineRule="auto"/>
        <w:ind w:firstLine="560" w:firstLineChars="200"/>
        <w:rPr>
          <w:rFonts w:hint="eastAsia" w:ascii="宋体" w:hAnsi="宋体" w:eastAsia="宋体"/>
          <w:bCs/>
          <w:sz w:val="28"/>
          <w:szCs w:val="28"/>
        </w:rPr>
      </w:pPr>
      <w:r>
        <w:rPr>
          <w:rFonts w:hint="eastAsia" w:ascii="宋体" w:hAnsi="宋体" w:eastAsia="宋体"/>
          <w:bCs/>
          <w:sz w:val="28"/>
          <w:szCs w:val="28"/>
        </w:rPr>
        <w:t>建筑业发展稳步提升。召开建筑业高质量发展座谈会，针对本地企业强强联合、招投标平台改进等问题，赴外地考察学习，制定应对措施，努力提高本地企业市场竞争力和抗风险能力，全年帮扶10家企业晋升一级资质，实现建筑业产值120亿元，同比增长4.4%，在逆势中实现正增长。</w:t>
      </w:r>
    </w:p>
    <w:p>
      <w:pPr>
        <w:adjustRightInd w:val="0"/>
        <w:snapToGrid w:val="0"/>
        <w:spacing w:line="396" w:lineRule="auto"/>
        <w:ind w:firstLine="560" w:firstLineChars="200"/>
        <w:rPr>
          <w:rFonts w:hint="eastAsia" w:ascii="宋体" w:hAnsi="宋体" w:eastAsia="宋体"/>
          <w:bCs/>
          <w:sz w:val="28"/>
          <w:szCs w:val="28"/>
        </w:rPr>
      </w:pPr>
      <w:r>
        <w:rPr>
          <w:rFonts w:ascii="宋体" w:hAnsi="宋体" w:eastAsia="宋体"/>
          <w:bCs/>
          <w:sz w:val="28"/>
          <w:szCs w:val="28"/>
        </w:rPr>
        <w:fldChar w:fldCharType="begin"/>
      </w:r>
      <w:r>
        <w:rPr>
          <w:rFonts w:ascii="宋体" w:hAnsi="宋体" w:eastAsia="宋体"/>
          <w:bCs/>
          <w:sz w:val="28"/>
          <w:szCs w:val="28"/>
        </w:rPr>
        <w:instrText xml:space="preserve"> </w:instrText>
      </w:r>
      <w:r>
        <w:rPr>
          <w:rFonts w:hint="eastAsia" w:ascii="宋体" w:hAnsi="宋体" w:eastAsia="宋体"/>
          <w:bCs/>
          <w:sz w:val="28"/>
          <w:szCs w:val="28"/>
        </w:rPr>
        <w:instrText xml:space="preserve">= 7 \* GB3</w:instrText>
      </w:r>
      <w:r>
        <w:rPr>
          <w:rFonts w:ascii="宋体" w:hAnsi="宋体" w:eastAsia="宋体"/>
          <w:bCs/>
          <w:sz w:val="28"/>
          <w:szCs w:val="28"/>
        </w:rPr>
        <w:instrText xml:space="preserve"> </w:instrText>
      </w:r>
      <w:r>
        <w:rPr>
          <w:rFonts w:ascii="宋体" w:hAnsi="宋体" w:eastAsia="宋体"/>
          <w:bCs/>
          <w:sz w:val="28"/>
          <w:szCs w:val="28"/>
        </w:rPr>
        <w:fldChar w:fldCharType="separate"/>
      </w:r>
      <w:r>
        <w:rPr>
          <w:rFonts w:hint="eastAsia" w:ascii="宋体" w:hAnsi="宋体" w:eastAsia="宋体"/>
          <w:bCs/>
          <w:sz w:val="28"/>
          <w:szCs w:val="28"/>
        </w:rPr>
        <w:t>⑦</w:t>
      </w:r>
      <w:r>
        <w:rPr>
          <w:rFonts w:ascii="宋体" w:hAnsi="宋体" w:eastAsia="宋体"/>
          <w:bCs/>
          <w:sz w:val="28"/>
          <w:szCs w:val="28"/>
        </w:rPr>
        <w:fldChar w:fldCharType="end"/>
      </w:r>
      <w:r>
        <w:rPr>
          <w:rFonts w:ascii="宋体" w:hAnsi="宋体" w:eastAsia="宋体"/>
          <w:sz w:val="28"/>
          <w:szCs w:val="28"/>
        </w:rPr>
        <w:t>营商</w:t>
      </w:r>
      <w:r>
        <w:rPr>
          <w:rFonts w:ascii="宋体" w:hAnsi="宋体" w:eastAsia="宋体"/>
          <w:bCs/>
          <w:sz w:val="28"/>
          <w:szCs w:val="28"/>
        </w:rPr>
        <w:t>环境提质增效</w:t>
      </w:r>
      <w:r>
        <w:rPr>
          <w:rFonts w:hint="eastAsia" w:ascii="宋体" w:hAnsi="宋体" w:eastAsia="宋体"/>
          <w:bCs/>
          <w:sz w:val="28"/>
          <w:szCs w:val="28"/>
          <w:lang w:eastAsia="zh-CN"/>
        </w:rPr>
        <w:t>，</w:t>
      </w:r>
      <w:r>
        <w:rPr>
          <w:rFonts w:hint="eastAsia" w:ascii="宋体" w:hAnsi="宋体" w:eastAsia="宋体"/>
          <w:bCs/>
          <w:sz w:val="28"/>
          <w:szCs w:val="28"/>
        </w:rPr>
        <w:t>着力提升服务水平，住建领域营商环境取得阶段性成效。</w:t>
      </w:r>
    </w:p>
    <w:p>
      <w:pPr>
        <w:adjustRightInd w:val="0"/>
        <w:snapToGrid w:val="0"/>
        <w:spacing w:line="396" w:lineRule="auto"/>
        <w:ind w:firstLine="560" w:firstLineChars="200"/>
        <w:rPr>
          <w:rFonts w:hint="eastAsia" w:ascii="宋体" w:hAnsi="宋体" w:eastAsia="宋体"/>
          <w:bCs/>
          <w:sz w:val="28"/>
          <w:szCs w:val="28"/>
        </w:rPr>
      </w:pPr>
      <w:r>
        <w:rPr>
          <w:rFonts w:hint="eastAsia" w:ascii="宋体" w:hAnsi="宋体" w:eastAsia="宋体"/>
          <w:bCs/>
          <w:sz w:val="28"/>
          <w:szCs w:val="28"/>
        </w:rPr>
        <w:t>工程审批制度改革持续深化。优化窗口服务流程，深化“证照分离”改革，全年办件1.93万余件，全部实现“一网通办”。</w:t>
      </w:r>
    </w:p>
    <w:p>
      <w:pPr>
        <w:adjustRightInd w:val="0"/>
        <w:snapToGrid w:val="0"/>
        <w:spacing w:line="396" w:lineRule="auto"/>
        <w:ind w:firstLine="560" w:firstLineChars="200"/>
        <w:rPr>
          <w:rFonts w:hint="eastAsia" w:ascii="宋体" w:hAnsi="宋体" w:eastAsia="宋体"/>
          <w:bCs/>
          <w:sz w:val="28"/>
          <w:szCs w:val="28"/>
        </w:rPr>
      </w:pPr>
      <w:r>
        <w:rPr>
          <w:rFonts w:hint="eastAsia" w:ascii="宋体" w:hAnsi="宋体" w:eastAsia="宋体"/>
          <w:bCs/>
          <w:sz w:val="28"/>
          <w:szCs w:val="28"/>
        </w:rPr>
        <w:t>深入推进工程审批制度改革，进一步清理优化审批程序，推进单体竣工验收，审批时限由“705030”压缩至“332312”。</w:t>
      </w:r>
    </w:p>
    <w:p>
      <w:pPr>
        <w:adjustRightInd w:val="0"/>
        <w:snapToGrid w:val="0"/>
        <w:spacing w:line="396" w:lineRule="auto"/>
        <w:ind w:firstLine="560" w:firstLineChars="200"/>
        <w:rPr>
          <w:rFonts w:hint="eastAsia" w:ascii="宋体" w:hAnsi="宋体" w:eastAsia="宋体"/>
          <w:bCs/>
          <w:sz w:val="28"/>
          <w:szCs w:val="28"/>
        </w:rPr>
      </w:pPr>
      <w:r>
        <w:rPr>
          <w:rFonts w:hint="eastAsia" w:ascii="宋体" w:hAnsi="宋体" w:eastAsia="宋体"/>
          <w:bCs/>
          <w:sz w:val="28"/>
          <w:szCs w:val="28"/>
        </w:rPr>
        <w:t>住建行业信息化建设加快推进。积极开展全省房屋市政工程监管数据中心应用试点，建成建筑工程管理信息化平台和控制中心以及工地智慧化监管平台，建成“智慧工地”45家，应用推广率100%。住宅维修资金信息化建设实现网上自助缴存等功能，建成“小区-住户-资金”一对一的监管网络，提升服务效能。</w:t>
      </w:r>
    </w:p>
    <w:p>
      <w:pPr>
        <w:adjustRightInd w:val="0"/>
        <w:snapToGrid w:val="0"/>
        <w:spacing w:line="396" w:lineRule="auto"/>
        <w:ind w:firstLine="560" w:firstLineChars="200"/>
        <w:rPr>
          <w:rFonts w:ascii="宋体" w:hAnsi="宋体" w:eastAsia="宋体" w:cs="仿宋"/>
          <w:sz w:val="28"/>
          <w:szCs w:val="28"/>
        </w:rPr>
      </w:pPr>
      <w:r>
        <w:rPr>
          <w:rFonts w:ascii="宋体" w:hAnsi="宋体" w:eastAsia="宋体"/>
          <w:sz w:val="28"/>
          <w:szCs w:val="28"/>
        </w:rPr>
        <w:t>（2）效益指标完成情况分析</w:t>
      </w:r>
    </w:p>
    <w:p>
      <w:pPr>
        <w:adjustRightInd w:val="0"/>
        <w:snapToGrid w:val="0"/>
        <w:spacing w:line="396" w:lineRule="auto"/>
        <w:ind w:firstLine="560" w:firstLineChars="200"/>
        <w:rPr>
          <w:rFonts w:ascii="宋体" w:hAnsi="宋体" w:eastAsia="宋体"/>
          <w:bCs/>
          <w:color w:val="auto"/>
          <w:sz w:val="28"/>
          <w:szCs w:val="28"/>
        </w:rPr>
      </w:pPr>
      <w:r>
        <w:rPr>
          <w:rFonts w:ascii="宋体" w:hAnsi="宋体" w:eastAsia="宋体"/>
          <w:bCs/>
          <w:color w:val="auto"/>
          <w:sz w:val="28"/>
          <w:szCs w:val="28"/>
        </w:rPr>
        <w:fldChar w:fldCharType="begin"/>
      </w:r>
      <w:r>
        <w:rPr>
          <w:rFonts w:ascii="宋体" w:hAnsi="宋体" w:eastAsia="宋体"/>
          <w:bCs/>
          <w:color w:val="auto"/>
          <w:sz w:val="28"/>
          <w:szCs w:val="28"/>
        </w:rPr>
        <w:instrText xml:space="preserve"> </w:instrText>
      </w:r>
      <w:r>
        <w:rPr>
          <w:rFonts w:hint="eastAsia" w:ascii="宋体" w:hAnsi="宋体" w:eastAsia="宋体"/>
          <w:bCs/>
          <w:color w:val="auto"/>
          <w:sz w:val="28"/>
          <w:szCs w:val="28"/>
        </w:rPr>
        <w:instrText xml:space="preserve">= 1 \* GB3</w:instrText>
      </w:r>
      <w:r>
        <w:rPr>
          <w:rFonts w:ascii="宋体" w:hAnsi="宋体" w:eastAsia="宋体"/>
          <w:bCs/>
          <w:color w:val="auto"/>
          <w:sz w:val="28"/>
          <w:szCs w:val="28"/>
        </w:rPr>
        <w:instrText xml:space="preserve"> </w:instrText>
      </w:r>
      <w:r>
        <w:rPr>
          <w:rFonts w:ascii="宋体" w:hAnsi="宋体" w:eastAsia="宋体"/>
          <w:bCs/>
          <w:color w:val="auto"/>
          <w:sz w:val="28"/>
          <w:szCs w:val="28"/>
        </w:rPr>
        <w:fldChar w:fldCharType="separate"/>
      </w:r>
      <w:r>
        <w:rPr>
          <w:rFonts w:hint="eastAsia" w:ascii="宋体" w:hAnsi="宋体" w:eastAsia="宋体"/>
          <w:bCs/>
          <w:color w:val="auto"/>
          <w:sz w:val="28"/>
          <w:szCs w:val="28"/>
        </w:rPr>
        <w:t>①</w:t>
      </w:r>
      <w:r>
        <w:rPr>
          <w:rFonts w:ascii="宋体" w:hAnsi="宋体" w:eastAsia="宋体"/>
          <w:bCs/>
          <w:color w:val="auto"/>
          <w:sz w:val="28"/>
          <w:szCs w:val="28"/>
        </w:rPr>
        <w:fldChar w:fldCharType="end"/>
      </w:r>
      <w:r>
        <w:rPr>
          <w:rFonts w:hint="eastAsia" w:ascii="宋体" w:hAnsi="宋体" w:eastAsia="宋体"/>
          <w:color w:val="auto"/>
          <w:sz w:val="28"/>
          <w:szCs w:val="28"/>
        </w:rPr>
        <w:t>《神韵随州补短板品质提升三年行动（2020-2022）》圆满收官，累计完成项目155个、投资300余亿元</w:t>
      </w:r>
      <w:r>
        <w:rPr>
          <w:rFonts w:hint="eastAsia" w:ascii="宋体" w:hAnsi="宋体" w:eastAsia="宋体"/>
          <w:color w:val="auto"/>
          <w:sz w:val="28"/>
          <w:szCs w:val="28"/>
          <w:lang w:eastAsia="zh-CN"/>
        </w:rPr>
        <w:t>，涵盖道路、水源、燃气、学校、公共服务设施建设、应急水源工程和污水、地下管网等，基建项目建设极大拉动我市经济发展，改善城区及周边生态环境，满足群众日益增长精神文化需求。</w:t>
      </w:r>
    </w:p>
    <w:p>
      <w:pPr>
        <w:adjustRightInd w:val="0"/>
        <w:snapToGrid w:val="0"/>
        <w:spacing w:line="396" w:lineRule="auto"/>
        <w:ind w:firstLine="560" w:firstLineChars="200"/>
        <w:rPr>
          <w:rFonts w:hint="eastAsia" w:ascii="宋体" w:hAnsi="宋体" w:eastAsia="宋体"/>
          <w:color w:val="auto"/>
          <w:sz w:val="28"/>
          <w:szCs w:val="28"/>
          <w:lang w:eastAsia="zh-CN"/>
        </w:rPr>
      </w:pPr>
      <w:r>
        <w:rPr>
          <w:rFonts w:hint="eastAsia" w:ascii="宋体" w:hAnsi="宋体" w:eastAsia="宋体"/>
          <w:color w:val="auto"/>
          <w:sz w:val="28"/>
          <w:szCs w:val="28"/>
          <w:lang w:eastAsia="zh-CN"/>
        </w:rPr>
        <w:fldChar w:fldCharType="begin"/>
      </w:r>
      <w:r>
        <w:rPr>
          <w:rFonts w:hint="eastAsia" w:ascii="宋体" w:hAnsi="宋体" w:eastAsia="宋体"/>
          <w:color w:val="auto"/>
          <w:sz w:val="28"/>
          <w:szCs w:val="28"/>
          <w:lang w:eastAsia="zh-CN"/>
        </w:rPr>
        <w:instrText xml:space="preserve"> = 2 \* GB3 </w:instrText>
      </w:r>
      <w:r>
        <w:rPr>
          <w:rFonts w:hint="eastAsia" w:ascii="宋体" w:hAnsi="宋体" w:eastAsia="宋体"/>
          <w:color w:val="auto"/>
          <w:sz w:val="28"/>
          <w:szCs w:val="28"/>
          <w:lang w:eastAsia="zh-CN"/>
        </w:rPr>
        <w:fldChar w:fldCharType="separate"/>
      </w:r>
      <w:r>
        <w:rPr>
          <w:rFonts w:hint="eastAsia" w:ascii="宋体" w:hAnsi="宋体" w:eastAsia="宋体"/>
          <w:color w:val="auto"/>
          <w:sz w:val="28"/>
          <w:szCs w:val="28"/>
          <w:lang w:eastAsia="zh-CN"/>
        </w:rPr>
        <w:t>②</w:t>
      </w:r>
      <w:r>
        <w:rPr>
          <w:rFonts w:hint="eastAsia" w:ascii="宋体" w:hAnsi="宋体" w:eastAsia="宋体"/>
          <w:color w:val="auto"/>
          <w:sz w:val="28"/>
          <w:szCs w:val="28"/>
          <w:lang w:eastAsia="zh-CN"/>
        </w:rPr>
        <w:fldChar w:fldCharType="end"/>
      </w:r>
      <w:r>
        <w:rPr>
          <w:rFonts w:hint="eastAsia" w:ascii="宋体" w:hAnsi="宋体" w:eastAsia="宋体"/>
          <w:color w:val="auto"/>
          <w:sz w:val="28"/>
          <w:szCs w:val="28"/>
          <w:lang w:val="en-US" w:eastAsia="zh-CN"/>
        </w:rPr>
        <w:t>老旧小区</w:t>
      </w:r>
      <w:r>
        <w:rPr>
          <w:rFonts w:hint="default" w:ascii="宋体" w:hAnsi="宋体" w:eastAsia="宋体"/>
          <w:color w:val="auto"/>
          <w:sz w:val="28"/>
          <w:szCs w:val="28"/>
          <w:lang w:val="en-US" w:eastAsia="zh-CN"/>
        </w:rPr>
        <w:t>三年累计改造433个、惠及群众近6万人</w:t>
      </w:r>
      <w:r>
        <w:rPr>
          <w:rFonts w:hint="eastAsia" w:ascii="宋体" w:hAnsi="宋体" w:eastAsia="宋体"/>
          <w:color w:val="auto"/>
          <w:sz w:val="28"/>
          <w:szCs w:val="28"/>
          <w:lang w:val="en-US" w:eastAsia="zh-CN"/>
        </w:rPr>
        <w:t>，改善群众居住环境。</w:t>
      </w:r>
      <w:r>
        <w:rPr>
          <w:rFonts w:hint="default" w:ascii="宋体" w:hAnsi="宋体" w:eastAsia="宋体"/>
          <w:color w:val="auto"/>
          <w:sz w:val="28"/>
          <w:szCs w:val="28"/>
          <w:lang w:val="en-US" w:eastAsia="zh-CN"/>
        </w:rPr>
        <w:t>深入实施物业服务收费信息不透明问题专项整治，会同市纪委及相关部门开展联合行动，立案查处企业10家，清退违规收费12万余元</w:t>
      </w:r>
      <w:r>
        <w:rPr>
          <w:rFonts w:hint="eastAsia" w:ascii="宋体" w:hAnsi="宋体" w:eastAsia="宋体"/>
          <w:color w:val="auto"/>
          <w:sz w:val="28"/>
          <w:szCs w:val="28"/>
          <w:lang w:val="en-US" w:eastAsia="zh-CN"/>
        </w:rPr>
        <w:t>。保障住房及时出台工作方案及相关配套措施，筹集房源1524套，摇号分配649套，超额完成省定目标，解决基本公共服务人员住房困难。住建领域民生实事落实有力，通过老旧小区改造、保障性住房、危房改造、公租房等一系列措施，持续改善群众居住环境，维护群众利益。</w:t>
      </w:r>
    </w:p>
    <w:p>
      <w:pPr>
        <w:adjustRightInd w:val="0"/>
        <w:snapToGrid w:val="0"/>
        <w:spacing w:line="396" w:lineRule="auto"/>
        <w:ind w:firstLine="560" w:firstLineChars="200"/>
        <w:rPr>
          <w:rFonts w:hint="eastAsia" w:ascii="宋体" w:hAnsi="宋体" w:eastAsia="宋体"/>
          <w:bCs/>
          <w:color w:val="auto"/>
          <w:sz w:val="28"/>
          <w:szCs w:val="28"/>
          <w:lang w:val="zh-CN" w:eastAsia="zh-CN"/>
        </w:rPr>
      </w:pPr>
      <w:r>
        <w:rPr>
          <w:rFonts w:ascii="宋体" w:hAnsi="宋体" w:eastAsia="宋体"/>
          <w:bCs/>
          <w:color w:val="auto"/>
          <w:sz w:val="28"/>
          <w:szCs w:val="28"/>
        </w:rPr>
        <w:fldChar w:fldCharType="begin"/>
      </w:r>
      <w:r>
        <w:rPr>
          <w:rFonts w:ascii="宋体" w:hAnsi="宋体" w:eastAsia="宋体"/>
          <w:bCs/>
          <w:color w:val="auto"/>
          <w:sz w:val="28"/>
          <w:szCs w:val="28"/>
        </w:rPr>
        <w:instrText xml:space="preserve"> </w:instrText>
      </w:r>
      <w:r>
        <w:rPr>
          <w:rFonts w:hint="eastAsia" w:ascii="宋体" w:hAnsi="宋体" w:eastAsia="宋体"/>
          <w:bCs/>
          <w:color w:val="auto"/>
          <w:sz w:val="28"/>
          <w:szCs w:val="28"/>
        </w:rPr>
        <w:instrText xml:space="preserve">= 3 \* GB3</w:instrText>
      </w:r>
      <w:r>
        <w:rPr>
          <w:rFonts w:ascii="宋体" w:hAnsi="宋体" w:eastAsia="宋体"/>
          <w:bCs/>
          <w:color w:val="auto"/>
          <w:sz w:val="28"/>
          <w:szCs w:val="28"/>
        </w:rPr>
        <w:instrText xml:space="preserve"> </w:instrText>
      </w:r>
      <w:r>
        <w:rPr>
          <w:rFonts w:ascii="宋体" w:hAnsi="宋体" w:eastAsia="宋体"/>
          <w:bCs/>
          <w:color w:val="auto"/>
          <w:sz w:val="28"/>
          <w:szCs w:val="28"/>
        </w:rPr>
        <w:fldChar w:fldCharType="separate"/>
      </w:r>
      <w:r>
        <w:rPr>
          <w:rFonts w:hint="eastAsia" w:ascii="宋体" w:hAnsi="宋体" w:eastAsia="宋体"/>
          <w:bCs/>
          <w:color w:val="auto"/>
          <w:sz w:val="28"/>
          <w:szCs w:val="28"/>
        </w:rPr>
        <w:t>③</w:t>
      </w:r>
      <w:r>
        <w:rPr>
          <w:rFonts w:ascii="宋体" w:hAnsi="宋体" w:eastAsia="宋体"/>
          <w:bCs/>
          <w:color w:val="auto"/>
          <w:sz w:val="28"/>
          <w:szCs w:val="28"/>
        </w:rPr>
        <w:fldChar w:fldCharType="end"/>
      </w:r>
      <w:r>
        <w:rPr>
          <w:rFonts w:hint="eastAsia" w:ascii="宋体" w:hAnsi="宋体" w:eastAsia="宋体"/>
          <w:bCs/>
          <w:color w:val="auto"/>
          <w:sz w:val="28"/>
          <w:szCs w:val="28"/>
        </w:rPr>
        <w:t>实施PM2.5、PM10动态监管，严控建筑工地扬尘，有力保障城市天气优良率。推进老旧管网更新改造和城南片区雨污管网和污水处理厂新建，消除城市污水收集空白区</w:t>
      </w:r>
      <w:r>
        <w:rPr>
          <w:rFonts w:hint="eastAsia" w:ascii="宋体" w:hAnsi="宋体" w:eastAsia="宋体"/>
          <w:bCs/>
          <w:color w:val="auto"/>
          <w:sz w:val="28"/>
          <w:szCs w:val="28"/>
          <w:lang w:eastAsia="zh-CN"/>
        </w:rPr>
        <w:t>。三年累计新建节能建筑803万㎡、绿色建筑461万㎡，通过能源低消耗，节约能源，减少资源浪费。</w:t>
      </w:r>
    </w:p>
    <w:p>
      <w:pPr>
        <w:adjustRightInd w:val="0"/>
        <w:snapToGrid w:val="0"/>
        <w:spacing w:line="396" w:lineRule="auto"/>
        <w:ind w:firstLine="560" w:firstLineChars="200"/>
        <w:rPr>
          <w:rFonts w:hint="eastAsia" w:ascii="宋体" w:hAnsi="宋体" w:eastAsia="宋体"/>
          <w:bCs/>
          <w:color w:val="auto"/>
          <w:sz w:val="28"/>
          <w:szCs w:val="28"/>
          <w:lang w:val="zh-CN"/>
        </w:rPr>
      </w:pPr>
      <w:r>
        <w:rPr>
          <w:rFonts w:ascii="宋体" w:hAnsi="宋体" w:eastAsia="宋体"/>
          <w:bCs/>
          <w:color w:val="auto"/>
          <w:sz w:val="28"/>
          <w:szCs w:val="28"/>
          <w:lang w:val="zh-CN"/>
        </w:rPr>
        <w:fldChar w:fldCharType="begin"/>
      </w:r>
      <w:r>
        <w:rPr>
          <w:rFonts w:ascii="宋体" w:hAnsi="宋体" w:eastAsia="宋体"/>
          <w:bCs/>
          <w:color w:val="auto"/>
          <w:sz w:val="28"/>
          <w:szCs w:val="28"/>
          <w:lang w:val="zh-CN"/>
        </w:rPr>
        <w:instrText xml:space="preserve"> </w:instrText>
      </w:r>
      <w:r>
        <w:rPr>
          <w:rFonts w:hint="eastAsia" w:ascii="宋体" w:hAnsi="宋体" w:eastAsia="宋体"/>
          <w:bCs/>
          <w:color w:val="auto"/>
          <w:sz w:val="28"/>
          <w:szCs w:val="28"/>
          <w:lang w:val="zh-CN"/>
        </w:rPr>
        <w:instrText xml:space="preserve">= 4 \* GB3</w:instrText>
      </w:r>
      <w:r>
        <w:rPr>
          <w:rFonts w:ascii="宋体" w:hAnsi="宋体" w:eastAsia="宋体"/>
          <w:bCs/>
          <w:color w:val="auto"/>
          <w:sz w:val="28"/>
          <w:szCs w:val="28"/>
          <w:lang w:val="zh-CN"/>
        </w:rPr>
        <w:instrText xml:space="preserve"> </w:instrText>
      </w:r>
      <w:r>
        <w:rPr>
          <w:rFonts w:ascii="宋体" w:hAnsi="宋体" w:eastAsia="宋体"/>
          <w:bCs/>
          <w:color w:val="auto"/>
          <w:sz w:val="28"/>
          <w:szCs w:val="28"/>
          <w:lang w:val="zh-CN"/>
        </w:rPr>
        <w:fldChar w:fldCharType="separate"/>
      </w:r>
      <w:r>
        <w:rPr>
          <w:rFonts w:hint="eastAsia" w:ascii="宋体" w:hAnsi="宋体" w:eastAsia="宋体"/>
          <w:bCs/>
          <w:color w:val="auto"/>
          <w:sz w:val="28"/>
          <w:szCs w:val="28"/>
          <w:lang w:val="zh-CN"/>
        </w:rPr>
        <w:t>④</w:t>
      </w:r>
      <w:r>
        <w:rPr>
          <w:rFonts w:ascii="宋体" w:hAnsi="宋体" w:eastAsia="宋体"/>
          <w:bCs/>
          <w:color w:val="auto"/>
          <w:sz w:val="28"/>
          <w:szCs w:val="28"/>
          <w:lang w:val="zh-CN"/>
        </w:rPr>
        <w:fldChar w:fldCharType="end"/>
      </w:r>
      <w:r>
        <w:rPr>
          <w:rFonts w:hint="eastAsia" w:ascii="宋体" w:hAnsi="宋体" w:eastAsia="宋体"/>
          <w:bCs/>
          <w:color w:val="auto"/>
          <w:sz w:val="28"/>
          <w:szCs w:val="28"/>
          <w:lang w:val="zh-CN"/>
        </w:rPr>
        <w:t>坚持用好用活政策“工具箱”，出台促进房地产市场平稳健康发展实施意见11条硬措施，加强“政银企”联动，打好“组合拳”，举办两次房地产交易会，随县、广水市住建局也纷纷出台居民购房、房票安置等奖补激励措施，有力推动市场恢复、销售回暖。</w:t>
      </w:r>
    </w:p>
    <w:p>
      <w:pPr>
        <w:adjustRightInd w:val="0"/>
        <w:snapToGrid w:val="0"/>
        <w:spacing w:line="396" w:lineRule="auto"/>
        <w:ind w:firstLine="560" w:firstLineChars="200"/>
        <w:rPr>
          <w:rFonts w:ascii="宋体" w:hAnsi="宋体" w:eastAsia="宋体" w:cs="仿宋"/>
          <w:color w:val="auto"/>
          <w:sz w:val="28"/>
          <w:szCs w:val="28"/>
        </w:rPr>
      </w:pPr>
      <w:r>
        <w:rPr>
          <w:rFonts w:ascii="宋体" w:hAnsi="宋体" w:eastAsia="宋体"/>
          <w:bCs/>
          <w:color w:val="auto"/>
          <w:sz w:val="28"/>
          <w:szCs w:val="28"/>
        </w:rPr>
        <w:fldChar w:fldCharType="begin"/>
      </w:r>
      <w:r>
        <w:rPr>
          <w:rFonts w:ascii="宋体" w:hAnsi="宋体" w:eastAsia="宋体"/>
          <w:bCs/>
          <w:color w:val="auto"/>
          <w:sz w:val="28"/>
          <w:szCs w:val="28"/>
        </w:rPr>
        <w:instrText xml:space="preserve"> </w:instrText>
      </w:r>
      <w:r>
        <w:rPr>
          <w:rFonts w:hint="eastAsia" w:ascii="宋体" w:hAnsi="宋体" w:eastAsia="宋体"/>
          <w:bCs/>
          <w:color w:val="auto"/>
          <w:sz w:val="28"/>
          <w:szCs w:val="28"/>
        </w:rPr>
        <w:instrText xml:space="preserve">= 5 \* GB3</w:instrText>
      </w:r>
      <w:r>
        <w:rPr>
          <w:rFonts w:ascii="宋体" w:hAnsi="宋体" w:eastAsia="宋体"/>
          <w:bCs/>
          <w:color w:val="auto"/>
          <w:sz w:val="28"/>
          <w:szCs w:val="28"/>
        </w:rPr>
        <w:instrText xml:space="preserve"> </w:instrText>
      </w:r>
      <w:r>
        <w:rPr>
          <w:rFonts w:ascii="宋体" w:hAnsi="宋体" w:eastAsia="宋体"/>
          <w:bCs/>
          <w:color w:val="auto"/>
          <w:sz w:val="28"/>
          <w:szCs w:val="28"/>
        </w:rPr>
        <w:fldChar w:fldCharType="separate"/>
      </w:r>
      <w:r>
        <w:rPr>
          <w:rFonts w:hint="eastAsia" w:ascii="宋体" w:hAnsi="宋体" w:eastAsia="宋体"/>
          <w:bCs/>
          <w:color w:val="auto"/>
          <w:sz w:val="28"/>
          <w:szCs w:val="28"/>
        </w:rPr>
        <w:t>⑤</w:t>
      </w:r>
      <w:r>
        <w:rPr>
          <w:rFonts w:ascii="宋体" w:hAnsi="宋体" w:eastAsia="宋体"/>
          <w:bCs/>
          <w:color w:val="auto"/>
          <w:sz w:val="28"/>
          <w:szCs w:val="28"/>
        </w:rPr>
        <w:fldChar w:fldCharType="end"/>
      </w:r>
      <w:r>
        <w:rPr>
          <w:rFonts w:hint="eastAsia" w:ascii="宋体" w:hAnsi="宋体" w:eastAsia="宋体"/>
          <w:bCs/>
          <w:color w:val="auto"/>
          <w:sz w:val="28"/>
          <w:szCs w:val="28"/>
          <w:lang w:val="zh-CN"/>
        </w:rPr>
        <w:t>“保交楼”风险楼盘化解有序推进，组建4个工作专班，分别包保负责6个风险楼盘，坚持“一项一策”“日督办、周调度”，抓风险楼盘化解，千方百计筹措资金，协调各方搁置争议复工建设，维护房地产秩序稳定。</w:t>
      </w:r>
    </w:p>
    <w:p>
      <w:pPr>
        <w:adjustRightInd w:val="0"/>
        <w:snapToGrid w:val="0"/>
        <w:spacing w:line="396" w:lineRule="auto"/>
        <w:ind w:firstLine="560" w:firstLineChars="200"/>
        <w:rPr>
          <w:rFonts w:hint="eastAsia" w:ascii="宋体" w:hAnsi="宋体" w:eastAsia="宋体" w:cs="宋体"/>
          <w:bCs/>
          <w:color w:val="auto"/>
          <w:sz w:val="28"/>
          <w:szCs w:val="28"/>
          <w:lang w:val="en-US" w:eastAsia="zh-CN"/>
        </w:rPr>
      </w:pPr>
      <w:r>
        <w:rPr>
          <w:rFonts w:hint="eastAsia" w:ascii="宋体" w:hAnsi="宋体" w:eastAsia="宋体" w:cs="宋体"/>
          <w:bCs/>
          <w:color w:val="auto"/>
          <w:sz w:val="28"/>
          <w:szCs w:val="28"/>
          <w:lang w:val="en-US" w:eastAsia="zh-CN"/>
        </w:rPr>
        <w:fldChar w:fldCharType="begin"/>
      </w:r>
      <w:r>
        <w:rPr>
          <w:rFonts w:hint="eastAsia" w:ascii="宋体" w:hAnsi="宋体" w:eastAsia="宋体" w:cs="宋体"/>
          <w:bCs/>
          <w:color w:val="auto"/>
          <w:sz w:val="28"/>
          <w:szCs w:val="28"/>
          <w:lang w:val="en-US" w:eastAsia="zh-CN"/>
        </w:rPr>
        <w:instrText xml:space="preserve"> = 6 \* GB3 \* MERGEFORMAT </w:instrText>
      </w:r>
      <w:r>
        <w:rPr>
          <w:rFonts w:hint="eastAsia" w:ascii="宋体" w:hAnsi="宋体" w:eastAsia="宋体" w:cs="宋体"/>
          <w:bCs/>
          <w:color w:val="auto"/>
          <w:sz w:val="28"/>
          <w:szCs w:val="28"/>
          <w:lang w:val="en-US" w:eastAsia="zh-CN"/>
        </w:rPr>
        <w:fldChar w:fldCharType="separate"/>
      </w:r>
      <w:r>
        <w:rPr>
          <w:color w:val="auto"/>
        </w:rPr>
        <w:t>⑥</w:t>
      </w:r>
      <w:r>
        <w:rPr>
          <w:rFonts w:hint="eastAsia" w:ascii="宋体" w:hAnsi="宋体" w:eastAsia="宋体" w:cs="宋体"/>
          <w:bCs/>
          <w:color w:val="auto"/>
          <w:sz w:val="28"/>
          <w:szCs w:val="28"/>
          <w:lang w:val="en-US" w:eastAsia="zh-CN"/>
        </w:rPr>
        <w:fldChar w:fldCharType="end"/>
      </w:r>
      <w:r>
        <w:rPr>
          <w:rFonts w:hint="eastAsia" w:ascii="宋体" w:hAnsi="宋体" w:eastAsia="宋体" w:cs="宋体"/>
          <w:bCs/>
          <w:color w:val="auto"/>
          <w:sz w:val="28"/>
          <w:szCs w:val="28"/>
          <w:lang w:val="en-US" w:eastAsia="zh-CN"/>
        </w:rPr>
        <w:t>通过示范区建设，推动乡镇投资及消费，拉动地方经济发展.指导各地编制新农房图集，培训农村工匠，成片打造“荆楚派”新农居，改变“脏乱差”，创造“绿静美”，促进和谐发展。污水管网延伸和扩容项目，进一步提高污水治理能力，改善乡镇群众生活环境，保护生态。</w:t>
      </w:r>
    </w:p>
    <w:p>
      <w:pPr>
        <w:adjustRightInd w:val="0"/>
        <w:snapToGrid w:val="0"/>
        <w:spacing w:line="396" w:lineRule="auto"/>
        <w:ind w:firstLine="560" w:firstLineChars="200"/>
        <w:rPr>
          <w:rFonts w:hint="eastAsia" w:ascii="宋体" w:hAnsi="宋体" w:eastAsia="宋体" w:cs="宋体"/>
          <w:bCs/>
          <w:color w:val="auto"/>
          <w:sz w:val="28"/>
          <w:szCs w:val="28"/>
          <w:lang w:val="en-US" w:eastAsia="zh-CN"/>
        </w:rPr>
      </w:pPr>
      <w:r>
        <w:rPr>
          <w:rFonts w:hint="eastAsia" w:ascii="宋体" w:hAnsi="宋体" w:eastAsia="宋体" w:cs="宋体"/>
          <w:bCs/>
          <w:color w:val="auto"/>
          <w:sz w:val="28"/>
          <w:szCs w:val="28"/>
          <w:lang w:val="en-US" w:eastAsia="zh-CN"/>
        </w:rPr>
        <w:fldChar w:fldCharType="begin"/>
      </w:r>
      <w:r>
        <w:rPr>
          <w:rFonts w:hint="eastAsia" w:ascii="宋体" w:hAnsi="宋体" w:eastAsia="宋体" w:cs="宋体"/>
          <w:bCs/>
          <w:color w:val="auto"/>
          <w:sz w:val="28"/>
          <w:szCs w:val="28"/>
          <w:lang w:val="en-US" w:eastAsia="zh-CN"/>
        </w:rPr>
        <w:instrText xml:space="preserve"> = 7 \* GB3 \* MERGEFORMAT </w:instrText>
      </w:r>
      <w:r>
        <w:rPr>
          <w:rFonts w:hint="eastAsia" w:ascii="宋体" w:hAnsi="宋体" w:eastAsia="宋体" w:cs="宋体"/>
          <w:bCs/>
          <w:color w:val="auto"/>
          <w:sz w:val="28"/>
          <w:szCs w:val="28"/>
          <w:lang w:val="en-US" w:eastAsia="zh-CN"/>
        </w:rPr>
        <w:fldChar w:fldCharType="separate"/>
      </w:r>
      <w:r>
        <w:t>⑦</w:t>
      </w:r>
      <w:r>
        <w:rPr>
          <w:rFonts w:hint="eastAsia" w:ascii="宋体" w:hAnsi="宋体" w:eastAsia="宋体" w:cs="宋体"/>
          <w:bCs/>
          <w:color w:val="auto"/>
          <w:sz w:val="28"/>
          <w:szCs w:val="28"/>
          <w:lang w:val="en-US" w:eastAsia="zh-CN"/>
        </w:rPr>
        <w:fldChar w:fldCharType="end"/>
      </w:r>
      <w:r>
        <w:rPr>
          <w:rFonts w:hint="eastAsia" w:ascii="宋体" w:hAnsi="宋体" w:eastAsia="宋体" w:cs="宋体"/>
          <w:bCs/>
          <w:color w:val="auto"/>
          <w:sz w:val="28"/>
          <w:szCs w:val="28"/>
          <w:lang w:val="en-US" w:eastAsia="zh-CN"/>
        </w:rPr>
        <w:t>以省委“三个环境”专项巡视反馈问题整改和安全生产“百日攻坚”行动为抓手，持续抓好住建行业行业监管，住建领域平安稳定，为经济发展提供保障.扎实开展燃气安全“百日攻坚”行动，排查整治各类安全隐患1080处，优化城市供水生产调度、加大管网巡检力度，确保了城区供水安全稳定；持之以恒抓好城市防洪排涝工作，实施城市防洪排涝系统化治理等项目，加强隐患排查整改、应急演练、值班值守，确保城区安全度汛，城市安全运行。</w:t>
      </w:r>
    </w:p>
    <w:p>
      <w:pPr>
        <w:adjustRightInd w:val="0"/>
        <w:snapToGrid w:val="0"/>
        <w:spacing w:line="396" w:lineRule="auto"/>
        <w:ind w:firstLine="560" w:firstLineChars="200"/>
        <w:rPr>
          <w:rFonts w:hint="default" w:ascii="宋体" w:hAnsi="宋体" w:eastAsia="宋体" w:cs="宋体"/>
          <w:bCs/>
          <w:color w:val="auto"/>
          <w:sz w:val="28"/>
          <w:szCs w:val="28"/>
          <w:lang w:val="en-US" w:eastAsia="zh-CN"/>
        </w:rPr>
      </w:pPr>
      <w:r>
        <w:rPr>
          <w:rFonts w:hint="eastAsia" w:ascii="宋体" w:hAnsi="宋体" w:eastAsia="宋体" w:cs="宋体"/>
          <w:bCs/>
          <w:color w:val="auto"/>
          <w:sz w:val="28"/>
          <w:szCs w:val="28"/>
          <w:lang w:val="en-US" w:eastAsia="zh-CN"/>
        </w:rPr>
        <w:fldChar w:fldCharType="begin"/>
      </w:r>
      <w:r>
        <w:rPr>
          <w:rFonts w:hint="eastAsia" w:ascii="宋体" w:hAnsi="宋体" w:eastAsia="宋体" w:cs="宋体"/>
          <w:bCs/>
          <w:color w:val="auto"/>
          <w:sz w:val="28"/>
          <w:szCs w:val="28"/>
          <w:lang w:val="en-US" w:eastAsia="zh-CN"/>
        </w:rPr>
        <w:instrText xml:space="preserve"> = 8 \* GB3 \* MERGEFORMAT </w:instrText>
      </w:r>
      <w:r>
        <w:rPr>
          <w:rFonts w:hint="eastAsia" w:ascii="宋体" w:hAnsi="宋体" w:eastAsia="宋体" w:cs="宋体"/>
          <w:bCs/>
          <w:color w:val="auto"/>
          <w:sz w:val="28"/>
          <w:szCs w:val="28"/>
          <w:lang w:val="en-US" w:eastAsia="zh-CN"/>
        </w:rPr>
        <w:fldChar w:fldCharType="separate"/>
      </w:r>
      <w:r>
        <w:t>⑧</w:t>
      </w:r>
      <w:r>
        <w:rPr>
          <w:rFonts w:hint="eastAsia" w:ascii="宋体" w:hAnsi="宋体" w:eastAsia="宋体" w:cs="宋体"/>
          <w:bCs/>
          <w:color w:val="auto"/>
          <w:sz w:val="28"/>
          <w:szCs w:val="28"/>
          <w:lang w:val="en-US" w:eastAsia="zh-CN"/>
        </w:rPr>
        <w:fldChar w:fldCharType="end"/>
      </w:r>
      <w:r>
        <w:rPr>
          <w:rFonts w:hint="eastAsia" w:ascii="宋体" w:hAnsi="宋体" w:eastAsia="宋体" w:cs="宋体"/>
          <w:bCs/>
          <w:color w:val="auto"/>
          <w:sz w:val="28"/>
          <w:szCs w:val="28"/>
          <w:lang w:val="en-US" w:eastAsia="zh-CN"/>
        </w:rPr>
        <w:t>通过各项流程优化审批，提高效率，降低经济发展运营成本。坚持公平公正执法，以“三包一挂”专项整治为重点，立案查处违法项目11起，处罚企业11家、项目经理10人。</w:t>
      </w:r>
    </w:p>
    <w:p>
      <w:pPr>
        <w:adjustRightInd w:val="0"/>
        <w:snapToGrid w:val="0"/>
        <w:spacing w:line="396" w:lineRule="auto"/>
        <w:ind w:firstLine="560" w:firstLineChars="200"/>
        <w:rPr>
          <w:rFonts w:ascii="宋体" w:hAnsi="宋体" w:eastAsia="宋体"/>
          <w:bCs/>
          <w:sz w:val="28"/>
          <w:szCs w:val="28"/>
        </w:rPr>
      </w:pPr>
      <w:r>
        <w:rPr>
          <w:rFonts w:hint="eastAsia" w:ascii="宋体" w:hAnsi="宋体" w:eastAsia="宋体"/>
          <w:bCs/>
          <w:sz w:val="28"/>
          <w:szCs w:val="28"/>
        </w:rPr>
        <w:t>（4）产生偏差的原因</w:t>
      </w:r>
    </w:p>
    <w:p>
      <w:pPr>
        <w:adjustRightInd w:val="0"/>
        <w:snapToGrid w:val="0"/>
        <w:spacing w:line="396" w:lineRule="auto"/>
        <w:ind w:firstLine="560" w:firstLineChars="200"/>
        <w:rPr>
          <w:rFonts w:ascii="宋体" w:hAnsi="宋体" w:eastAsia="宋体"/>
          <w:sz w:val="28"/>
          <w:szCs w:val="28"/>
        </w:rPr>
      </w:pPr>
      <w:r>
        <w:rPr>
          <w:rFonts w:ascii="宋体" w:hAnsi="宋体" w:eastAsia="宋体"/>
          <w:bCs/>
          <w:sz w:val="28"/>
          <w:szCs w:val="28"/>
        </w:rPr>
        <w:fldChar w:fldCharType="begin"/>
      </w:r>
      <w:r>
        <w:rPr>
          <w:rFonts w:ascii="宋体" w:hAnsi="宋体" w:eastAsia="宋体"/>
          <w:bCs/>
          <w:sz w:val="28"/>
          <w:szCs w:val="28"/>
        </w:rPr>
        <w:instrText xml:space="preserve"> </w:instrText>
      </w:r>
      <w:r>
        <w:rPr>
          <w:rFonts w:hint="eastAsia" w:ascii="宋体" w:hAnsi="宋体" w:eastAsia="宋体"/>
          <w:bCs/>
          <w:sz w:val="28"/>
          <w:szCs w:val="28"/>
        </w:rPr>
        <w:instrText xml:space="preserve">= 1 \* GB3</w:instrText>
      </w:r>
      <w:r>
        <w:rPr>
          <w:rFonts w:ascii="宋体" w:hAnsi="宋体" w:eastAsia="宋体"/>
          <w:bCs/>
          <w:sz w:val="28"/>
          <w:szCs w:val="28"/>
        </w:rPr>
        <w:instrText xml:space="preserve"> </w:instrText>
      </w:r>
      <w:r>
        <w:rPr>
          <w:rFonts w:ascii="宋体" w:hAnsi="宋体" w:eastAsia="宋体"/>
          <w:bCs/>
          <w:sz w:val="28"/>
          <w:szCs w:val="28"/>
        </w:rPr>
        <w:fldChar w:fldCharType="separate"/>
      </w:r>
      <w:r>
        <w:rPr>
          <w:rFonts w:hint="eastAsia" w:ascii="宋体" w:hAnsi="宋体" w:eastAsia="宋体"/>
          <w:bCs/>
          <w:sz w:val="28"/>
          <w:szCs w:val="28"/>
        </w:rPr>
        <w:t>①</w:t>
      </w:r>
      <w:r>
        <w:rPr>
          <w:rFonts w:ascii="宋体" w:hAnsi="宋体" w:eastAsia="宋体"/>
          <w:bCs/>
          <w:sz w:val="28"/>
          <w:szCs w:val="28"/>
        </w:rPr>
        <w:fldChar w:fldCharType="end"/>
      </w:r>
      <w:r>
        <w:rPr>
          <w:rFonts w:hint="eastAsia" w:ascii="宋体" w:hAnsi="宋体" w:eastAsia="宋体"/>
          <w:bCs/>
          <w:sz w:val="28"/>
          <w:szCs w:val="28"/>
        </w:rPr>
        <w:t>城市重点项目建设资金筹措难度大。受经济运行大环境和政府隐形债严格控制影响，城市重点工程项目特别是政府公益性项目资金筹措困难，项目推进缓慢。</w:t>
      </w:r>
    </w:p>
    <w:p>
      <w:pPr>
        <w:adjustRightInd w:val="0"/>
        <w:snapToGrid w:val="0"/>
        <w:spacing w:line="396" w:lineRule="auto"/>
        <w:ind w:firstLine="560" w:firstLineChars="200"/>
        <w:rPr>
          <w:rFonts w:hint="eastAsia" w:ascii="宋体" w:hAnsi="宋体" w:eastAsia="宋体"/>
          <w:bCs/>
          <w:sz w:val="28"/>
          <w:szCs w:val="28"/>
        </w:rPr>
      </w:pPr>
      <w:r>
        <w:rPr>
          <w:rFonts w:ascii="宋体" w:hAnsi="宋体" w:eastAsia="宋体"/>
          <w:bCs/>
          <w:sz w:val="28"/>
          <w:szCs w:val="28"/>
        </w:rPr>
        <w:fldChar w:fldCharType="begin"/>
      </w:r>
      <w:r>
        <w:rPr>
          <w:rFonts w:ascii="宋体" w:hAnsi="宋体" w:eastAsia="宋体"/>
          <w:bCs/>
          <w:sz w:val="28"/>
          <w:szCs w:val="28"/>
        </w:rPr>
        <w:instrText xml:space="preserve"> </w:instrText>
      </w:r>
      <w:r>
        <w:rPr>
          <w:rFonts w:hint="eastAsia" w:ascii="宋体" w:hAnsi="宋体" w:eastAsia="宋体"/>
          <w:bCs/>
          <w:sz w:val="28"/>
          <w:szCs w:val="28"/>
        </w:rPr>
        <w:instrText xml:space="preserve">= 2 \* GB3</w:instrText>
      </w:r>
      <w:r>
        <w:rPr>
          <w:rFonts w:ascii="宋体" w:hAnsi="宋体" w:eastAsia="宋体"/>
          <w:bCs/>
          <w:sz w:val="28"/>
          <w:szCs w:val="28"/>
        </w:rPr>
        <w:instrText xml:space="preserve"> </w:instrText>
      </w:r>
      <w:r>
        <w:rPr>
          <w:rFonts w:ascii="宋体" w:hAnsi="宋体" w:eastAsia="宋体"/>
          <w:bCs/>
          <w:sz w:val="28"/>
          <w:szCs w:val="28"/>
        </w:rPr>
        <w:fldChar w:fldCharType="separate"/>
      </w:r>
      <w:r>
        <w:rPr>
          <w:rFonts w:hint="eastAsia" w:ascii="宋体" w:hAnsi="宋体" w:eastAsia="宋体"/>
          <w:bCs/>
          <w:sz w:val="28"/>
          <w:szCs w:val="28"/>
        </w:rPr>
        <w:t>②</w:t>
      </w:r>
      <w:r>
        <w:rPr>
          <w:rFonts w:ascii="宋体" w:hAnsi="宋体" w:eastAsia="宋体"/>
          <w:bCs/>
          <w:sz w:val="28"/>
          <w:szCs w:val="28"/>
        </w:rPr>
        <w:fldChar w:fldCharType="end"/>
      </w:r>
      <w:r>
        <w:rPr>
          <w:rFonts w:hint="eastAsia" w:ascii="宋体" w:hAnsi="宋体" w:eastAsia="宋体"/>
          <w:bCs/>
          <w:sz w:val="28"/>
          <w:szCs w:val="28"/>
        </w:rPr>
        <w:t>防风险保安全压力依然较大。恒大等6个风险楼盘处置难度大、化解时间长，还有大量工作要做；住建领域房屋市政工程、城镇燃气、城市运行、自建房等安全牵涉面广，安全监管压力大、任务艰巨，一刻松懈不得。</w:t>
      </w:r>
    </w:p>
    <w:p>
      <w:pPr>
        <w:adjustRightInd w:val="0"/>
        <w:snapToGrid w:val="0"/>
        <w:spacing w:line="396" w:lineRule="auto"/>
        <w:ind w:firstLine="560" w:firstLineChars="200"/>
        <w:rPr>
          <w:rFonts w:hint="eastAsia" w:ascii="宋体" w:hAnsi="宋体" w:eastAsia="宋体"/>
          <w:sz w:val="28"/>
          <w:szCs w:val="28"/>
        </w:rPr>
      </w:pPr>
      <w:r>
        <w:rPr>
          <w:rFonts w:ascii="宋体" w:hAnsi="宋体" w:eastAsia="宋体"/>
          <w:bCs/>
          <w:sz w:val="28"/>
          <w:szCs w:val="28"/>
        </w:rPr>
        <w:fldChar w:fldCharType="begin"/>
      </w:r>
      <w:r>
        <w:rPr>
          <w:rFonts w:ascii="宋体" w:hAnsi="宋体" w:eastAsia="宋体"/>
          <w:bCs/>
          <w:sz w:val="28"/>
          <w:szCs w:val="28"/>
        </w:rPr>
        <w:instrText xml:space="preserve"> </w:instrText>
      </w:r>
      <w:r>
        <w:rPr>
          <w:rFonts w:hint="eastAsia" w:ascii="宋体" w:hAnsi="宋体" w:eastAsia="宋体"/>
          <w:bCs/>
          <w:sz w:val="28"/>
          <w:szCs w:val="28"/>
        </w:rPr>
        <w:instrText xml:space="preserve">= 3 \* GB3</w:instrText>
      </w:r>
      <w:r>
        <w:rPr>
          <w:rFonts w:ascii="宋体" w:hAnsi="宋体" w:eastAsia="宋体"/>
          <w:bCs/>
          <w:sz w:val="28"/>
          <w:szCs w:val="28"/>
        </w:rPr>
        <w:instrText xml:space="preserve"> </w:instrText>
      </w:r>
      <w:r>
        <w:rPr>
          <w:rFonts w:ascii="宋体" w:hAnsi="宋体" w:eastAsia="宋体"/>
          <w:bCs/>
          <w:sz w:val="28"/>
          <w:szCs w:val="28"/>
        </w:rPr>
        <w:fldChar w:fldCharType="separate"/>
      </w:r>
      <w:r>
        <w:rPr>
          <w:rFonts w:hint="eastAsia" w:ascii="宋体" w:hAnsi="宋体" w:eastAsia="宋体"/>
          <w:bCs/>
          <w:sz w:val="28"/>
          <w:szCs w:val="28"/>
        </w:rPr>
        <w:t>③</w:t>
      </w:r>
      <w:r>
        <w:rPr>
          <w:rFonts w:ascii="宋体" w:hAnsi="宋体" w:eastAsia="宋体"/>
          <w:bCs/>
          <w:sz w:val="28"/>
          <w:szCs w:val="28"/>
        </w:rPr>
        <w:fldChar w:fldCharType="end"/>
      </w:r>
      <w:r>
        <w:rPr>
          <w:rFonts w:hint="eastAsia" w:ascii="宋体" w:hAnsi="宋体" w:eastAsia="宋体"/>
          <w:sz w:val="28"/>
          <w:szCs w:val="28"/>
        </w:rPr>
        <w:t>产业发展困难重重。受当前需求收缩、供给冲击、预期转弱三重压力影响，房企仍面临资金和销售压力，有效恢复不够；当前，因房地产开发项目减少、本地建筑企业参与公共项目中标率低等不利因素，建筑业恢复发展不足。</w:t>
      </w:r>
    </w:p>
    <w:p>
      <w:pPr>
        <w:adjustRightInd w:val="0"/>
        <w:snapToGrid w:val="0"/>
        <w:spacing w:line="396" w:lineRule="auto"/>
        <w:ind w:firstLine="562" w:firstLineChars="200"/>
        <w:rPr>
          <w:rFonts w:ascii="宋体" w:hAnsi="宋体" w:eastAsia="宋体"/>
          <w:b/>
          <w:sz w:val="28"/>
          <w:szCs w:val="28"/>
        </w:rPr>
      </w:pPr>
      <w:r>
        <w:rPr>
          <w:rFonts w:ascii="宋体" w:hAnsi="宋体" w:eastAsia="宋体"/>
          <w:b/>
          <w:sz w:val="28"/>
          <w:szCs w:val="28"/>
        </w:rPr>
        <w:t>（四）上年度部门整体</w:t>
      </w:r>
      <w:r>
        <w:rPr>
          <w:rFonts w:hint="eastAsia" w:ascii="宋体" w:hAnsi="宋体" w:eastAsia="宋体"/>
          <w:b/>
          <w:sz w:val="28"/>
          <w:szCs w:val="28"/>
        </w:rPr>
        <w:t>绩效</w:t>
      </w:r>
      <w:r>
        <w:rPr>
          <w:rFonts w:ascii="宋体" w:hAnsi="宋体" w:eastAsia="宋体"/>
          <w:b/>
          <w:sz w:val="28"/>
          <w:szCs w:val="28"/>
        </w:rPr>
        <w:t>自评结果应用情况</w:t>
      </w:r>
    </w:p>
    <w:p>
      <w:pPr>
        <w:tabs>
          <w:tab w:val="center" w:pos="4153"/>
        </w:tabs>
        <w:adjustRightInd w:val="0"/>
        <w:snapToGrid w:val="0"/>
        <w:spacing w:line="396" w:lineRule="auto"/>
        <w:ind w:firstLine="560" w:firstLineChars="200"/>
        <w:rPr>
          <w:rFonts w:ascii="宋体" w:hAnsi="宋体" w:eastAsia="宋体"/>
          <w:sz w:val="28"/>
          <w:szCs w:val="28"/>
        </w:rPr>
      </w:pPr>
      <w:r>
        <w:rPr>
          <w:rFonts w:hint="eastAsia" w:ascii="宋体" w:hAnsi="宋体" w:eastAsia="宋体"/>
          <w:sz w:val="28"/>
          <w:szCs w:val="28"/>
        </w:rPr>
        <w:t>随州市住房和城乡建设局202</w:t>
      </w:r>
      <w:r>
        <w:rPr>
          <w:rFonts w:hint="eastAsia" w:ascii="宋体" w:hAnsi="宋体" w:eastAsia="宋体"/>
          <w:sz w:val="28"/>
          <w:szCs w:val="28"/>
          <w:lang w:val="en-US" w:eastAsia="zh-CN"/>
        </w:rPr>
        <w:t>1</w:t>
      </w:r>
      <w:r>
        <w:rPr>
          <w:rFonts w:hint="eastAsia" w:ascii="宋体" w:hAnsi="宋体" w:eastAsia="宋体"/>
          <w:sz w:val="28"/>
          <w:szCs w:val="28"/>
        </w:rPr>
        <w:t>年度终结后及时予以分析总结，但填报部门整体绩效目标申报表的内容不够具体完善，今后按要求予以完善，根据工作实际需要，设计建立适用的、合理的绩效指标和绩效评价指标体系，实现绩效管理的规范化、常态化。</w:t>
      </w:r>
    </w:p>
    <w:p>
      <w:pPr>
        <w:adjustRightInd w:val="0"/>
        <w:snapToGrid w:val="0"/>
        <w:spacing w:line="396" w:lineRule="auto"/>
        <w:ind w:firstLine="560" w:firstLineChars="200"/>
        <w:rPr>
          <w:rFonts w:ascii="宋体" w:hAnsi="宋体" w:eastAsia="宋体"/>
          <w:sz w:val="28"/>
          <w:szCs w:val="28"/>
        </w:rPr>
      </w:pPr>
      <w:r>
        <w:rPr>
          <w:rFonts w:hint="eastAsia" w:ascii="宋体" w:hAnsi="宋体" w:eastAsia="宋体"/>
          <w:sz w:val="28"/>
          <w:szCs w:val="28"/>
          <w:lang w:eastAsia="zh-CN"/>
        </w:rPr>
        <w:t>2022年</w:t>
      </w:r>
      <w:r>
        <w:rPr>
          <w:rFonts w:hint="eastAsia" w:ascii="宋体" w:hAnsi="宋体" w:eastAsia="宋体"/>
          <w:sz w:val="28"/>
          <w:szCs w:val="28"/>
        </w:rPr>
        <w:t>我单位及时完成了绩效结果报告。</w:t>
      </w:r>
    </w:p>
    <w:p>
      <w:pPr>
        <w:tabs>
          <w:tab w:val="center" w:pos="4153"/>
        </w:tabs>
        <w:adjustRightInd w:val="0"/>
        <w:snapToGrid w:val="0"/>
        <w:spacing w:line="396" w:lineRule="auto"/>
        <w:ind w:firstLine="562" w:firstLineChars="200"/>
        <w:rPr>
          <w:rFonts w:ascii="宋体" w:hAnsi="宋体" w:eastAsia="宋体" w:cs="楷体"/>
          <w:b/>
          <w:sz w:val="28"/>
          <w:szCs w:val="28"/>
        </w:rPr>
      </w:pPr>
      <w:r>
        <w:rPr>
          <w:rFonts w:hint="eastAsia" w:ascii="宋体" w:hAnsi="宋体" w:eastAsia="宋体" w:cs="楷体"/>
          <w:b/>
          <w:sz w:val="28"/>
          <w:szCs w:val="28"/>
        </w:rPr>
        <w:t>（五）下一步改进措施</w:t>
      </w:r>
    </w:p>
    <w:p>
      <w:pPr>
        <w:tabs>
          <w:tab w:val="center" w:pos="4153"/>
        </w:tabs>
        <w:adjustRightInd w:val="0"/>
        <w:snapToGrid w:val="0"/>
        <w:spacing w:line="396" w:lineRule="auto"/>
        <w:ind w:firstLine="560" w:firstLineChars="200"/>
        <w:rPr>
          <w:rFonts w:ascii="宋体" w:hAnsi="宋体" w:eastAsia="宋体" w:cs="仿宋"/>
          <w:sz w:val="28"/>
          <w:szCs w:val="28"/>
        </w:rPr>
      </w:pPr>
      <w:r>
        <w:rPr>
          <w:rFonts w:hint="eastAsia" w:ascii="宋体" w:hAnsi="宋体" w:eastAsia="宋体" w:cs="仿宋"/>
          <w:sz w:val="28"/>
          <w:szCs w:val="28"/>
        </w:rPr>
        <w:t>1、细化预算编制工作。认真做好预算的编制，严格按照预算编制的相关制度和要求进行预算编制，进一步提高预算编制的科学性、严谨性和可控性。加强预算编制的前瞻性，建议按照新《预算法》及其实施条例的相关规定，按政策规定及本部门的发展规划，结合上一年度预算执行情况和本年度预算收支变化因素，科学、合理地编制本年预算草案，避免项目支出与基本支出划分不准或预算支出与实际执行出现较大偏差的情况，执行中确需调剂预算的，按规定程序报经批准，避免因预算经费不足导致超预算支出。</w:t>
      </w:r>
    </w:p>
    <w:p>
      <w:pPr>
        <w:tabs>
          <w:tab w:val="center" w:pos="4153"/>
        </w:tabs>
        <w:adjustRightInd w:val="0"/>
        <w:snapToGrid w:val="0"/>
        <w:spacing w:line="396" w:lineRule="auto"/>
        <w:ind w:firstLine="560" w:firstLineChars="200"/>
        <w:rPr>
          <w:rFonts w:ascii="宋体" w:hAnsi="宋体" w:eastAsia="宋体" w:cs="仿宋"/>
          <w:sz w:val="28"/>
          <w:szCs w:val="28"/>
        </w:rPr>
      </w:pPr>
      <w:r>
        <w:rPr>
          <w:rFonts w:hint="eastAsia" w:ascii="宋体" w:hAnsi="宋体" w:eastAsia="宋体" w:cs="楷体"/>
          <w:sz w:val="28"/>
          <w:szCs w:val="28"/>
        </w:rPr>
        <w:t>2、拟与预算安排相结合情况。</w:t>
      </w:r>
      <w:r>
        <w:rPr>
          <w:rFonts w:hint="eastAsia" w:ascii="宋体" w:hAnsi="宋体" w:eastAsia="宋体" w:cs="仿宋"/>
          <w:sz w:val="28"/>
          <w:szCs w:val="28"/>
        </w:rPr>
        <w:t>绩效评价结果与预算安排有机结合，将评价结果作为安排下年度预算的重要依据，根据当年预算执行情况和支出的差异，合理、精准地编制下年度预算。</w:t>
      </w:r>
    </w:p>
    <w:sectPr>
      <w:headerReference r:id="rId3" w:type="default"/>
      <w:footerReference r:id="rId4"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w:r>
    <w:sdt>
      <w:sdtPr>
        <w:id w:val="1588494642"/>
      </w:sdtPr>
      <w:sdtContent/>
    </w:sdt>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p>
    <w:pPr>
      <w:pStyle w:val="6"/>
      <w:jc w:val="both"/>
    </w:pPr>
    <w:r>
      <w:rPr>
        <w:rFonts w:hint="eastAsia"/>
      </w:rPr>
      <w:t>随州市住房和城乡建设局</w:t>
    </w:r>
    <w:r>
      <w:rPr>
        <w:rFonts w:hint="eastAsia"/>
        <w:lang w:eastAsia="zh-CN"/>
      </w:rPr>
      <w:t>2022年</w:t>
    </w:r>
    <w:r>
      <w:rPr>
        <w:rFonts w:hint="eastAsia"/>
      </w:rPr>
      <w:t>部门整体支出绩效自评报告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DD8530"/>
    <w:multiLevelType w:val="singleLevel"/>
    <w:tmpl w:val="DFDD8530"/>
    <w:lvl w:ilvl="0" w:tentative="0">
      <w:start w:val="1"/>
      <w:numFmt w:val="decimal"/>
      <w:suff w:val="nothing"/>
      <w:lvlText w:val="%1、"/>
      <w:lvlJc w:val="left"/>
    </w:lvl>
  </w:abstractNum>
  <w:abstractNum w:abstractNumId="1">
    <w:nsid w:val="E41EC51F"/>
    <w:multiLevelType w:val="singleLevel"/>
    <w:tmpl w:val="E41EC51F"/>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M3MDc3Mjg1NmI0M2I5ODdkOGJlZjliMDcwODIyYTMifQ=="/>
  </w:docVars>
  <w:rsids>
    <w:rsidRoot w:val="0008629E"/>
    <w:rsid w:val="00020914"/>
    <w:rsid w:val="000320FB"/>
    <w:rsid w:val="000321CF"/>
    <w:rsid w:val="00070536"/>
    <w:rsid w:val="0008629E"/>
    <w:rsid w:val="000A191C"/>
    <w:rsid w:val="000F747C"/>
    <w:rsid w:val="00100E01"/>
    <w:rsid w:val="00101D34"/>
    <w:rsid w:val="001153CD"/>
    <w:rsid w:val="001311DF"/>
    <w:rsid w:val="001820F1"/>
    <w:rsid w:val="00184926"/>
    <w:rsid w:val="0023305A"/>
    <w:rsid w:val="00235328"/>
    <w:rsid w:val="00250E08"/>
    <w:rsid w:val="00253CB6"/>
    <w:rsid w:val="002552A5"/>
    <w:rsid w:val="0026081A"/>
    <w:rsid w:val="00264C26"/>
    <w:rsid w:val="00265933"/>
    <w:rsid w:val="00266793"/>
    <w:rsid w:val="00280FBF"/>
    <w:rsid w:val="002939C8"/>
    <w:rsid w:val="002F4394"/>
    <w:rsid w:val="00303DF1"/>
    <w:rsid w:val="00326626"/>
    <w:rsid w:val="00376777"/>
    <w:rsid w:val="00385443"/>
    <w:rsid w:val="003869BB"/>
    <w:rsid w:val="00392228"/>
    <w:rsid w:val="003A4C19"/>
    <w:rsid w:val="003A7F2A"/>
    <w:rsid w:val="003B632D"/>
    <w:rsid w:val="003D6037"/>
    <w:rsid w:val="004065B3"/>
    <w:rsid w:val="00415054"/>
    <w:rsid w:val="004313CF"/>
    <w:rsid w:val="00461A45"/>
    <w:rsid w:val="004A3A86"/>
    <w:rsid w:val="004B580C"/>
    <w:rsid w:val="004B6140"/>
    <w:rsid w:val="004B65F6"/>
    <w:rsid w:val="004C6314"/>
    <w:rsid w:val="004D5260"/>
    <w:rsid w:val="00501716"/>
    <w:rsid w:val="0050269C"/>
    <w:rsid w:val="005468E8"/>
    <w:rsid w:val="00574690"/>
    <w:rsid w:val="00577219"/>
    <w:rsid w:val="005A617D"/>
    <w:rsid w:val="005E0CAD"/>
    <w:rsid w:val="005E6F36"/>
    <w:rsid w:val="006176DB"/>
    <w:rsid w:val="00650088"/>
    <w:rsid w:val="00652129"/>
    <w:rsid w:val="00660D75"/>
    <w:rsid w:val="006A7AC9"/>
    <w:rsid w:val="006B3ED3"/>
    <w:rsid w:val="006B6026"/>
    <w:rsid w:val="006C53C9"/>
    <w:rsid w:val="006E06A7"/>
    <w:rsid w:val="006E2A1A"/>
    <w:rsid w:val="006F4EC8"/>
    <w:rsid w:val="00705E74"/>
    <w:rsid w:val="007158C8"/>
    <w:rsid w:val="00731302"/>
    <w:rsid w:val="00741EBD"/>
    <w:rsid w:val="00743C54"/>
    <w:rsid w:val="0076000F"/>
    <w:rsid w:val="00784472"/>
    <w:rsid w:val="007A5AE9"/>
    <w:rsid w:val="007B5C6A"/>
    <w:rsid w:val="007B5ED2"/>
    <w:rsid w:val="007F1753"/>
    <w:rsid w:val="00802E6D"/>
    <w:rsid w:val="00810A09"/>
    <w:rsid w:val="0084152F"/>
    <w:rsid w:val="0085419D"/>
    <w:rsid w:val="008571D6"/>
    <w:rsid w:val="00860A38"/>
    <w:rsid w:val="00866F42"/>
    <w:rsid w:val="0087523F"/>
    <w:rsid w:val="00894C85"/>
    <w:rsid w:val="008B767A"/>
    <w:rsid w:val="008C14E1"/>
    <w:rsid w:val="008F191A"/>
    <w:rsid w:val="0090506D"/>
    <w:rsid w:val="009374F3"/>
    <w:rsid w:val="009622A2"/>
    <w:rsid w:val="00966C85"/>
    <w:rsid w:val="00980E2D"/>
    <w:rsid w:val="009B0262"/>
    <w:rsid w:val="009C719E"/>
    <w:rsid w:val="009D3A59"/>
    <w:rsid w:val="009E5E39"/>
    <w:rsid w:val="00A03FFD"/>
    <w:rsid w:val="00A121FE"/>
    <w:rsid w:val="00A24588"/>
    <w:rsid w:val="00A43A13"/>
    <w:rsid w:val="00A56EFA"/>
    <w:rsid w:val="00A949A6"/>
    <w:rsid w:val="00A963CA"/>
    <w:rsid w:val="00AA1EF1"/>
    <w:rsid w:val="00AA504B"/>
    <w:rsid w:val="00AB2431"/>
    <w:rsid w:val="00AB29AA"/>
    <w:rsid w:val="00AB2CE3"/>
    <w:rsid w:val="00AC240D"/>
    <w:rsid w:val="00AC352C"/>
    <w:rsid w:val="00AC510C"/>
    <w:rsid w:val="00AD5CE1"/>
    <w:rsid w:val="00AE1573"/>
    <w:rsid w:val="00B33573"/>
    <w:rsid w:val="00BC1E76"/>
    <w:rsid w:val="00BD13EE"/>
    <w:rsid w:val="00BE752B"/>
    <w:rsid w:val="00C01F1F"/>
    <w:rsid w:val="00C14734"/>
    <w:rsid w:val="00C228B6"/>
    <w:rsid w:val="00C30A1F"/>
    <w:rsid w:val="00C30C01"/>
    <w:rsid w:val="00C37B88"/>
    <w:rsid w:val="00C545D9"/>
    <w:rsid w:val="00C561CC"/>
    <w:rsid w:val="00C56D39"/>
    <w:rsid w:val="00C80B5A"/>
    <w:rsid w:val="00C924BD"/>
    <w:rsid w:val="00CA1E00"/>
    <w:rsid w:val="00CE776A"/>
    <w:rsid w:val="00CF3C46"/>
    <w:rsid w:val="00D04F45"/>
    <w:rsid w:val="00D23706"/>
    <w:rsid w:val="00D35036"/>
    <w:rsid w:val="00D36D23"/>
    <w:rsid w:val="00D512D9"/>
    <w:rsid w:val="00D86DD1"/>
    <w:rsid w:val="00D907AB"/>
    <w:rsid w:val="00DA5752"/>
    <w:rsid w:val="00DC1C95"/>
    <w:rsid w:val="00DC63D3"/>
    <w:rsid w:val="00DF0B18"/>
    <w:rsid w:val="00E20EE2"/>
    <w:rsid w:val="00E43B62"/>
    <w:rsid w:val="00E63DB2"/>
    <w:rsid w:val="00E66588"/>
    <w:rsid w:val="00E74950"/>
    <w:rsid w:val="00E7702F"/>
    <w:rsid w:val="00E80ECE"/>
    <w:rsid w:val="00E9746C"/>
    <w:rsid w:val="00EC599F"/>
    <w:rsid w:val="00EF61C5"/>
    <w:rsid w:val="00F167A0"/>
    <w:rsid w:val="00F17476"/>
    <w:rsid w:val="00F212B9"/>
    <w:rsid w:val="00F51C5B"/>
    <w:rsid w:val="00FB3CFC"/>
    <w:rsid w:val="00FB779A"/>
    <w:rsid w:val="00FF681B"/>
    <w:rsid w:val="05051311"/>
    <w:rsid w:val="05F01B76"/>
    <w:rsid w:val="0671705A"/>
    <w:rsid w:val="0741722A"/>
    <w:rsid w:val="08753278"/>
    <w:rsid w:val="09A050D2"/>
    <w:rsid w:val="0AAF7416"/>
    <w:rsid w:val="0AF52007"/>
    <w:rsid w:val="0D52709E"/>
    <w:rsid w:val="0D786F20"/>
    <w:rsid w:val="0EB374E5"/>
    <w:rsid w:val="118E11F5"/>
    <w:rsid w:val="13C503B1"/>
    <w:rsid w:val="163D74CA"/>
    <w:rsid w:val="167E1DE0"/>
    <w:rsid w:val="17395ADC"/>
    <w:rsid w:val="175D4C5F"/>
    <w:rsid w:val="18440F36"/>
    <w:rsid w:val="19346400"/>
    <w:rsid w:val="1DAA7189"/>
    <w:rsid w:val="1EC15859"/>
    <w:rsid w:val="219E3D52"/>
    <w:rsid w:val="23FD79EE"/>
    <w:rsid w:val="26F45C50"/>
    <w:rsid w:val="27BB52AA"/>
    <w:rsid w:val="295B4F02"/>
    <w:rsid w:val="2A497822"/>
    <w:rsid w:val="2C5B06AA"/>
    <w:rsid w:val="2C866B0B"/>
    <w:rsid w:val="2CD07BD4"/>
    <w:rsid w:val="2DF50174"/>
    <w:rsid w:val="2E0028ED"/>
    <w:rsid w:val="2F976F1A"/>
    <w:rsid w:val="30004E27"/>
    <w:rsid w:val="308B46F0"/>
    <w:rsid w:val="31A55FE0"/>
    <w:rsid w:val="343332AB"/>
    <w:rsid w:val="35D560CE"/>
    <w:rsid w:val="36C3479E"/>
    <w:rsid w:val="3B6A73AF"/>
    <w:rsid w:val="3D2D2787"/>
    <w:rsid w:val="3ED43706"/>
    <w:rsid w:val="407F3B46"/>
    <w:rsid w:val="47842B1D"/>
    <w:rsid w:val="488C32A4"/>
    <w:rsid w:val="4A2D63C1"/>
    <w:rsid w:val="4C940979"/>
    <w:rsid w:val="50904F49"/>
    <w:rsid w:val="50E103F7"/>
    <w:rsid w:val="51EA4186"/>
    <w:rsid w:val="52B14033"/>
    <w:rsid w:val="52E954A2"/>
    <w:rsid w:val="54FE4767"/>
    <w:rsid w:val="55410F72"/>
    <w:rsid w:val="59723DF0"/>
    <w:rsid w:val="5996188C"/>
    <w:rsid w:val="5A347F23"/>
    <w:rsid w:val="5BC55F66"/>
    <w:rsid w:val="5D7B2FE1"/>
    <w:rsid w:val="5E0771FD"/>
    <w:rsid w:val="5E2055AA"/>
    <w:rsid w:val="5E6C3504"/>
    <w:rsid w:val="5E6D3CFE"/>
    <w:rsid w:val="5F0E0117"/>
    <w:rsid w:val="5F223695"/>
    <w:rsid w:val="65542F52"/>
    <w:rsid w:val="684E3390"/>
    <w:rsid w:val="6853303E"/>
    <w:rsid w:val="6A7B6AB1"/>
    <w:rsid w:val="6B272C8C"/>
    <w:rsid w:val="6D2978E2"/>
    <w:rsid w:val="6F8B7F86"/>
    <w:rsid w:val="6F9E54E7"/>
    <w:rsid w:val="70AF4389"/>
    <w:rsid w:val="70C15B67"/>
    <w:rsid w:val="714550AA"/>
    <w:rsid w:val="71A60683"/>
    <w:rsid w:val="72EC70D5"/>
    <w:rsid w:val="748922C2"/>
    <w:rsid w:val="74F27DC8"/>
    <w:rsid w:val="75E8779D"/>
    <w:rsid w:val="76907A92"/>
    <w:rsid w:val="7D6B2F00"/>
    <w:rsid w:val="7E871972"/>
    <w:rsid w:val="7FD84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5"/>
    <w:semiHidden/>
    <w:unhideWhenUsed/>
    <w:qFormat/>
    <w:uiPriority w:val="99"/>
    <w:pPr>
      <w:spacing w:after="120"/>
      <w:ind w:left="420" w:leftChars="200"/>
    </w:pPr>
  </w:style>
  <w:style w:type="paragraph" w:styleId="3">
    <w:name w:val="Date"/>
    <w:basedOn w:val="1"/>
    <w:next w:val="1"/>
    <w:link w:val="12"/>
    <w:semiHidden/>
    <w:unhideWhenUsed/>
    <w:qFormat/>
    <w:uiPriority w:val="99"/>
    <w:pPr>
      <w:ind w:left="100" w:leftChars="2500"/>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Body Text First Indent 2"/>
    <w:basedOn w:val="2"/>
    <w:link w:val="16"/>
    <w:semiHidden/>
    <w:unhideWhenUsed/>
    <w:qFormat/>
    <w:uiPriority w:val="99"/>
    <w:pPr>
      <w:ind w:firstLine="420" w:firstLineChars="200"/>
    </w:p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character" w:customStyle="1" w:styleId="12">
    <w:name w:val="日期 Char"/>
    <w:basedOn w:val="9"/>
    <w:link w:val="3"/>
    <w:semiHidden/>
    <w:qFormat/>
    <w:uiPriority w:val="99"/>
    <w:rPr>
      <w:rFonts w:ascii="Times New Roman" w:hAnsi="Times New Roman" w:eastAsia="仿宋_GB2312" w:cs="Times New Roman"/>
      <w:sz w:val="32"/>
      <w:szCs w:val="24"/>
    </w:rPr>
  </w:style>
  <w:style w:type="paragraph" w:customStyle="1" w:styleId="13">
    <w:name w:val="正文缩进 + 首行缩进:  2 字符"/>
    <w:basedOn w:val="1"/>
    <w:qFormat/>
    <w:uiPriority w:val="0"/>
    <w:pPr>
      <w:ind w:firstLine="640"/>
    </w:pPr>
    <w:rPr>
      <w:rFonts w:cs="宋体"/>
      <w:szCs w:val="20"/>
    </w:rPr>
  </w:style>
  <w:style w:type="character" w:customStyle="1" w:styleId="14">
    <w:name w:val="批注框文本 Char"/>
    <w:basedOn w:val="9"/>
    <w:link w:val="4"/>
    <w:semiHidden/>
    <w:qFormat/>
    <w:uiPriority w:val="99"/>
    <w:rPr>
      <w:rFonts w:ascii="Times New Roman" w:hAnsi="Times New Roman" w:eastAsia="仿宋_GB2312" w:cs="Times New Roman"/>
      <w:kern w:val="2"/>
      <w:sz w:val="18"/>
      <w:szCs w:val="18"/>
    </w:rPr>
  </w:style>
  <w:style w:type="character" w:customStyle="1" w:styleId="15">
    <w:name w:val="正文文本缩进 Char"/>
    <w:basedOn w:val="9"/>
    <w:link w:val="2"/>
    <w:semiHidden/>
    <w:qFormat/>
    <w:uiPriority w:val="99"/>
    <w:rPr>
      <w:rFonts w:ascii="Times New Roman" w:hAnsi="Times New Roman" w:eastAsia="仿宋_GB2312" w:cs="Times New Roman"/>
      <w:kern w:val="2"/>
      <w:sz w:val="32"/>
      <w:szCs w:val="24"/>
    </w:rPr>
  </w:style>
  <w:style w:type="character" w:customStyle="1" w:styleId="16">
    <w:name w:val="正文首行缩进 2 Char"/>
    <w:basedOn w:val="15"/>
    <w:link w:val="7"/>
    <w:semiHidden/>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10695</Words>
  <Characters>11307</Characters>
  <Lines>68</Lines>
  <Paragraphs>19</Paragraphs>
  <TotalTime>39</TotalTime>
  <ScaleCrop>false</ScaleCrop>
  <LinksUpToDate>false</LinksUpToDate>
  <CharactersWithSpaces>11320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2021-03-31T09:58:00Z</dcterms:created>
  <dc:creator>l13774129191@outlook.com</dc:creator>
  <cp:lastModifiedBy>Administrator</cp:lastModifiedBy>
  <cp:lastPrinted>2022-05-27T00:16:00Z</cp:lastPrinted>
  <dcterms:modified xsi:type="dcterms:W3CDTF">2023-09-19T07:19:39Z</dcterms:modified>
  <cp:revision>164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E8D3268A7E8E427890A36058B5C18B2A</vt:lpwstr>
  </property>
  <property fmtid="{D5CDD505-2E9C-101B-9397-08002B2CF9AE}" pid="4" name="commondata">
    <vt:lpwstr>eyJoZGlkIjoiOTY1OGNjYjlhOGRiNjMzYjE2YWNlYzEzY2EyNjkyYzYifQ==</vt:lpwstr>
  </property>
</Properties>
</file>