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84"/>
        <w:keepNext w:val="false"/>
        <w:keepLines w:val="false"/>
        <w:pageBreakBefore w:val="false"/>
        <w:widowControl w:val="false"/>
        <w:pBdr/>
        <w:spacing w:line="620" w:lineRule="exact"/>
        <w:ind/>
        <w:jc w:val="center"/>
        <w:rPr>
          <w:rFonts w:eastAsia="楷体_GB2312"/>
          <w:b/>
          <w:bCs/>
          <w:color w:val="000000"/>
          <w:sz w:val="32"/>
          <w:szCs w:val="32"/>
          <w:highlight w:val="none"/>
        </w:rPr>
      </w:pPr>
      <w:r>
        <w:rPr>
          <w:rFonts w:eastAsia="方正大标宋简体"/>
          <w:color w:val="000000"/>
          <w:sz w:val="40"/>
          <w:szCs w:val="40"/>
          <w:highlight w:val="none"/>
        </w:rPr>
        <w:t xml:space="preserve">关于202</w:t>
      </w:r>
      <w:r>
        <w:rPr>
          <w:rFonts w:hint="eastAsia" w:eastAsia="方正大标宋简体"/>
          <w:color w:val="000000"/>
          <w:sz w:val="40"/>
          <w:szCs w:val="40"/>
          <w:highlight w:val="none"/>
        </w:rPr>
        <w:t xml:space="preserve">3</w:t>
      </w:r>
      <w:r>
        <w:rPr>
          <w:rFonts w:eastAsia="方正大标宋简体"/>
          <w:color w:val="000000"/>
          <w:sz w:val="40"/>
          <w:szCs w:val="40"/>
          <w:highlight w:val="none"/>
        </w:rPr>
        <w:t xml:space="preserve">年市级财政决算的报告</w:t>
      </w:r>
      <w:r>
        <w:rPr>
          <w:rFonts w:eastAsia="楷体_GB2312"/>
          <w:b/>
          <w:bCs/>
          <w:color w:val="000000"/>
          <w:sz w:val="32"/>
          <w:szCs w:val="32"/>
          <w:highlight w:val="none"/>
        </w:rPr>
      </w:r>
      <w:r>
        <w:rPr>
          <w:rFonts w:eastAsia="楷体_GB2312"/>
          <w:b/>
          <w:bCs/>
          <w:color w:val="000000"/>
          <w:sz w:val="32"/>
          <w:szCs w:val="32"/>
          <w:highlight w:val="none"/>
        </w:rPr>
      </w:r>
    </w:p>
    <w:p>
      <w:pPr>
        <w:pStyle w:val="684"/>
        <w:keepNext w:val="false"/>
        <w:keepLines w:val="false"/>
        <w:pageBreakBefore w:val="false"/>
        <w:widowControl w:val="false"/>
        <w:pBdr/>
        <w:spacing w:line="620" w:lineRule="exact"/>
        <w:ind/>
        <w:jc w:val="center"/>
        <w:rPr>
          <w:rFonts w:eastAsia="楷体_GB2312"/>
          <w:b/>
          <w:bCs/>
          <w:color w:val="000000"/>
          <w:sz w:val="32"/>
          <w:szCs w:val="32"/>
          <w:highlight w:val="none"/>
        </w:rPr>
      </w:pPr>
      <w:r>
        <w:rPr>
          <w:rFonts w:eastAsia="方正仿宋简体"/>
          <w:color w:val="000000"/>
          <w:sz w:val="32"/>
          <w:szCs w:val="32"/>
          <w:highlight w:val="none"/>
        </w:rPr>
        <w:t xml:space="preserve">——</w:t>
      </w:r>
      <w:r>
        <w:rPr>
          <w:rFonts w:eastAsia="楷体_GB2312"/>
          <w:b/>
          <w:bCs/>
          <w:color w:val="000000"/>
          <w:sz w:val="32"/>
          <w:szCs w:val="32"/>
          <w:highlight w:val="none"/>
        </w:rPr>
        <w:t xml:space="preserve">202</w:t>
      </w:r>
      <w:r>
        <w:rPr>
          <w:rFonts w:hint="eastAsia" w:eastAsia="楷体_GB2312"/>
          <w:b/>
          <w:bCs/>
          <w:color w:val="000000"/>
          <w:sz w:val="32"/>
          <w:szCs w:val="32"/>
          <w:highlight w:val="none"/>
        </w:rPr>
        <w:t xml:space="preserve">4</w:t>
      </w:r>
      <w:r>
        <w:rPr>
          <w:rFonts w:eastAsia="楷体_GB2312"/>
          <w:b/>
          <w:bCs/>
          <w:color w:val="000000"/>
          <w:sz w:val="32"/>
          <w:szCs w:val="32"/>
          <w:highlight w:val="none"/>
        </w:rPr>
        <w:t xml:space="preserve">年</w:t>
      </w:r>
      <w:r>
        <w:rPr>
          <w:rFonts w:hint="eastAsia" w:eastAsia="楷体_GB2312"/>
          <w:b/>
          <w:bCs/>
          <w:color w:val="000000"/>
          <w:sz w:val="32"/>
          <w:szCs w:val="32"/>
          <w:highlight w:val="none"/>
        </w:rPr>
        <w:t xml:space="preserve">9</w:t>
      </w:r>
      <w:r>
        <w:rPr>
          <w:rFonts w:eastAsia="楷体_GB2312"/>
          <w:b/>
          <w:bCs/>
          <w:color w:val="000000"/>
          <w:sz w:val="32"/>
          <w:szCs w:val="32"/>
          <w:highlight w:val="none"/>
        </w:rPr>
        <w:t xml:space="preserve">月</w:t>
      </w:r>
      <w:r>
        <w:rPr>
          <w:rFonts w:hint="eastAsia" w:eastAsia="楷体_GB2312"/>
          <w:b/>
          <w:bCs/>
          <w:color w:val="000000"/>
          <w:sz w:val="32"/>
          <w:szCs w:val="32"/>
          <w:highlight w:val="none"/>
          <w:lang w:val="en-US" w:eastAsia="zh-CN"/>
        </w:rPr>
        <w:t xml:space="preserve">2</w:t>
      </w:r>
      <w:r>
        <w:rPr>
          <w:rFonts w:hint="eastAsia" w:eastAsia="楷体_GB2312"/>
          <w:b/>
          <w:bCs/>
          <w:color w:val="000000"/>
          <w:sz w:val="32"/>
          <w:szCs w:val="32"/>
          <w:highlight w:val="none"/>
          <w:lang w:val="en-US" w:eastAsia="zh-CN"/>
        </w:rPr>
        <w:t xml:space="preserve">9</w:t>
      </w:r>
      <w:r>
        <w:rPr>
          <w:rFonts w:eastAsia="楷体_GB2312"/>
          <w:b/>
          <w:bCs/>
          <w:color w:val="000000"/>
          <w:sz w:val="32"/>
          <w:szCs w:val="32"/>
          <w:highlight w:val="none"/>
        </w:rPr>
        <w:t xml:space="preserve">日在随州市第五届人民代表大会</w:t>
      </w:r>
      <w:r>
        <w:rPr>
          <w:rFonts w:eastAsia="楷体_GB2312"/>
          <w:b/>
          <w:bCs/>
          <w:color w:val="000000"/>
          <w:sz w:val="32"/>
          <w:szCs w:val="32"/>
          <w:highlight w:val="none"/>
        </w:rPr>
      </w:r>
      <w:r>
        <w:rPr>
          <w:rFonts w:eastAsia="楷体_GB2312"/>
          <w:b/>
          <w:bCs/>
          <w:color w:val="000000"/>
          <w:sz w:val="32"/>
          <w:szCs w:val="32"/>
          <w:highlight w:val="none"/>
        </w:rPr>
      </w:r>
    </w:p>
    <w:p>
      <w:pPr>
        <w:pStyle w:val="684"/>
        <w:keepNext w:val="false"/>
        <w:keepLines w:val="false"/>
        <w:pageBreakBefore w:val="false"/>
        <w:widowControl w:val="false"/>
        <w:pBdr/>
        <w:spacing w:line="620" w:lineRule="exact"/>
        <w:ind/>
        <w:jc w:val="center"/>
        <w:rPr>
          <w:rFonts w:eastAsia="楷体_GB2312"/>
          <w:b/>
          <w:bCs/>
          <w:color w:val="000000"/>
          <w:sz w:val="32"/>
          <w:szCs w:val="32"/>
          <w:highlight w:val="none"/>
        </w:rPr>
      </w:pPr>
      <w:r>
        <w:rPr>
          <w:rFonts w:eastAsia="楷体_GB2312"/>
          <w:b/>
          <w:bCs/>
          <w:color w:val="000000"/>
          <w:sz w:val="32"/>
          <w:szCs w:val="32"/>
          <w:highlight w:val="none"/>
        </w:rPr>
        <w:t xml:space="preserve">常务委员会第</w:t>
      </w:r>
      <w:r>
        <w:rPr>
          <w:rFonts w:hint="eastAsia" w:eastAsia="楷体_GB2312"/>
          <w:b/>
          <w:bCs/>
          <w:color w:val="000000"/>
          <w:sz w:val="32"/>
          <w:szCs w:val="32"/>
          <w:highlight w:val="none"/>
          <w:lang w:eastAsia="zh-CN"/>
        </w:rPr>
        <w:t xml:space="preserve">十七</w:t>
      </w:r>
      <w:r>
        <w:rPr>
          <w:rFonts w:eastAsia="楷体_GB2312"/>
          <w:b/>
          <w:bCs/>
          <w:color w:val="000000"/>
          <w:sz w:val="32"/>
          <w:szCs w:val="32"/>
          <w:highlight w:val="none"/>
        </w:rPr>
        <w:t xml:space="preserve">次会议上</w:t>
      </w:r>
      <w:r>
        <w:rPr>
          <w:rFonts w:eastAsia="楷体_GB2312"/>
          <w:b/>
          <w:bCs/>
          <w:color w:val="000000"/>
          <w:sz w:val="32"/>
          <w:szCs w:val="32"/>
          <w:highlight w:val="none"/>
        </w:rPr>
      </w:r>
      <w:r>
        <w:rPr>
          <w:rFonts w:eastAsia="楷体_GB2312"/>
          <w:b/>
          <w:bCs/>
          <w:color w:val="000000"/>
          <w:sz w:val="32"/>
          <w:szCs w:val="32"/>
          <w:highlight w:val="none"/>
        </w:rPr>
      </w:r>
    </w:p>
    <w:p>
      <w:pPr>
        <w:pStyle w:val="684"/>
        <w:keepNext w:val="false"/>
        <w:keepLines w:val="false"/>
        <w:pageBreakBefore w:val="false"/>
        <w:widowControl w:val="false"/>
        <w:pBdr/>
        <w:spacing w:line="620" w:lineRule="exact"/>
        <w:ind/>
        <w:jc w:val="center"/>
        <w:rPr>
          <w:rFonts w:eastAsia="楷体_GB2312"/>
          <w:b/>
          <w:bCs/>
          <w:color w:val="000000"/>
          <w:sz w:val="32"/>
          <w:szCs w:val="32"/>
          <w:highlight w:val="none"/>
        </w:rPr>
      </w:pPr>
      <w:r>
        <w:rPr>
          <w:rFonts w:eastAsia="楷体_GB2312"/>
          <w:b/>
          <w:bCs/>
          <w:color w:val="000000"/>
          <w:sz w:val="32"/>
          <w:szCs w:val="32"/>
          <w:highlight w:val="none"/>
        </w:rPr>
        <w:t xml:space="preserve">随州市财政局</w:t>
      </w:r>
      <w:r>
        <w:rPr>
          <w:rFonts w:eastAsia="楷体_GB2312"/>
          <w:b/>
          <w:bCs/>
          <w:color w:val="000000"/>
          <w:sz w:val="32"/>
          <w:szCs w:val="32"/>
          <w:highlight w:val="none"/>
        </w:rPr>
      </w:r>
      <w:r>
        <w:rPr>
          <w:rFonts w:eastAsia="楷体_GB2312"/>
          <w:b/>
          <w:bCs/>
          <w:color w:val="000000"/>
          <w:sz w:val="32"/>
          <w:szCs w:val="32"/>
          <w:highlight w:val="none"/>
        </w:rPr>
      </w:r>
    </w:p>
    <w:p>
      <w:pPr>
        <w:pStyle w:val="684"/>
        <w:keepNext w:val="false"/>
        <w:keepLines w:val="false"/>
        <w:pageBreakBefore w:val="false"/>
        <w:widowControl w:val="false"/>
        <w:pBdr/>
        <w:spacing w:line="620" w:lineRule="exact"/>
        <w:ind/>
        <w:rPr>
          <w:rFonts w:eastAsia="方正仿宋简体"/>
          <w:color w:val="000000"/>
          <w:sz w:val="32"/>
          <w:szCs w:val="32"/>
          <w:highlight w:val="none"/>
        </w:rPr>
      </w:pPr>
      <w:r>
        <w:rPr>
          <w:rFonts w:eastAsia="方正仿宋简体"/>
          <w:color w:val="000000"/>
          <w:sz w:val="32"/>
          <w:szCs w:val="32"/>
          <w:highlight w:val="none"/>
        </w:rPr>
        <w:t xml:space="preserve">  </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rPr>
          <w:rFonts w:eastAsia="方正仿宋简体"/>
          <w:color w:val="000000"/>
          <w:sz w:val="32"/>
          <w:szCs w:val="32"/>
          <w:highlight w:val="none"/>
        </w:rPr>
      </w:pPr>
      <w:r>
        <w:rPr>
          <w:rFonts w:hint="eastAsia" w:eastAsia="方正仿宋简体"/>
          <w:color w:val="000000"/>
          <w:sz w:val="32"/>
          <w:szCs w:val="32"/>
          <w:highlight w:val="none"/>
          <w:lang w:val="en-US" w:eastAsia="zh-CN"/>
        </w:rPr>
        <w:t xml:space="preserve">主任、</w:t>
      </w:r>
      <w:r>
        <w:rPr>
          <w:rFonts w:eastAsia="方正仿宋简体"/>
          <w:color w:val="000000"/>
          <w:sz w:val="32"/>
          <w:szCs w:val="32"/>
          <w:highlight w:val="none"/>
        </w:rPr>
        <w:t xml:space="preserve">各位副主任、秘书长、各位委员：</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受市政府委托，我向本次人大常委会报告202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年度市级财政决算情况，请予审议。</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黑体"/>
          <w:color w:val="000000"/>
          <w:sz w:val="32"/>
          <w:szCs w:val="32"/>
          <w:highlight w:val="none"/>
        </w:rPr>
      </w:pPr>
      <w:r>
        <w:rPr>
          <w:rFonts w:eastAsia="黑体"/>
          <w:color w:val="000000"/>
          <w:sz w:val="32"/>
          <w:szCs w:val="32"/>
          <w:highlight w:val="none"/>
        </w:rPr>
        <w:t xml:space="preserve">一、202</w:t>
      </w:r>
      <w:r>
        <w:rPr>
          <w:rFonts w:hint="eastAsia" w:eastAsia="黑体"/>
          <w:color w:val="000000"/>
          <w:sz w:val="32"/>
          <w:szCs w:val="32"/>
          <w:highlight w:val="none"/>
        </w:rPr>
        <w:t xml:space="preserve">3</w:t>
      </w:r>
      <w:r>
        <w:rPr>
          <w:rFonts w:eastAsia="黑体"/>
          <w:color w:val="000000"/>
          <w:sz w:val="32"/>
          <w:szCs w:val="32"/>
          <w:highlight w:val="none"/>
        </w:rPr>
        <w:t xml:space="preserve">年财政收支决算情况</w:t>
      </w:r>
      <w:r>
        <w:rPr>
          <w:rFonts w:eastAsia="黑体"/>
          <w:color w:val="000000"/>
          <w:sz w:val="32"/>
          <w:szCs w:val="32"/>
          <w:highlight w:val="none"/>
        </w:rPr>
      </w:r>
      <w:r>
        <w:rPr>
          <w:rFonts w:eastAsia="黑体"/>
          <w:color w:val="000000"/>
          <w:sz w:val="32"/>
          <w:szCs w:val="32"/>
          <w:highlight w:val="none"/>
        </w:rPr>
      </w:r>
    </w:p>
    <w:p>
      <w:pPr>
        <w:pStyle w:val="684"/>
        <w:keepNext w:val="false"/>
        <w:keepLines w:val="false"/>
        <w:pageBreakBefore w:val="false"/>
        <w:widowControl w:val="false"/>
        <w:pBdr/>
        <w:spacing w:line="620" w:lineRule="exact"/>
        <w:ind w:firstLine="643"/>
        <w:rPr>
          <w:rFonts w:eastAsia="楷体_GB2312"/>
          <w:b/>
          <w:color w:val="000000"/>
          <w:sz w:val="32"/>
          <w:szCs w:val="32"/>
          <w:highlight w:val="none"/>
        </w:rPr>
      </w:pPr>
      <w:r>
        <w:rPr>
          <w:rFonts w:eastAsia="楷体_GB2312"/>
          <w:b/>
          <w:color w:val="000000"/>
          <w:sz w:val="32"/>
          <w:szCs w:val="32"/>
          <w:highlight w:val="none"/>
        </w:rPr>
        <w:t xml:space="preserve">（一）一般公共预算收支决算情况</w:t>
      </w:r>
      <w:r>
        <w:rPr>
          <w:rFonts w:eastAsia="楷体_GB2312"/>
          <w:b/>
          <w:color w:val="000000"/>
          <w:sz w:val="32"/>
          <w:szCs w:val="32"/>
          <w:highlight w:val="none"/>
        </w:rPr>
      </w:r>
      <w:r>
        <w:rPr>
          <w:rFonts w:eastAsia="楷体_GB2312"/>
          <w:b/>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1、全市一般公共预算收支决算情况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年，全市一般公共预算总收入</w:t>
      </w:r>
      <w:r>
        <w:rPr>
          <w:rFonts w:hint="eastAsia" w:eastAsia="方正仿宋简体"/>
          <w:color w:val="000000"/>
          <w:sz w:val="32"/>
          <w:szCs w:val="32"/>
          <w:highlight w:val="none"/>
        </w:rPr>
        <w:t xml:space="preserve">262.14</w:t>
      </w:r>
      <w:r>
        <w:rPr>
          <w:rFonts w:eastAsia="方正仿宋简体"/>
          <w:color w:val="000000"/>
          <w:sz w:val="32"/>
          <w:szCs w:val="32"/>
          <w:highlight w:val="none"/>
        </w:rPr>
        <w:t xml:space="preserve">亿元，为预算（调整后预算，下同）的</w:t>
      </w:r>
      <w:r>
        <w:rPr>
          <w:rFonts w:hint="eastAsia" w:eastAsia="方正仿宋简体"/>
          <w:color w:val="000000"/>
          <w:sz w:val="32"/>
          <w:szCs w:val="32"/>
          <w:highlight w:val="none"/>
        </w:rPr>
        <w:t xml:space="preserve">99.7</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17.7</w:t>
      </w:r>
      <w:r>
        <w:rPr>
          <w:rFonts w:eastAsia="方正仿宋简体"/>
          <w:color w:val="000000"/>
          <w:sz w:val="32"/>
          <w:szCs w:val="32"/>
          <w:highlight w:val="none"/>
        </w:rPr>
        <w:t xml:space="preserve">%（主要是受增值税留抵退税等因素影响同比基数较低，以及2023年盘活国有“三资”收入和转移支付收入增加），其中：地方一般公共预算收入</w:t>
      </w:r>
      <w:r>
        <w:rPr>
          <w:rFonts w:hint="eastAsia" w:eastAsia="方正仿宋简体"/>
          <w:color w:val="000000"/>
          <w:sz w:val="32"/>
          <w:szCs w:val="32"/>
          <w:highlight w:val="none"/>
        </w:rPr>
        <w:t xml:space="preserve">61.09</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101.4</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同</w:t>
      </w:r>
      <w:r>
        <w:rPr>
          <w:rFonts w:eastAsia="方正仿宋简体"/>
          <w:color w:val="000000"/>
          <w:sz w:val="32"/>
          <w:szCs w:val="32"/>
          <w:highlight w:val="none"/>
        </w:rPr>
        <w:t xml:space="preserve">比增长</w:t>
      </w:r>
      <w:r>
        <w:rPr>
          <w:rFonts w:hint="eastAsia" w:eastAsia="方正仿宋简体"/>
          <w:color w:val="000000"/>
          <w:sz w:val="32"/>
          <w:szCs w:val="32"/>
          <w:highlight w:val="none"/>
        </w:rPr>
        <w:t xml:space="preserve">20.7</w:t>
      </w:r>
      <w:r>
        <w:rPr>
          <w:rFonts w:eastAsia="方正仿宋简体"/>
          <w:color w:val="000000"/>
          <w:sz w:val="32"/>
          <w:szCs w:val="32"/>
          <w:highlight w:val="none"/>
        </w:rPr>
        <w:t xml:space="preserve">%（税收收入</w:t>
      </w:r>
      <w:r>
        <w:rPr>
          <w:rFonts w:hint="eastAsia" w:eastAsia="方正仿宋简体"/>
          <w:color w:val="000000"/>
          <w:sz w:val="32"/>
          <w:szCs w:val="32"/>
          <w:highlight w:val="none"/>
        </w:rPr>
        <w:t xml:space="preserve">39.16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97.9</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同</w:t>
      </w:r>
      <w:r>
        <w:rPr>
          <w:rFonts w:eastAsia="方正仿宋简体"/>
          <w:color w:val="000000"/>
          <w:sz w:val="32"/>
          <w:szCs w:val="32"/>
          <w:highlight w:val="none"/>
        </w:rPr>
        <w:t xml:space="preserve">比增长</w:t>
      </w:r>
      <w:r>
        <w:rPr>
          <w:rFonts w:hint="eastAsia" w:eastAsia="方正仿宋简体"/>
          <w:color w:val="000000"/>
          <w:sz w:val="32"/>
          <w:szCs w:val="32"/>
          <w:highlight w:val="none"/>
        </w:rPr>
        <w:t xml:space="preserve">13.7</w:t>
      </w:r>
      <w:r>
        <w:rPr>
          <w:rFonts w:eastAsia="方正仿宋简体"/>
          <w:color w:val="000000"/>
          <w:sz w:val="32"/>
          <w:szCs w:val="32"/>
          <w:highlight w:val="none"/>
        </w:rPr>
        <w:t xml:space="preserve">%；非税收入</w:t>
      </w:r>
      <w:r>
        <w:rPr>
          <w:rFonts w:hint="eastAsia" w:eastAsia="方正仿宋简体"/>
          <w:color w:val="000000"/>
          <w:sz w:val="32"/>
          <w:szCs w:val="32"/>
          <w:highlight w:val="none"/>
        </w:rPr>
        <w:t xml:space="preserve">21.93</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108.3</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35.6</w:t>
      </w:r>
      <w:r>
        <w:rPr>
          <w:rFonts w:eastAsia="方正仿宋简体"/>
          <w:color w:val="000000"/>
          <w:sz w:val="32"/>
          <w:szCs w:val="32"/>
          <w:highlight w:val="none"/>
        </w:rPr>
        <w:t xml:space="preserve">%）；转移性收入</w:t>
      </w:r>
      <w:r>
        <w:rPr>
          <w:rFonts w:hint="eastAsia" w:eastAsia="方正仿宋简体"/>
          <w:color w:val="000000"/>
          <w:sz w:val="32"/>
          <w:szCs w:val="32"/>
          <w:highlight w:val="none"/>
        </w:rPr>
        <w:t xml:space="preserve">168.5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100.2</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19.1</w:t>
      </w:r>
      <w:r>
        <w:rPr>
          <w:rFonts w:eastAsia="方正仿宋简体"/>
          <w:color w:val="000000"/>
          <w:sz w:val="32"/>
          <w:szCs w:val="32"/>
          <w:highlight w:val="none"/>
        </w:rPr>
        <w:t xml:space="preserve">%；政府一般债券转贷收入</w:t>
      </w:r>
      <w:r>
        <w:rPr>
          <w:rFonts w:hint="eastAsia" w:eastAsia="方正仿宋简体"/>
          <w:color w:val="000000"/>
          <w:sz w:val="32"/>
          <w:szCs w:val="32"/>
          <w:highlight w:val="none"/>
        </w:rPr>
        <w:t xml:space="preserve">17.08</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15.2</w:t>
      </w:r>
      <w:r>
        <w:rPr>
          <w:rFonts w:eastAsia="方正仿宋简体"/>
          <w:color w:val="000000"/>
          <w:sz w:val="32"/>
          <w:szCs w:val="32"/>
          <w:highlight w:val="none"/>
        </w:rPr>
        <w:t xml:space="preserve">%；上年结转收入</w:t>
      </w:r>
      <w:r>
        <w:rPr>
          <w:rFonts w:hint="eastAsia" w:eastAsia="方正仿宋简体"/>
          <w:color w:val="000000"/>
          <w:sz w:val="32"/>
          <w:szCs w:val="32"/>
          <w:highlight w:val="none"/>
        </w:rPr>
        <w:t xml:space="preserve">15.47</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89.2</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减少2.1</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全市一般公共预算总支出</w:t>
      </w:r>
      <w:r>
        <w:rPr>
          <w:rFonts w:hint="eastAsia" w:eastAsia="方正仿宋简体"/>
          <w:color w:val="000000"/>
          <w:sz w:val="32"/>
          <w:szCs w:val="32"/>
          <w:highlight w:val="none"/>
        </w:rPr>
        <w:t xml:space="preserve">242.22</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99.3</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16.9</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上级转移支付和一般债券支出增加</w:t>
      </w:r>
      <w:r>
        <w:rPr>
          <w:rFonts w:eastAsia="方正仿宋简体"/>
          <w:color w:val="000000"/>
          <w:sz w:val="32"/>
          <w:szCs w:val="32"/>
          <w:highlight w:val="none"/>
        </w:rPr>
        <w:t xml:space="preserve">），其中：地方一般公共预算支出</w:t>
      </w:r>
      <w:r>
        <w:rPr>
          <w:rFonts w:hint="eastAsia" w:eastAsia="方正仿宋简体"/>
          <w:color w:val="000000"/>
          <w:sz w:val="32"/>
          <w:szCs w:val="32"/>
          <w:highlight w:val="none"/>
        </w:rPr>
        <w:t xml:space="preserve">215.95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100.8</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19</w:t>
      </w:r>
      <w:r>
        <w:rPr>
          <w:rFonts w:eastAsia="方正仿宋简体"/>
          <w:color w:val="000000"/>
          <w:sz w:val="32"/>
          <w:szCs w:val="32"/>
          <w:highlight w:val="none"/>
        </w:rPr>
        <w:t xml:space="preserve">%；转移性支出</w:t>
      </w:r>
      <w:r>
        <w:rPr>
          <w:rFonts w:hint="eastAsia" w:eastAsia="方正仿宋简体"/>
          <w:color w:val="000000"/>
          <w:sz w:val="32"/>
          <w:szCs w:val="32"/>
          <w:highlight w:val="none"/>
        </w:rPr>
        <w:t xml:space="preserve">12.26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93.6</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增长10.5</w:t>
      </w:r>
      <w:r>
        <w:rPr>
          <w:rFonts w:eastAsia="方正仿宋简体"/>
          <w:color w:val="000000"/>
          <w:sz w:val="32"/>
          <w:szCs w:val="32"/>
          <w:highlight w:val="none"/>
        </w:rPr>
        <w:t xml:space="preserve">%；政府一般债券还本支出</w:t>
      </w:r>
      <w:r>
        <w:rPr>
          <w:rFonts w:hint="eastAsia" w:eastAsia="方正仿宋简体"/>
          <w:color w:val="000000"/>
          <w:sz w:val="32"/>
          <w:szCs w:val="32"/>
          <w:highlight w:val="none"/>
        </w:rPr>
        <w:t xml:space="preserve">10.66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79.8</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（主要是广水市化解隐性债务支出计入其他支出科目）</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21</w:t>
      </w:r>
      <w:r>
        <w:rPr>
          <w:rFonts w:eastAsia="方正仿宋简体"/>
          <w:color w:val="000000"/>
          <w:sz w:val="32"/>
          <w:szCs w:val="32"/>
          <w:highlight w:val="none"/>
        </w:rPr>
        <w:t xml:space="preserve">%；安排预算稳定调节基金</w:t>
      </w:r>
      <w:r>
        <w:rPr>
          <w:rFonts w:hint="eastAsia" w:eastAsia="方正仿宋简体"/>
          <w:color w:val="000000"/>
          <w:sz w:val="32"/>
          <w:szCs w:val="32"/>
          <w:highlight w:val="none"/>
        </w:rPr>
        <w:t xml:space="preserve">3.35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减少42.5</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（主要是广水市和曾都区补充预算稳定调节基金减少）</w:t>
      </w:r>
      <w:r>
        <w:rPr>
          <w:rFonts w:eastAsia="方正仿宋简体"/>
          <w:color w:val="000000"/>
          <w:sz w:val="32"/>
          <w:szCs w:val="32"/>
          <w:highlight w:val="none"/>
        </w:rPr>
        <w:t xml:space="preserve">。收支相抵，当年结余</w:t>
      </w:r>
      <w:r>
        <w:rPr>
          <w:rFonts w:hint="eastAsia" w:eastAsia="方正仿宋简体"/>
          <w:color w:val="000000"/>
          <w:sz w:val="32"/>
          <w:szCs w:val="32"/>
          <w:highlight w:val="none"/>
        </w:rPr>
        <w:t xml:space="preserve">19.92</w:t>
      </w:r>
      <w:r>
        <w:rPr>
          <w:rFonts w:eastAsia="方正仿宋简体"/>
          <w:color w:val="000000"/>
          <w:sz w:val="32"/>
          <w:szCs w:val="32"/>
          <w:highlight w:val="none"/>
        </w:rPr>
        <w:t xml:space="preserve">亿元（主要是</w:t>
      </w:r>
      <w:r>
        <w:rPr>
          <w:rFonts w:hint="eastAsia" w:eastAsia="方正仿宋简体"/>
          <w:color w:val="000000"/>
          <w:sz w:val="32"/>
          <w:szCs w:val="32"/>
          <w:highlight w:val="none"/>
        </w:rPr>
        <w:t xml:space="preserve">年底下达的增发国债资金、油茶专项补助资金等转移支付资金</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2、市本级一般公共预算收支决算情况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年，市本级一般公共预算总收入</w:t>
      </w:r>
      <w:r>
        <w:rPr>
          <w:rFonts w:hint="eastAsia" w:eastAsia="方正仿宋简体"/>
          <w:color w:val="000000"/>
          <w:sz w:val="32"/>
          <w:szCs w:val="32"/>
          <w:highlight w:val="none"/>
        </w:rPr>
        <w:t xml:space="preserve">65.4</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107.5</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29.3</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受增值税留抵退税等因素影响同比基数较低，以及2023年盘活国有“三资”收入和转移支付收入增加</w:t>
      </w:r>
      <w:r>
        <w:rPr>
          <w:rFonts w:eastAsia="方正仿宋简体"/>
          <w:color w:val="000000"/>
          <w:sz w:val="32"/>
          <w:szCs w:val="32"/>
          <w:highlight w:val="none"/>
        </w:rPr>
        <w:t xml:space="preserve">），其中：地方一般公共预算收入</w:t>
      </w:r>
      <w:r>
        <w:rPr>
          <w:rFonts w:hint="eastAsia" w:eastAsia="方正仿宋简体"/>
          <w:color w:val="000000"/>
          <w:sz w:val="32"/>
          <w:szCs w:val="32"/>
          <w:highlight w:val="none"/>
        </w:rPr>
        <w:t xml:space="preserve">20.65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同</w:t>
      </w:r>
      <w:r>
        <w:rPr>
          <w:rFonts w:eastAsia="方正仿宋简体"/>
          <w:color w:val="000000"/>
          <w:sz w:val="32"/>
          <w:szCs w:val="32"/>
          <w:highlight w:val="none"/>
        </w:rPr>
        <w:t xml:space="preserve">比增长</w:t>
      </w:r>
      <w:r>
        <w:rPr>
          <w:rFonts w:hint="eastAsia" w:eastAsia="方正仿宋简体"/>
          <w:color w:val="000000"/>
          <w:sz w:val="32"/>
          <w:szCs w:val="32"/>
          <w:highlight w:val="none"/>
        </w:rPr>
        <w:t xml:space="preserve">42.3</w:t>
      </w:r>
      <w:r>
        <w:rPr>
          <w:rFonts w:eastAsia="方正仿宋简体"/>
          <w:color w:val="000000"/>
          <w:sz w:val="32"/>
          <w:szCs w:val="32"/>
          <w:highlight w:val="none"/>
        </w:rPr>
        <w:t xml:space="preserve">%；转移性收入</w:t>
      </w:r>
      <w:r>
        <w:rPr>
          <w:rFonts w:hint="eastAsia" w:eastAsia="方正仿宋简体"/>
          <w:color w:val="000000"/>
          <w:sz w:val="32"/>
          <w:szCs w:val="32"/>
          <w:highlight w:val="none"/>
        </w:rPr>
        <w:t xml:space="preserve">38.33</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113.5</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22.1</w:t>
      </w:r>
      <w:r>
        <w:rPr>
          <w:rFonts w:eastAsia="方正仿宋简体"/>
          <w:color w:val="000000"/>
          <w:sz w:val="32"/>
          <w:szCs w:val="32"/>
          <w:highlight w:val="none"/>
        </w:rPr>
        <w:t xml:space="preserve">%；政府一般债券转贷收入</w:t>
      </w:r>
      <w:r>
        <w:rPr>
          <w:rFonts w:hint="eastAsia" w:eastAsia="方正仿宋简体"/>
          <w:color w:val="000000"/>
          <w:sz w:val="32"/>
          <w:szCs w:val="32"/>
          <w:highlight w:val="none"/>
        </w:rPr>
        <w:t xml:space="preserve">2.51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增长173</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再融资债券增加</w:t>
      </w:r>
      <w:r>
        <w:rPr>
          <w:rFonts w:eastAsia="方正仿宋简体"/>
          <w:color w:val="000000"/>
          <w:sz w:val="32"/>
          <w:szCs w:val="32"/>
          <w:highlight w:val="none"/>
        </w:rPr>
        <w:t xml:space="preserve">）；上年结余收入</w:t>
      </w:r>
      <w:r>
        <w:rPr>
          <w:rFonts w:hint="eastAsia" w:eastAsia="方正仿宋简体"/>
          <w:color w:val="000000"/>
          <w:sz w:val="32"/>
          <w:szCs w:val="32"/>
          <w:highlight w:val="none"/>
        </w:rPr>
        <w:t xml:space="preserve">3.91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增长4.1</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市本级一般公共预算总支出</w:t>
      </w:r>
      <w:r>
        <w:rPr>
          <w:rFonts w:hint="eastAsia" w:eastAsia="方正仿宋简体"/>
          <w:color w:val="000000"/>
          <w:sz w:val="32"/>
          <w:szCs w:val="32"/>
          <w:highlight w:val="none"/>
        </w:rPr>
        <w:t xml:space="preserve">56.14</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102.7</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20.3</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（主要是上级转移支付和一般债券支出增加）</w:t>
      </w:r>
      <w:r>
        <w:rPr>
          <w:rFonts w:eastAsia="方正仿宋简体"/>
          <w:color w:val="000000"/>
          <w:sz w:val="32"/>
          <w:szCs w:val="32"/>
          <w:highlight w:val="none"/>
        </w:rPr>
        <w:t xml:space="preserve">，其中：地方一般公共预算支出</w:t>
      </w:r>
      <w:r>
        <w:rPr>
          <w:rFonts w:hint="eastAsia" w:eastAsia="方正仿宋简体"/>
          <w:color w:val="000000"/>
          <w:sz w:val="32"/>
          <w:szCs w:val="32"/>
          <w:highlight w:val="none"/>
        </w:rPr>
        <w:t xml:space="preserve">44.86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17.6</w:t>
      </w:r>
      <w:r>
        <w:rPr>
          <w:rFonts w:eastAsia="方正仿宋简体"/>
          <w:color w:val="000000"/>
          <w:sz w:val="32"/>
          <w:szCs w:val="32"/>
          <w:highlight w:val="none"/>
        </w:rPr>
        <w:t xml:space="preserve">%；转移性支出</w:t>
      </w:r>
      <w:r>
        <w:rPr>
          <w:rFonts w:hint="eastAsia" w:eastAsia="方正仿宋简体"/>
          <w:color w:val="000000"/>
          <w:sz w:val="32"/>
          <w:szCs w:val="32"/>
          <w:highlight w:val="none"/>
        </w:rPr>
        <w:t xml:space="preserve">6.52</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129.2</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（主要是上解支出增加）</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10.3</w:t>
      </w:r>
      <w:r>
        <w:rPr>
          <w:rFonts w:eastAsia="方正仿宋简体"/>
          <w:color w:val="000000"/>
          <w:sz w:val="32"/>
          <w:szCs w:val="32"/>
          <w:highlight w:val="none"/>
        </w:rPr>
        <w:t xml:space="preserve">%；政府一般债券还本支出</w:t>
      </w:r>
      <w:r>
        <w:rPr>
          <w:rFonts w:hint="eastAsia" w:eastAsia="方正仿宋简体"/>
          <w:color w:val="000000"/>
          <w:sz w:val="32"/>
          <w:szCs w:val="32"/>
          <w:highlight w:val="none"/>
        </w:rPr>
        <w:t xml:space="preserve">1.66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w:t>
      </w:r>
      <w:r>
        <w:rPr>
          <w:rFonts w:hint="eastAsia" w:eastAsia="方正仿宋简体"/>
          <w:color w:val="000000"/>
          <w:sz w:val="32"/>
          <w:szCs w:val="32"/>
          <w:highlight w:val="none"/>
        </w:rPr>
        <w:t xml:space="preserve">比减少15.6</w:t>
      </w:r>
      <w:r>
        <w:rPr>
          <w:rFonts w:eastAsia="方正仿宋简体"/>
          <w:color w:val="000000"/>
          <w:sz w:val="32"/>
          <w:szCs w:val="32"/>
          <w:highlight w:val="none"/>
        </w:rPr>
        <w:t xml:space="preserve">%；安排预算稳定调节基金</w:t>
      </w:r>
      <w:r>
        <w:rPr>
          <w:rFonts w:hint="eastAsia" w:eastAsia="方正仿宋简体"/>
          <w:color w:val="000000"/>
          <w:sz w:val="32"/>
          <w:szCs w:val="32"/>
          <w:highlight w:val="none"/>
        </w:rPr>
        <w:t xml:space="preserve">3.1</w:t>
      </w:r>
      <w:r>
        <w:rPr>
          <w:rFonts w:eastAsia="方正仿宋简体"/>
          <w:color w:val="000000"/>
          <w:sz w:val="32"/>
          <w:szCs w:val="32"/>
          <w:highlight w:val="none"/>
        </w:rPr>
        <w:t xml:space="preserve">亿元</w:t>
      </w:r>
      <w:r>
        <w:rPr>
          <w:rFonts w:hint="eastAsia" w:eastAsia="方正仿宋简体"/>
          <w:color w:val="000000"/>
          <w:sz w:val="32"/>
          <w:szCs w:val="32"/>
          <w:highlight w:val="none"/>
        </w:rPr>
        <w:t xml:space="preserve">，为预算的100%，同比增长372.7%（主要是为保持年度间政府预算平衡，补充预算稳定调节基金）</w:t>
      </w:r>
      <w:r>
        <w:rPr>
          <w:rFonts w:eastAsia="方正仿宋简体"/>
          <w:color w:val="000000"/>
          <w:sz w:val="32"/>
          <w:szCs w:val="32"/>
          <w:highlight w:val="none"/>
        </w:rPr>
        <w:t xml:space="preserve">。收支相抵，当年结余</w:t>
      </w:r>
      <w:r>
        <w:rPr>
          <w:rFonts w:hint="eastAsia" w:eastAsia="方正仿宋简体"/>
          <w:color w:val="000000"/>
          <w:sz w:val="32"/>
          <w:szCs w:val="32"/>
          <w:highlight w:val="none"/>
        </w:rPr>
        <w:t xml:space="preserve">9.26</w:t>
      </w:r>
      <w:r>
        <w:rPr>
          <w:rFonts w:eastAsia="方正仿宋简体"/>
          <w:color w:val="000000"/>
          <w:sz w:val="32"/>
          <w:szCs w:val="32"/>
          <w:highlight w:val="none"/>
        </w:rPr>
        <w:t xml:space="preserve">亿元（</w:t>
      </w:r>
      <w:r>
        <w:rPr>
          <w:rFonts w:hint="eastAsia" w:eastAsia="方正仿宋简体"/>
          <w:color w:val="000000"/>
          <w:sz w:val="32"/>
          <w:szCs w:val="32"/>
          <w:highlight w:val="none"/>
        </w:rPr>
        <w:t xml:space="preserve">主要是年底下达的增发国债资金、油茶专项补助资金等转移支付资金</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3、高新区一般公共预算收支决算情况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2023年，高新区一般公共预算总收入7.78亿元，为预算的94.4%，同比增加46.5%（主要是转移</w:t>
      </w:r>
      <w:r>
        <w:rPr>
          <w:rFonts w:hint="eastAsia" w:eastAsia="方正仿宋简体"/>
          <w:color w:val="000000"/>
          <w:sz w:val="32"/>
          <w:szCs w:val="32"/>
          <w:highlight w:val="none"/>
        </w:rPr>
        <w:t xml:space="preserve">支付</w:t>
      </w:r>
      <w:r>
        <w:rPr>
          <w:rFonts w:eastAsia="方正仿宋简体"/>
          <w:color w:val="000000"/>
          <w:sz w:val="32"/>
          <w:szCs w:val="32"/>
          <w:highlight w:val="none"/>
        </w:rPr>
        <w:t xml:space="preserve">收入增加），其中：地方一般公共预算收入3.28亿元，为预算的105.5%，同比增长14.7%；转移性收入4.</w:t>
      </w:r>
      <w:r>
        <w:rPr>
          <w:rFonts w:hint="eastAsia" w:eastAsia="方正仿宋简体"/>
          <w:color w:val="000000"/>
          <w:sz w:val="32"/>
          <w:szCs w:val="32"/>
          <w:highlight w:val="none"/>
        </w:rPr>
        <w:t xml:space="preserve">5</w:t>
      </w:r>
      <w:r>
        <w:rPr>
          <w:rFonts w:eastAsia="方正仿宋简体"/>
          <w:color w:val="000000"/>
          <w:sz w:val="32"/>
          <w:szCs w:val="32"/>
          <w:highlight w:val="none"/>
        </w:rPr>
        <w:t xml:space="preserve">亿元，为预算的87.7%，同比增加83.7%（主要</w:t>
      </w:r>
      <w:r>
        <w:rPr>
          <w:rFonts w:hint="eastAsia" w:eastAsia="方正仿宋简体"/>
          <w:color w:val="000000"/>
          <w:sz w:val="32"/>
          <w:szCs w:val="32"/>
          <w:highlight w:val="none"/>
        </w:rPr>
        <w:t xml:space="preserve">是</w:t>
      </w:r>
      <w:r>
        <w:rPr>
          <w:rFonts w:eastAsia="方正仿宋简体"/>
          <w:color w:val="000000"/>
          <w:sz w:val="32"/>
          <w:szCs w:val="32"/>
          <w:highlight w:val="none"/>
        </w:rPr>
        <w:t xml:space="preserve">一般性转移支付收入增加</w:t>
      </w:r>
      <w:r>
        <w:rPr>
          <w:rFonts w:hint="eastAsia" w:eastAsia="方正仿宋简体"/>
          <w:color w:val="000000"/>
          <w:sz w:val="32"/>
          <w:szCs w:val="32"/>
          <w:highlight w:val="none"/>
        </w:rPr>
        <w:t xml:space="preserve">和调入资金增加</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高新区一般公共预算总支出7.78亿元，为预算的94.4%，同比增长47%（</w:t>
      </w:r>
      <w:r>
        <w:rPr>
          <w:rFonts w:hint="eastAsia" w:eastAsia="方正仿宋简体"/>
          <w:color w:val="000000"/>
          <w:sz w:val="32"/>
          <w:szCs w:val="32"/>
          <w:highlight w:val="none"/>
        </w:rPr>
        <w:t xml:space="preserve">主要是转移支付支出增加</w:t>
      </w:r>
      <w:r>
        <w:rPr>
          <w:rFonts w:eastAsia="方正仿宋简体"/>
          <w:color w:val="000000"/>
          <w:sz w:val="32"/>
          <w:szCs w:val="32"/>
          <w:highlight w:val="none"/>
        </w:rPr>
        <w:t xml:space="preserve">），其中：地方一般公共预算支出6.71亿元，为预算的89.1%，同比增长50%</w:t>
      </w:r>
      <w:r>
        <w:rPr>
          <w:rFonts w:hint="eastAsia" w:eastAsia="方正仿宋简体"/>
          <w:color w:val="000000"/>
          <w:sz w:val="32"/>
          <w:szCs w:val="32"/>
          <w:highlight w:val="none"/>
        </w:rPr>
        <w:t xml:space="preserve">（主要是补发教师单列核定绩效，以及财政对基本养老保险基金的补助增加）</w:t>
      </w:r>
      <w:r>
        <w:rPr>
          <w:rFonts w:eastAsia="方正仿宋简体"/>
          <w:color w:val="000000"/>
          <w:sz w:val="32"/>
          <w:szCs w:val="32"/>
          <w:highlight w:val="none"/>
        </w:rPr>
        <w:t xml:space="preserve">；转移性支出1.0</w:t>
      </w:r>
      <w:r>
        <w:rPr>
          <w:rFonts w:hint="eastAsia" w:eastAsia="方正仿宋简体"/>
          <w:color w:val="000000"/>
          <w:sz w:val="32"/>
          <w:szCs w:val="32"/>
          <w:highlight w:val="none"/>
        </w:rPr>
        <w:t xml:space="preserve">7</w:t>
      </w:r>
      <w:r>
        <w:rPr>
          <w:rFonts w:eastAsia="方正仿宋简体"/>
          <w:color w:val="000000"/>
          <w:sz w:val="32"/>
          <w:szCs w:val="32"/>
          <w:highlight w:val="none"/>
        </w:rPr>
        <w:t xml:space="preserve">亿元，为预算的151.9%，同比增长30.7%</w:t>
      </w:r>
      <w:r>
        <w:rPr>
          <w:rFonts w:hint="eastAsia" w:eastAsia="方正仿宋简体"/>
          <w:color w:val="000000"/>
          <w:sz w:val="32"/>
          <w:szCs w:val="32"/>
          <w:highlight w:val="none"/>
        </w:rPr>
        <w:t xml:space="preserve">（主要是上解支出增加）</w:t>
      </w:r>
      <w:r>
        <w:rPr>
          <w:rFonts w:eastAsia="方正仿宋简体"/>
          <w:color w:val="000000"/>
          <w:sz w:val="32"/>
          <w:szCs w:val="32"/>
          <w:highlight w:val="none"/>
        </w:rPr>
        <w:t xml:space="preserve">。收支相抵，当年收支平衡。</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4、大洪山风景名胜区一般公共预算收支决算情况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2023年，大洪山风景名胜区一般公共预算总收入0.94亿元，为预算的96%，同比减少1%，其中：地方一般公共预算收入0.28亿元，为预算的99.3%，同比增长159.3%（主要是2023年成功出让一宗矿产，非税收入增</w:t>
      </w:r>
      <w:r>
        <w:rPr>
          <w:rFonts w:hint="eastAsia" w:eastAsia="方正仿宋简体"/>
          <w:color w:val="000000"/>
          <w:sz w:val="32"/>
          <w:szCs w:val="32"/>
          <w:highlight w:val="none"/>
        </w:rPr>
        <w:t xml:space="preserve">加</w:t>
      </w:r>
      <w:r>
        <w:rPr>
          <w:rFonts w:eastAsia="方正仿宋简体"/>
          <w:color w:val="000000"/>
          <w:sz w:val="32"/>
          <w:szCs w:val="32"/>
          <w:highlight w:val="none"/>
        </w:rPr>
        <w:t xml:space="preserve">）；转移性收入0.6</w:t>
      </w:r>
      <w:r>
        <w:rPr>
          <w:rFonts w:hint="eastAsia" w:eastAsia="方正仿宋简体"/>
          <w:color w:val="000000"/>
          <w:sz w:val="32"/>
          <w:szCs w:val="32"/>
          <w:highlight w:val="none"/>
        </w:rPr>
        <w:t xml:space="preserve">6</w:t>
      </w:r>
      <w:r>
        <w:rPr>
          <w:rFonts w:eastAsia="方正仿宋简体"/>
          <w:color w:val="000000"/>
          <w:sz w:val="32"/>
          <w:szCs w:val="32"/>
          <w:highlight w:val="none"/>
        </w:rPr>
        <w:t xml:space="preserve">亿元，为预算的94.6%，同比减少21.9%（主要是上级转移支付收入减少及调入资金减少）。</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大洪山风景名胜区一般公共预算总支出0.94亿元，为预算的96%，同比减少1%，其中：地方一般公共预算支出0.85亿元，为预算的91.5%，同比减少7.8%（主要是转移支付支出减少）；转移性支出0.09亿元，为预算的176.5%，同比增长217.8%（主要是上解支出增加）。收支相抵，当年收支平衡。</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楷体_GB2312"/>
          <w:b/>
          <w:color w:val="000000"/>
          <w:sz w:val="32"/>
          <w:szCs w:val="32"/>
          <w:highlight w:val="none"/>
        </w:rPr>
      </w:pPr>
      <w:r>
        <w:rPr>
          <w:rFonts w:eastAsia="楷体_GB2312"/>
          <w:b/>
          <w:color w:val="000000"/>
          <w:sz w:val="32"/>
          <w:szCs w:val="32"/>
          <w:highlight w:val="none"/>
        </w:rPr>
        <w:t xml:space="preserve">（二）政府性基金预算收支决算情况</w:t>
      </w:r>
      <w:r>
        <w:rPr>
          <w:rFonts w:eastAsia="楷体_GB2312"/>
          <w:b/>
          <w:color w:val="000000"/>
          <w:sz w:val="32"/>
          <w:szCs w:val="32"/>
          <w:highlight w:val="none"/>
        </w:rPr>
      </w:r>
      <w:r>
        <w:rPr>
          <w:rFonts w:eastAsia="楷体_GB2312"/>
          <w:b/>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1、全市政府性基金预算收支决算情况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年，全市政府性基金预算总收入</w:t>
      </w:r>
      <w:r>
        <w:rPr>
          <w:rFonts w:hint="eastAsia" w:eastAsia="方正仿宋简体"/>
          <w:color w:val="000000"/>
          <w:sz w:val="32"/>
          <w:szCs w:val="32"/>
          <w:highlight w:val="none"/>
        </w:rPr>
        <w:t xml:space="preserve">84.52</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105.1</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减少11</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债务转贷收入减少</w:t>
      </w:r>
      <w:r>
        <w:rPr>
          <w:rFonts w:eastAsia="方正仿宋简体"/>
          <w:color w:val="000000"/>
          <w:sz w:val="32"/>
          <w:szCs w:val="32"/>
          <w:highlight w:val="none"/>
        </w:rPr>
        <w:t xml:space="preserve">），其中：地方政府</w:t>
      </w:r>
      <w:r>
        <w:rPr>
          <w:rFonts w:hint="eastAsia" w:eastAsia="方正仿宋简体"/>
          <w:color w:val="000000"/>
          <w:sz w:val="32"/>
          <w:szCs w:val="32"/>
          <w:highlight w:val="none"/>
        </w:rPr>
        <w:t xml:space="preserve">性</w:t>
      </w:r>
      <w:r>
        <w:rPr>
          <w:rFonts w:eastAsia="方正仿宋简体"/>
          <w:color w:val="000000"/>
          <w:sz w:val="32"/>
          <w:szCs w:val="32"/>
          <w:highlight w:val="none"/>
        </w:rPr>
        <w:t xml:space="preserve">基金收入</w:t>
      </w:r>
      <w:r>
        <w:rPr>
          <w:rFonts w:hint="eastAsia" w:eastAsia="方正仿宋简体"/>
          <w:color w:val="000000"/>
          <w:sz w:val="32"/>
          <w:szCs w:val="32"/>
          <w:highlight w:val="none"/>
        </w:rPr>
        <w:t xml:space="preserve">32.75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95.1</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15.7</w:t>
      </w:r>
      <w:r>
        <w:rPr>
          <w:rFonts w:eastAsia="方正仿宋简体"/>
          <w:color w:val="000000"/>
          <w:sz w:val="32"/>
          <w:szCs w:val="32"/>
          <w:highlight w:val="none"/>
        </w:rPr>
        <w:t xml:space="preserve">%；转移性收入</w:t>
      </w:r>
      <w:r>
        <w:rPr>
          <w:rFonts w:hint="eastAsia" w:eastAsia="方正仿宋简体"/>
          <w:color w:val="000000"/>
          <w:sz w:val="32"/>
          <w:szCs w:val="32"/>
          <w:highlight w:val="none"/>
        </w:rPr>
        <w:t xml:space="preserve">5.05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282.4</w:t>
      </w:r>
      <w:r>
        <w:rPr>
          <w:rFonts w:eastAsia="方正仿宋简体"/>
          <w:color w:val="000000"/>
          <w:sz w:val="32"/>
          <w:szCs w:val="32"/>
          <w:highlight w:val="none"/>
        </w:rPr>
        <w:t xml:space="preserve">%，同比增长</w:t>
      </w:r>
      <w:r>
        <w:rPr>
          <w:rFonts w:hint="eastAsia" w:eastAsia="方正仿宋简体"/>
          <w:color w:val="000000"/>
          <w:sz w:val="32"/>
          <w:szCs w:val="32"/>
          <w:highlight w:val="none"/>
        </w:rPr>
        <w:t xml:space="preserve">26.4</w:t>
      </w:r>
      <w:r>
        <w:rPr>
          <w:rFonts w:eastAsia="方正仿宋简体"/>
          <w:color w:val="000000"/>
          <w:sz w:val="32"/>
          <w:szCs w:val="32"/>
          <w:highlight w:val="none"/>
        </w:rPr>
        <w:t xml:space="preserve">%（主要是广水市年末收到大中型水库移民后期扶持基金收入增加</w:t>
      </w:r>
      <w:r>
        <w:rPr>
          <w:rFonts w:hint="eastAsia" w:eastAsia="方正仿宋简体"/>
          <w:color w:val="000000"/>
          <w:sz w:val="32"/>
          <w:szCs w:val="32"/>
          <w:highlight w:val="none"/>
        </w:rPr>
        <w:t xml:space="preserve">以及调入资金增加</w:t>
      </w:r>
      <w:r>
        <w:rPr>
          <w:rFonts w:eastAsia="方正仿宋简体"/>
          <w:color w:val="000000"/>
          <w:sz w:val="32"/>
          <w:szCs w:val="32"/>
          <w:highlight w:val="none"/>
        </w:rPr>
        <w:t xml:space="preserve">）；政府专项债券转贷收入</w:t>
      </w:r>
      <w:r>
        <w:rPr>
          <w:rFonts w:hint="eastAsia" w:eastAsia="方正仿宋简体"/>
          <w:color w:val="000000"/>
          <w:sz w:val="32"/>
          <w:szCs w:val="32"/>
          <w:highlight w:val="none"/>
        </w:rPr>
        <w:t xml:space="preserve">30.51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109.1</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减少31.6</w:t>
      </w:r>
      <w:r>
        <w:rPr>
          <w:rFonts w:eastAsia="方正仿宋简体"/>
          <w:color w:val="000000"/>
          <w:sz w:val="32"/>
          <w:szCs w:val="32"/>
          <w:highlight w:val="none"/>
        </w:rPr>
        <w:t xml:space="preserve">%；上年结余收入</w:t>
      </w:r>
      <w:r>
        <w:rPr>
          <w:rFonts w:hint="eastAsia" w:eastAsia="方正仿宋简体"/>
          <w:color w:val="000000"/>
          <w:sz w:val="32"/>
          <w:szCs w:val="32"/>
          <w:highlight w:val="none"/>
        </w:rPr>
        <w:t xml:space="preserve">16.21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减少10.1</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全市政府性基金预算总支出</w:t>
      </w:r>
      <w:r>
        <w:rPr>
          <w:rFonts w:hint="eastAsia" w:eastAsia="方正仿宋简体"/>
          <w:color w:val="000000"/>
          <w:sz w:val="32"/>
          <w:szCs w:val="32"/>
          <w:highlight w:val="none"/>
        </w:rPr>
        <w:t xml:space="preserve">61.05</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93.2</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减少22.5</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专项债券资金支出减少</w:t>
      </w:r>
      <w:r>
        <w:rPr>
          <w:rFonts w:eastAsia="方正仿宋简体"/>
          <w:color w:val="000000"/>
          <w:sz w:val="32"/>
          <w:szCs w:val="32"/>
          <w:highlight w:val="none"/>
        </w:rPr>
        <w:t xml:space="preserve">），其中：地方政府性基金支出</w:t>
      </w:r>
      <w:r>
        <w:rPr>
          <w:rFonts w:hint="eastAsia" w:eastAsia="方正仿宋简体"/>
          <w:color w:val="000000"/>
          <w:sz w:val="32"/>
          <w:szCs w:val="32"/>
          <w:highlight w:val="none"/>
        </w:rPr>
        <w:t xml:space="preserve">51.96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103.1</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减少17.5</w:t>
      </w:r>
      <w:r>
        <w:rPr>
          <w:rFonts w:eastAsia="方正仿宋简体"/>
          <w:color w:val="000000"/>
          <w:sz w:val="32"/>
          <w:szCs w:val="32"/>
          <w:highlight w:val="none"/>
        </w:rPr>
        <w:t xml:space="preserve">%；转移性支出</w:t>
      </w:r>
      <w:r>
        <w:rPr>
          <w:rFonts w:hint="eastAsia" w:eastAsia="方正仿宋简体"/>
          <w:color w:val="000000"/>
          <w:sz w:val="32"/>
          <w:szCs w:val="32"/>
          <w:highlight w:val="none"/>
        </w:rPr>
        <w:t xml:space="preserve">3.27</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35.4</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（主要是调出资金减少）</w:t>
      </w:r>
      <w:r>
        <w:rPr>
          <w:rFonts w:eastAsia="方正仿宋简体"/>
          <w:color w:val="000000"/>
          <w:sz w:val="32"/>
          <w:szCs w:val="32"/>
          <w:highlight w:val="none"/>
        </w:rPr>
        <w:t xml:space="preserve">；政府专项债券还本支出</w:t>
      </w:r>
      <w:r>
        <w:rPr>
          <w:rFonts w:hint="eastAsia" w:eastAsia="方正仿宋简体"/>
          <w:color w:val="000000"/>
          <w:sz w:val="32"/>
          <w:szCs w:val="32"/>
          <w:highlight w:val="none"/>
        </w:rPr>
        <w:t xml:space="preserve">5.82</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减少61.1</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（主要是到期专项债券减少，还本支出减少）</w:t>
      </w:r>
      <w:r>
        <w:rPr>
          <w:rFonts w:eastAsia="方正仿宋简体"/>
          <w:color w:val="000000"/>
          <w:sz w:val="32"/>
          <w:szCs w:val="32"/>
          <w:highlight w:val="none"/>
        </w:rPr>
        <w:t xml:space="preserve">。收支相抵，当年结余</w:t>
      </w:r>
      <w:r>
        <w:rPr>
          <w:rFonts w:hint="eastAsia" w:eastAsia="方正仿宋简体"/>
          <w:color w:val="000000"/>
          <w:sz w:val="32"/>
          <w:szCs w:val="32"/>
          <w:highlight w:val="none"/>
        </w:rPr>
        <w:t xml:space="preserve">23.46</w:t>
      </w:r>
      <w:r>
        <w:rPr>
          <w:rFonts w:eastAsia="方正仿宋简体"/>
          <w:color w:val="000000"/>
          <w:sz w:val="32"/>
          <w:szCs w:val="32"/>
          <w:highlight w:val="none"/>
        </w:rPr>
        <w:t xml:space="preserve">亿元（主要是年末下达的专项债券暂未形成支出）。</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2、市本级政府性基金预算收支决算情况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年，市本级政府性基金预算总收入</w:t>
      </w:r>
      <w:r>
        <w:rPr>
          <w:rFonts w:hint="eastAsia" w:eastAsia="方正仿宋简体"/>
          <w:color w:val="000000"/>
          <w:sz w:val="32"/>
          <w:szCs w:val="32"/>
          <w:highlight w:val="none"/>
        </w:rPr>
        <w:t xml:space="preserve">28.91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99.8</w:t>
      </w:r>
      <w:r>
        <w:rPr>
          <w:rFonts w:eastAsia="方正仿宋简体"/>
          <w:color w:val="000000"/>
          <w:sz w:val="32"/>
          <w:szCs w:val="32"/>
          <w:highlight w:val="none"/>
        </w:rPr>
        <w:t xml:space="preserve">%，同比减少</w:t>
      </w:r>
      <w:r>
        <w:rPr>
          <w:rFonts w:hint="eastAsia" w:eastAsia="方正仿宋简体"/>
          <w:color w:val="000000"/>
          <w:sz w:val="32"/>
          <w:szCs w:val="32"/>
          <w:highlight w:val="none"/>
        </w:rPr>
        <w:t xml:space="preserve">11.6</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（主要是上年结余收入减少）</w:t>
      </w:r>
      <w:r>
        <w:rPr>
          <w:rFonts w:eastAsia="方正仿宋简体"/>
          <w:color w:val="000000"/>
          <w:sz w:val="32"/>
          <w:szCs w:val="32"/>
          <w:highlight w:val="none"/>
        </w:rPr>
        <w:t xml:space="preserve">，其中：地方政府性基金收入</w:t>
      </w:r>
      <w:r>
        <w:rPr>
          <w:rFonts w:hint="eastAsia" w:eastAsia="方正仿宋简体"/>
          <w:color w:val="000000"/>
          <w:sz w:val="32"/>
          <w:szCs w:val="32"/>
          <w:highlight w:val="none"/>
        </w:rPr>
        <w:t xml:space="preserve">12.56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增长4.4</w:t>
      </w:r>
      <w:r>
        <w:rPr>
          <w:rFonts w:eastAsia="方正仿宋简体"/>
          <w:color w:val="000000"/>
          <w:sz w:val="32"/>
          <w:szCs w:val="32"/>
          <w:highlight w:val="none"/>
        </w:rPr>
        <w:t xml:space="preserve">%；转移性收入</w:t>
      </w:r>
      <w:r>
        <w:rPr>
          <w:rFonts w:hint="eastAsia" w:eastAsia="方正仿宋简体"/>
          <w:color w:val="000000"/>
          <w:sz w:val="32"/>
          <w:szCs w:val="32"/>
          <w:highlight w:val="none"/>
        </w:rPr>
        <w:t xml:space="preserve">0.94</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94.3</w:t>
      </w:r>
      <w:r>
        <w:rPr>
          <w:rFonts w:eastAsia="方正仿宋简体"/>
          <w:color w:val="000000"/>
          <w:sz w:val="32"/>
          <w:szCs w:val="32"/>
          <w:highlight w:val="none"/>
        </w:rPr>
        <w:t xml:space="preserve">%，同比增</w:t>
      </w:r>
      <w:r>
        <w:rPr>
          <w:rFonts w:hint="eastAsia" w:eastAsia="方正仿宋简体"/>
          <w:color w:val="000000"/>
          <w:sz w:val="32"/>
          <w:szCs w:val="32"/>
          <w:highlight w:val="none"/>
        </w:rPr>
        <w:t xml:space="preserve">长20.7</w:t>
      </w:r>
      <w:r>
        <w:rPr>
          <w:rFonts w:eastAsia="方正仿宋简体"/>
          <w:color w:val="000000"/>
          <w:sz w:val="32"/>
          <w:szCs w:val="32"/>
          <w:highlight w:val="none"/>
        </w:rPr>
        <w:t xml:space="preserve">%；政府专项债券转贷收入</w:t>
      </w:r>
      <w:r>
        <w:rPr>
          <w:rFonts w:hint="eastAsia" w:eastAsia="方正仿宋简体"/>
          <w:color w:val="000000"/>
          <w:sz w:val="32"/>
          <w:szCs w:val="32"/>
          <w:highlight w:val="none"/>
        </w:rPr>
        <w:t xml:space="preserve">10.67</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增长17.1</w:t>
      </w:r>
      <w:r>
        <w:rPr>
          <w:rFonts w:eastAsia="方正仿宋简体"/>
          <w:color w:val="000000"/>
          <w:sz w:val="32"/>
          <w:szCs w:val="32"/>
          <w:highlight w:val="none"/>
        </w:rPr>
        <w:t xml:space="preserve">%；上年结余收入</w:t>
      </w:r>
      <w:r>
        <w:rPr>
          <w:rFonts w:hint="eastAsia" w:eastAsia="方正仿宋简体"/>
          <w:color w:val="000000"/>
          <w:sz w:val="32"/>
          <w:szCs w:val="32"/>
          <w:highlight w:val="none"/>
        </w:rPr>
        <w:t xml:space="preserve">4.74</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，同比减少56.1%</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市本级政府性基金预算总支出</w:t>
      </w:r>
      <w:r>
        <w:rPr>
          <w:rFonts w:hint="eastAsia" w:eastAsia="方正仿宋简体"/>
          <w:color w:val="000000"/>
          <w:sz w:val="32"/>
          <w:szCs w:val="32"/>
          <w:highlight w:val="none"/>
        </w:rPr>
        <w:t xml:space="preserve">18.71</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96.8</w:t>
      </w:r>
      <w:r>
        <w:rPr>
          <w:rFonts w:eastAsia="方正仿宋简体"/>
          <w:color w:val="000000"/>
          <w:sz w:val="32"/>
          <w:szCs w:val="32"/>
          <w:highlight w:val="none"/>
        </w:rPr>
        <w:t xml:space="preserve">%，同比减少</w:t>
      </w:r>
      <w:r>
        <w:rPr>
          <w:rFonts w:hint="eastAsia" w:eastAsia="方正仿宋简体"/>
          <w:color w:val="000000"/>
          <w:sz w:val="32"/>
          <w:szCs w:val="32"/>
          <w:highlight w:val="none"/>
        </w:rPr>
        <w:t xml:space="preserve">33.1</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（主要是上年结转支出减少）</w:t>
      </w:r>
      <w:r>
        <w:rPr>
          <w:rFonts w:eastAsia="方正仿宋简体"/>
          <w:color w:val="000000"/>
          <w:sz w:val="32"/>
          <w:szCs w:val="32"/>
          <w:highlight w:val="none"/>
        </w:rPr>
        <w:t xml:space="preserve">，其中：地方政府性基金支出</w:t>
      </w:r>
      <w:r>
        <w:rPr>
          <w:rFonts w:hint="eastAsia" w:eastAsia="方正仿宋简体"/>
          <w:color w:val="000000"/>
          <w:sz w:val="32"/>
          <w:szCs w:val="32"/>
          <w:highlight w:val="none"/>
        </w:rPr>
        <w:t xml:space="preserve">16.46</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%，同比减少</w:t>
      </w:r>
      <w:r>
        <w:rPr>
          <w:rFonts w:hint="eastAsia" w:eastAsia="方正仿宋简体"/>
          <w:color w:val="000000"/>
          <w:sz w:val="32"/>
          <w:szCs w:val="32"/>
          <w:highlight w:val="none"/>
        </w:rPr>
        <w:t xml:space="preserve">31.3</w:t>
      </w:r>
      <w:r>
        <w:rPr>
          <w:rFonts w:eastAsia="方正仿宋简体"/>
          <w:color w:val="000000"/>
          <w:sz w:val="32"/>
          <w:szCs w:val="32"/>
          <w:highlight w:val="none"/>
        </w:rPr>
        <w:t xml:space="preserve">%；转移性支出</w:t>
      </w:r>
      <w:r>
        <w:rPr>
          <w:rFonts w:hint="eastAsia" w:eastAsia="方正仿宋简体"/>
          <w:color w:val="000000"/>
          <w:sz w:val="32"/>
          <w:szCs w:val="32"/>
          <w:highlight w:val="none"/>
        </w:rPr>
        <w:t xml:space="preserve">0.38</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38.1</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（主要是调出资金减少）</w:t>
      </w:r>
      <w:r>
        <w:rPr>
          <w:rFonts w:eastAsia="方正仿宋简体"/>
          <w:color w:val="000000"/>
          <w:sz w:val="32"/>
          <w:szCs w:val="32"/>
          <w:highlight w:val="none"/>
        </w:rPr>
        <w:t xml:space="preserve">；政府专项债券还本支出</w:t>
      </w:r>
      <w:r>
        <w:rPr>
          <w:rFonts w:hint="eastAsia" w:eastAsia="方正仿宋简体"/>
          <w:color w:val="000000"/>
          <w:sz w:val="32"/>
          <w:szCs w:val="32"/>
          <w:highlight w:val="none"/>
        </w:rPr>
        <w:t xml:space="preserve">1.87</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减少50.4</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（主要是到期专项债券减少）</w:t>
      </w:r>
      <w:r>
        <w:rPr>
          <w:rFonts w:eastAsia="方正仿宋简体"/>
          <w:color w:val="000000"/>
          <w:sz w:val="32"/>
          <w:szCs w:val="32"/>
          <w:highlight w:val="none"/>
        </w:rPr>
        <w:t xml:space="preserve">。收支相抵，当年结余</w:t>
      </w:r>
      <w:r>
        <w:rPr>
          <w:rFonts w:hint="eastAsia" w:eastAsia="方正仿宋简体"/>
          <w:color w:val="000000"/>
          <w:sz w:val="32"/>
          <w:szCs w:val="32"/>
          <w:highlight w:val="none"/>
        </w:rPr>
        <w:t xml:space="preserve">10.2</w:t>
      </w:r>
      <w:r>
        <w:rPr>
          <w:rFonts w:eastAsia="方正仿宋简体"/>
          <w:color w:val="000000"/>
          <w:sz w:val="32"/>
          <w:szCs w:val="32"/>
          <w:highlight w:val="none"/>
        </w:rPr>
        <w:t xml:space="preserve">亿元（主要是年末发行的专项债券暂未形成支出）。</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3、高新区政府性基金预算收支决算情况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2023年，高新区政府性基金预算总收入2.63亿元，为预算的56.9%（主要是土地出让收入不及预期）</w:t>
      </w:r>
      <w:r>
        <w:rPr>
          <w:rFonts w:hint="eastAsia" w:eastAsia="方正仿宋简体"/>
          <w:color w:val="000000"/>
          <w:sz w:val="32"/>
          <w:szCs w:val="32"/>
          <w:highlight w:val="none"/>
        </w:rPr>
        <w:t xml:space="preserve">，</w:t>
      </w:r>
      <w:r>
        <w:rPr>
          <w:rFonts w:eastAsia="方正仿宋简体"/>
          <w:color w:val="000000"/>
          <w:sz w:val="32"/>
          <w:szCs w:val="32"/>
          <w:highlight w:val="none"/>
        </w:rPr>
        <w:t xml:space="preserve">同比增加11.6%，其中：地方政府性基金收入1.73亿元，为预算的46.5%，同比减少30.4%；转移性收入0.9亿元，为预算的99%。</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高新区政府性基金预算总支出2.58亿元，为预算的55.9%</w:t>
      </w:r>
      <w:r>
        <w:rPr>
          <w:rFonts w:hint="eastAsia" w:eastAsia="方正仿宋简体"/>
          <w:color w:val="000000"/>
          <w:sz w:val="32"/>
          <w:szCs w:val="32"/>
          <w:highlight w:val="none"/>
        </w:rPr>
        <w:t xml:space="preserve">（主要是调出资金减少）</w:t>
      </w:r>
      <w:r>
        <w:rPr>
          <w:rFonts w:eastAsia="方正仿宋简体"/>
          <w:color w:val="000000"/>
          <w:sz w:val="32"/>
          <w:szCs w:val="32"/>
          <w:highlight w:val="none"/>
        </w:rPr>
        <w:t xml:space="preserve">，同比增长74%（主要是拨付耕地占用税</w:t>
      </w:r>
      <w:r>
        <w:rPr>
          <w:rFonts w:hint="eastAsia" w:eastAsia="方正仿宋简体"/>
          <w:color w:val="000000"/>
          <w:sz w:val="32"/>
          <w:szCs w:val="32"/>
          <w:highlight w:val="none"/>
        </w:rPr>
        <w:t xml:space="preserve">和</w:t>
      </w:r>
      <w:r>
        <w:rPr>
          <w:rFonts w:eastAsia="方正仿宋简体"/>
          <w:color w:val="000000"/>
          <w:sz w:val="32"/>
          <w:szCs w:val="32"/>
          <w:highlight w:val="none"/>
        </w:rPr>
        <w:t xml:space="preserve">耕地开垦费</w:t>
      </w:r>
      <w:r>
        <w:rPr>
          <w:rFonts w:hint="eastAsia" w:eastAsia="方正仿宋简体"/>
          <w:color w:val="000000"/>
          <w:sz w:val="32"/>
          <w:szCs w:val="32"/>
          <w:highlight w:val="none"/>
        </w:rPr>
        <w:t xml:space="preserve">支出增加</w:t>
      </w:r>
      <w:r>
        <w:rPr>
          <w:rFonts w:eastAsia="方正仿宋简体"/>
          <w:color w:val="000000"/>
          <w:sz w:val="32"/>
          <w:szCs w:val="32"/>
          <w:highlight w:val="none"/>
        </w:rPr>
        <w:t xml:space="preserve">），其中：地方政府性基金支出1.73亿元，为预算的148%，同比增长16.4%；转移性支出0.85亿元，为预算的24.8%。收支相抵，当年结余0.05亿元。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4、大洪山风景名胜区政府性基金预算收支决算情况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2023年，大洪山风景名胜区政府性基金预算总收入0.06亿元，为预算的95%，同比减少3%，其中：地方政府性基金收入0.1</w:t>
      </w:r>
      <w:r>
        <w:rPr>
          <w:rFonts w:hint="eastAsia" w:eastAsia="方正仿宋简体"/>
          <w:color w:val="000000"/>
          <w:sz w:val="32"/>
          <w:szCs w:val="32"/>
          <w:highlight w:val="none"/>
        </w:rPr>
        <w:t xml:space="preserve">2</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94</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8</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减少3%</w:t>
      </w:r>
      <w:r>
        <w:rPr>
          <w:rFonts w:eastAsia="方正仿宋简体"/>
          <w:color w:val="000000"/>
          <w:sz w:val="32"/>
          <w:szCs w:val="32"/>
          <w:highlight w:val="none"/>
        </w:rPr>
        <w:t xml:space="preserve">；转移性收入-0.06亿元（主要是曾都区代为发行的专项债券付息在此以负数反映）。</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大洪山风景名胜区政府性基金预算总支出0.06亿元，</w:t>
      </w:r>
      <w:r>
        <w:rPr>
          <w:rFonts w:hint="eastAsia" w:eastAsia="方正仿宋简体"/>
          <w:color w:val="000000"/>
          <w:sz w:val="32"/>
          <w:szCs w:val="32"/>
          <w:highlight w:val="none"/>
        </w:rPr>
        <w:t xml:space="preserve">为预算的95%，</w:t>
      </w:r>
      <w:r>
        <w:rPr>
          <w:rFonts w:eastAsia="方正仿宋简体"/>
          <w:color w:val="000000"/>
          <w:sz w:val="32"/>
          <w:szCs w:val="32"/>
          <w:highlight w:val="none"/>
        </w:rPr>
        <w:t xml:space="preserve">同比减少3%，其中：地方政府性基金支出0.02亿元，为预算的</w:t>
      </w:r>
      <w:r>
        <w:rPr>
          <w:rFonts w:hint="eastAsia" w:eastAsia="方正仿宋简体"/>
          <w:color w:val="000000"/>
          <w:sz w:val="32"/>
          <w:szCs w:val="32"/>
          <w:highlight w:val="none"/>
        </w:rPr>
        <w:t xml:space="preserve">94</w:t>
      </w:r>
      <w:r>
        <w:rPr>
          <w:rFonts w:eastAsia="方正仿宋简体"/>
          <w:color w:val="000000"/>
          <w:sz w:val="32"/>
          <w:szCs w:val="32"/>
          <w:highlight w:val="none"/>
        </w:rPr>
        <w:t xml:space="preserve">%；转移性支出0.04亿元，为预算的</w:t>
      </w:r>
      <w:r>
        <w:rPr>
          <w:rFonts w:hint="eastAsia" w:eastAsia="方正仿宋简体"/>
          <w:color w:val="000000"/>
          <w:sz w:val="32"/>
          <w:szCs w:val="32"/>
          <w:highlight w:val="none"/>
        </w:rPr>
        <w:t xml:space="preserve">96</w:t>
      </w:r>
      <w:r>
        <w:rPr>
          <w:rFonts w:eastAsia="方正仿宋简体"/>
          <w:color w:val="000000"/>
          <w:sz w:val="32"/>
          <w:szCs w:val="32"/>
          <w:highlight w:val="none"/>
        </w:rPr>
        <w:t xml:space="preserve">%。收支相抵，当年结余16万元。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楷体_GB2312"/>
          <w:b/>
          <w:color w:val="000000"/>
          <w:sz w:val="32"/>
          <w:szCs w:val="32"/>
          <w:highlight w:val="none"/>
        </w:rPr>
        <w:t xml:space="preserve">（三）社会保险基金预算收支决算情况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1、全市社会保险基金预算收支决算情况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全市社会保险基金总收入75.24亿元，为预算的127.6%，同比增长33.6%（主要是2023年机关事业单位基本养老保险缴费基数调增，对2022年基数差额进行补收，保费收入较上年增长较快），其中：城乡居民基本养老保险基金收入13.48亿元，为预算的104%，同比增长20.5%</w:t>
      </w:r>
      <w:r>
        <w:rPr>
          <w:rFonts w:hint="eastAsia" w:eastAsia="方正仿宋简体"/>
          <w:color w:val="000000"/>
          <w:sz w:val="32"/>
          <w:szCs w:val="32"/>
          <w:highlight w:val="none"/>
        </w:rPr>
        <w:t xml:space="preserve">（主要是由于系统清算滞后，2023年支出包含2022年清算费用）</w:t>
      </w:r>
      <w:r>
        <w:rPr>
          <w:rFonts w:eastAsia="方正仿宋简体"/>
          <w:color w:val="000000"/>
          <w:sz w:val="32"/>
          <w:szCs w:val="32"/>
          <w:highlight w:val="none"/>
        </w:rPr>
        <w:t xml:space="preserve">；机关事业单位基本养老保险基金收入33.67亿元，为预算的184%，同比增长90.3%；职工基本医疗保险基金收入9.88亿元，为预算的103%，同比增长3.2%；城乡居民基本医疗保险基金收入17.97亿元，为预算的100.1%，同比增长5%；工伤保险基金收入0.24亿元，为预算的144.4%，同比增长52.1%</w:t>
      </w:r>
      <w:r>
        <w:rPr>
          <w:rFonts w:hint="eastAsia" w:eastAsia="方正仿宋简体"/>
          <w:color w:val="000000"/>
          <w:sz w:val="32"/>
          <w:szCs w:val="32"/>
          <w:highlight w:val="none"/>
        </w:rPr>
        <w:t xml:space="preserve">（主要是工伤保险费率减半政策变更为费率下降20%，以及2023年将公务员纳入参保范围，保费增长较快）</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全市社会保险基金总支出54.84亿元，为预算的109.3%，同比增长13.1%（主要是2023年居民医保和职工医保支出包括2022年未清算的定点医疗机构费用，以及城乡居民养老保险中央和地方基础养老金提标</w:t>
      </w:r>
      <w:r>
        <w:rPr>
          <w:rFonts w:hint="eastAsia" w:eastAsia="方正仿宋简体"/>
          <w:color w:val="000000"/>
          <w:sz w:val="32"/>
          <w:szCs w:val="32"/>
          <w:highlight w:val="none"/>
        </w:rPr>
        <w:t xml:space="preserve">、广水市补发以前年度机关事业单位基本养老保险基金</w:t>
      </w:r>
      <w:r>
        <w:rPr>
          <w:rFonts w:eastAsia="方正仿宋简体"/>
          <w:color w:val="000000"/>
          <w:sz w:val="32"/>
          <w:szCs w:val="32"/>
          <w:highlight w:val="none"/>
        </w:rPr>
        <w:t xml:space="preserve">），其中：城乡居民基本养老保险基金支出8.62亿元，为预算的105.7%，同比增长18.1%；机关事业单位基本养老保险基金支出19.6</w:t>
      </w:r>
      <w:r>
        <w:rPr>
          <w:rFonts w:hint="eastAsia" w:eastAsia="方正仿宋简体"/>
          <w:color w:val="000000"/>
          <w:sz w:val="32"/>
          <w:szCs w:val="32"/>
          <w:highlight w:val="none"/>
        </w:rPr>
        <w:t xml:space="preserve">7</w:t>
      </w:r>
      <w:r>
        <w:rPr>
          <w:rFonts w:eastAsia="方正仿宋简体"/>
          <w:color w:val="000000"/>
          <w:sz w:val="32"/>
          <w:szCs w:val="32"/>
          <w:highlight w:val="none"/>
        </w:rPr>
        <w:t xml:space="preserve">亿元，为预算的107.5%，同比增长15.2%；职工基本医疗保险基金支出8.11亿元，为预算的122.3%，同比增长27.9%；城乡居民基本医疗保险基金支出18.03亿元，为预算的107.9%，同比增长5.4%；工伤保险基金支出0.41亿元，为预算的114.4%，同比增长40.2%（</w:t>
      </w:r>
      <w:r>
        <w:rPr>
          <w:rFonts w:hint="eastAsia" w:eastAsia="方正仿宋简体"/>
          <w:color w:val="000000"/>
          <w:sz w:val="32"/>
          <w:szCs w:val="32"/>
          <w:highlight w:val="none"/>
        </w:rPr>
        <w:t xml:space="preserve">主要是2023年工伤人数比上年增加</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社会保险基金收支相抵，当年结余20.4亿元，累计结余71.18亿元。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2、市本级社会保险基金预算收支决算情况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2023年，市本级社会保险基金总收入8</w:t>
      </w:r>
      <w:r>
        <w:rPr>
          <w:rFonts w:eastAsia="方正仿宋简体"/>
          <w:color w:val="000000"/>
          <w:sz w:val="32"/>
          <w:szCs w:val="32"/>
          <w:highlight w:val="none"/>
        </w:rPr>
        <w:t xml:space="preserve">.97亿元，为预算的103.1%，同比增长30.8%（主要是2023年机关事业单位基本养老保险缴费基数调增，对2022年基数差额进行补收，保费收入较上年增长较快），其中：机关事业单位基本养老保险基金收入5.55亿元，为预算的103.9%，同比增长65.1%；城镇职工基本医疗保险基金收入3.33亿元，为预算的101.2%，同比增长5.1%；工伤保险基金收入0.09亿元，为预算的134.4%，同比增长56.9%（主要是工伤保险费率减半政策变更为费率下降20%，以及2023年将公务员纳入参保范围，保费增长较快）。</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市本级社会保险基金总支出6.28亿元，为预算的97.6%，同比增长17.9%（主要是2023年职工医保支出包括2022年未清算的定点医疗机构费用</w:t>
      </w:r>
      <w:r>
        <w:rPr>
          <w:rFonts w:hint="eastAsia" w:eastAsia="方正仿宋简体"/>
          <w:color w:val="000000"/>
          <w:sz w:val="32"/>
          <w:szCs w:val="32"/>
          <w:highlight w:val="none"/>
        </w:rPr>
        <w:t xml:space="preserve">，以及清算以前年度基本养老金支出增加</w:t>
      </w:r>
      <w:r>
        <w:rPr>
          <w:rFonts w:eastAsia="方正仿宋简体"/>
          <w:color w:val="000000"/>
          <w:sz w:val="32"/>
          <w:szCs w:val="32"/>
          <w:highlight w:val="none"/>
        </w:rPr>
        <w:t xml:space="preserve">），其中：机关事业单位基本养老保险基金支出3.81亿元，为预算的101%，同比增长15.2%；城镇职工基本医疗保险基金支出2.35亿元，为预算的94.6%，同比增长32.7%；工伤保险基金支出0.12亿元，为预算的67.5%（主要是市本级实际工伤人数较预算人数少），同比增长21.5%。</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仿宋"/>
          <w:color w:val="000000"/>
          <w:sz w:val="32"/>
          <w:szCs w:val="32"/>
          <w:highlight w:val="none"/>
        </w:rPr>
      </w:pPr>
      <w:r>
        <w:rPr>
          <w:rFonts w:eastAsia="方正仿宋简体"/>
          <w:color w:val="000000"/>
          <w:sz w:val="32"/>
          <w:szCs w:val="32"/>
          <w:highlight w:val="none"/>
        </w:rPr>
        <w:t xml:space="preserve">社会保险基金收支相抵，当年结余2.69亿元，累计结余11.47亿元</w:t>
      </w:r>
      <w:r>
        <w:rPr>
          <w:rFonts w:eastAsia="仿宋"/>
          <w:color w:val="000000"/>
          <w:sz w:val="32"/>
          <w:szCs w:val="32"/>
          <w:highlight w:val="none"/>
        </w:rPr>
        <w:t xml:space="preserve">。</w:t>
      </w:r>
      <w:r>
        <w:rPr>
          <w:rFonts w:eastAsia="仿宋"/>
          <w:color w:val="000000"/>
          <w:sz w:val="32"/>
          <w:szCs w:val="32"/>
          <w:highlight w:val="none"/>
        </w:rPr>
      </w:r>
      <w:r>
        <w:rPr>
          <w:rFonts w:eastAsia="仿宋"/>
          <w:color w:val="000000"/>
          <w:sz w:val="32"/>
          <w:szCs w:val="32"/>
          <w:highlight w:val="none"/>
        </w:rPr>
      </w:r>
    </w:p>
    <w:p>
      <w:pPr>
        <w:pStyle w:val="684"/>
        <w:keepNext w:val="false"/>
        <w:keepLines w:val="false"/>
        <w:pageBreakBefore w:val="false"/>
        <w:widowControl w:val="false"/>
        <w:pBdr/>
        <w:spacing w:line="620" w:lineRule="exact"/>
        <w:ind w:firstLine="643"/>
        <w:rPr>
          <w:rFonts w:eastAsia="楷体_GB2312"/>
          <w:b/>
          <w:color w:val="000000"/>
          <w:sz w:val="32"/>
          <w:szCs w:val="32"/>
          <w:highlight w:val="none"/>
        </w:rPr>
      </w:pPr>
      <w:r>
        <w:rPr>
          <w:rFonts w:eastAsia="楷体_GB2312"/>
          <w:b/>
          <w:color w:val="000000"/>
          <w:sz w:val="32"/>
          <w:szCs w:val="32"/>
          <w:highlight w:val="none"/>
        </w:rPr>
        <w:t xml:space="preserve">（四）国有资本经营预算收支决算情况</w:t>
      </w:r>
      <w:r>
        <w:rPr>
          <w:rFonts w:eastAsia="楷体_GB2312"/>
          <w:b/>
          <w:color w:val="000000"/>
          <w:sz w:val="32"/>
          <w:szCs w:val="32"/>
          <w:highlight w:val="none"/>
        </w:rPr>
      </w:r>
      <w:r>
        <w:rPr>
          <w:rFonts w:eastAsia="楷体_GB2312"/>
          <w:b/>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1、全市国有资本经营预算收支决算情况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年，全市国有资本经营预算总收入</w:t>
      </w:r>
      <w:r>
        <w:rPr>
          <w:rFonts w:hint="eastAsia" w:eastAsia="方正仿宋简体"/>
          <w:color w:val="000000"/>
          <w:sz w:val="32"/>
          <w:szCs w:val="32"/>
          <w:highlight w:val="none"/>
        </w:rPr>
        <w:t xml:space="preserve">3.43</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94.3</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减少43.6</w:t>
      </w:r>
      <w:r>
        <w:rPr>
          <w:rFonts w:eastAsia="方正仿宋简体"/>
          <w:color w:val="000000"/>
          <w:sz w:val="32"/>
          <w:szCs w:val="32"/>
          <w:highlight w:val="none"/>
        </w:rPr>
        <w:t xml:space="preserve">%（主要是</w:t>
      </w:r>
      <w:r>
        <w:rPr>
          <w:rFonts w:hint="eastAsia" w:eastAsia="方正仿宋简体"/>
          <w:color w:val="000000"/>
          <w:sz w:val="32"/>
          <w:szCs w:val="32"/>
          <w:highlight w:val="none"/>
        </w:rPr>
        <w:t xml:space="preserve">随县政府参股的石材企业当年未形成经营收入</w:t>
      </w:r>
      <w:r>
        <w:rPr>
          <w:rFonts w:eastAsia="方正仿宋简体"/>
          <w:color w:val="000000"/>
          <w:sz w:val="32"/>
          <w:szCs w:val="32"/>
          <w:highlight w:val="none"/>
        </w:rPr>
        <w:t xml:space="preserve">）。全市国有资本经营预算总支出</w:t>
      </w:r>
      <w:r>
        <w:rPr>
          <w:rFonts w:hint="eastAsia" w:eastAsia="方正仿宋简体"/>
          <w:color w:val="000000"/>
          <w:sz w:val="32"/>
          <w:szCs w:val="32"/>
          <w:highlight w:val="none"/>
        </w:rPr>
        <w:t xml:space="preserve">3.37</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96.9</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减少33.1</w:t>
      </w:r>
      <w:r>
        <w:rPr>
          <w:rFonts w:eastAsia="方正仿宋简体"/>
          <w:color w:val="000000"/>
          <w:sz w:val="32"/>
          <w:szCs w:val="32"/>
          <w:highlight w:val="none"/>
        </w:rPr>
        <w:t xml:space="preserve">%（主要</w:t>
      </w:r>
      <w:r>
        <w:rPr>
          <w:rFonts w:hint="eastAsia" w:eastAsia="方正仿宋简体"/>
          <w:color w:val="000000"/>
          <w:sz w:val="32"/>
          <w:szCs w:val="32"/>
          <w:highlight w:val="none"/>
        </w:rPr>
        <w:t xml:space="preserve">是收入未实现，支出减少</w:t>
      </w:r>
      <w:r>
        <w:rPr>
          <w:rFonts w:eastAsia="方正仿宋简体"/>
          <w:color w:val="000000"/>
          <w:sz w:val="32"/>
          <w:szCs w:val="32"/>
          <w:highlight w:val="none"/>
        </w:rPr>
        <w:t xml:space="preserve">）。收支相抵，当年结余</w:t>
      </w:r>
      <w:r>
        <w:rPr>
          <w:rFonts w:hint="eastAsia" w:eastAsia="方正仿宋简体"/>
          <w:color w:val="000000"/>
          <w:sz w:val="32"/>
          <w:szCs w:val="32"/>
          <w:highlight w:val="none"/>
        </w:rPr>
        <w:t xml:space="preserve">0.06</w:t>
      </w:r>
      <w:r>
        <w:rPr>
          <w:rFonts w:eastAsia="方正仿宋简体"/>
          <w:color w:val="000000"/>
          <w:sz w:val="32"/>
          <w:szCs w:val="32"/>
          <w:highlight w:val="none"/>
        </w:rPr>
        <w:t xml:space="preserve">亿元。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b/>
          <w:bCs/>
          <w:color w:val="000000"/>
          <w:sz w:val="32"/>
          <w:szCs w:val="32"/>
          <w:highlight w:val="none"/>
        </w:rPr>
      </w:pPr>
      <w:r>
        <w:rPr>
          <w:rFonts w:eastAsia="方正仿宋简体"/>
          <w:b/>
          <w:bCs/>
          <w:color w:val="000000"/>
          <w:sz w:val="32"/>
          <w:szCs w:val="32"/>
          <w:highlight w:val="none"/>
        </w:rPr>
        <w:t xml:space="preserve">2、市本级国有资本经营预算收支决算情况</w:t>
      </w:r>
      <w:r>
        <w:rPr>
          <w:rFonts w:eastAsia="方正仿宋简体"/>
          <w:b/>
          <w:bCs/>
          <w:color w:val="000000"/>
          <w:sz w:val="32"/>
          <w:szCs w:val="32"/>
          <w:highlight w:val="none"/>
        </w:rPr>
      </w:r>
      <w:r>
        <w:rPr>
          <w:rFonts w:eastAsia="方正仿宋简体"/>
          <w:b/>
          <w:bCs/>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年，市本级国有资本经营预算总收入</w:t>
      </w:r>
      <w:r>
        <w:rPr>
          <w:rFonts w:hint="eastAsia" w:eastAsia="方正仿宋简体"/>
          <w:color w:val="000000"/>
          <w:sz w:val="32"/>
          <w:szCs w:val="32"/>
          <w:highlight w:val="none"/>
        </w:rPr>
        <w:t xml:space="preserve">0.89</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100.5</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减少5</w:t>
      </w:r>
      <w:r>
        <w:rPr>
          <w:rFonts w:eastAsia="方正仿宋简体"/>
          <w:color w:val="000000"/>
          <w:sz w:val="32"/>
          <w:szCs w:val="32"/>
          <w:highlight w:val="none"/>
        </w:rPr>
        <w:t xml:space="preserve">%。国有资本经营预算总支出</w:t>
      </w:r>
      <w:r>
        <w:rPr>
          <w:rFonts w:hint="eastAsia" w:eastAsia="方正仿宋简体"/>
          <w:color w:val="000000"/>
          <w:sz w:val="32"/>
          <w:szCs w:val="32"/>
          <w:highlight w:val="none"/>
        </w:rPr>
        <w:t xml:space="preserve">0.89</w:t>
      </w:r>
      <w:r>
        <w:rPr>
          <w:rFonts w:eastAsia="方正仿宋简体"/>
          <w:color w:val="000000"/>
          <w:sz w:val="32"/>
          <w:szCs w:val="32"/>
          <w:highlight w:val="none"/>
        </w:rPr>
        <w:t xml:space="preserve">亿元，为预算的</w:t>
      </w:r>
      <w:r>
        <w:rPr>
          <w:rFonts w:hint="eastAsia" w:eastAsia="方正仿宋简体"/>
          <w:color w:val="000000"/>
          <w:sz w:val="32"/>
          <w:szCs w:val="32"/>
          <w:highlight w:val="none"/>
        </w:rPr>
        <w:t xml:space="preserve">100.5</w:t>
      </w:r>
      <w:r>
        <w:rPr>
          <w:rFonts w:eastAsia="方正仿宋简体"/>
          <w:color w:val="000000"/>
          <w:sz w:val="32"/>
          <w:szCs w:val="32"/>
          <w:highlight w:val="none"/>
        </w:rPr>
        <w:t xml:space="preserve">%，同比</w:t>
      </w:r>
      <w:r>
        <w:rPr>
          <w:rFonts w:hint="eastAsia" w:eastAsia="方正仿宋简体"/>
          <w:color w:val="000000"/>
          <w:sz w:val="32"/>
          <w:szCs w:val="32"/>
          <w:highlight w:val="none"/>
        </w:rPr>
        <w:t xml:space="preserve">减少5</w:t>
      </w:r>
      <w:r>
        <w:rPr>
          <w:rFonts w:eastAsia="方正仿宋简体"/>
          <w:color w:val="000000"/>
          <w:sz w:val="32"/>
          <w:szCs w:val="32"/>
          <w:highlight w:val="none"/>
        </w:rPr>
        <w:t xml:space="preserve">%。收支相抵，当年</w:t>
      </w:r>
      <w:r>
        <w:rPr>
          <w:rFonts w:hint="eastAsia" w:eastAsia="方正仿宋简体"/>
          <w:color w:val="000000"/>
          <w:sz w:val="32"/>
          <w:szCs w:val="32"/>
          <w:highlight w:val="none"/>
        </w:rPr>
        <w:t xml:space="preserve">收支平衡</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楷体_GB2312"/>
          <w:b/>
          <w:color w:val="000000"/>
          <w:sz w:val="32"/>
          <w:szCs w:val="32"/>
          <w:highlight w:val="none"/>
        </w:rPr>
      </w:pPr>
      <w:r>
        <w:rPr>
          <w:rFonts w:eastAsia="楷体_GB2312"/>
          <w:b/>
          <w:color w:val="000000"/>
          <w:sz w:val="32"/>
          <w:szCs w:val="32"/>
          <w:highlight w:val="none"/>
        </w:rPr>
        <w:t xml:space="preserve">（五）其他需要报告的事项</w:t>
      </w:r>
      <w:r>
        <w:rPr>
          <w:rFonts w:eastAsia="楷体_GB2312"/>
          <w:b/>
          <w:color w:val="000000"/>
          <w:sz w:val="32"/>
          <w:szCs w:val="32"/>
          <w:highlight w:val="none"/>
        </w:rPr>
      </w:r>
      <w:r>
        <w:rPr>
          <w:rFonts w:eastAsia="楷体_GB2312"/>
          <w:b/>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eastAsia="方正仿宋简体"/>
          <w:b/>
          <w:color w:val="000000"/>
          <w:sz w:val="32"/>
          <w:szCs w:val="32"/>
          <w:highlight w:val="none"/>
        </w:rPr>
        <w:t xml:space="preserve">1、政府债务情况</w:t>
      </w:r>
      <w:r>
        <w:rPr>
          <w:rFonts w:eastAsia="方正仿宋简体"/>
          <w:color w:val="000000"/>
          <w:sz w:val="32"/>
          <w:szCs w:val="32"/>
          <w:highlight w:val="none"/>
        </w:rPr>
        <w:t xml:space="preserve">。省核定全市202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年政府债务限额</w:t>
      </w:r>
      <w:r>
        <w:rPr>
          <w:rFonts w:hint="eastAsia" w:eastAsia="方正仿宋简体"/>
          <w:color w:val="000000"/>
          <w:sz w:val="32"/>
          <w:szCs w:val="32"/>
          <w:highlight w:val="none"/>
        </w:rPr>
        <w:t xml:space="preserve">270.69</w:t>
      </w:r>
      <w:r>
        <w:rPr>
          <w:rFonts w:eastAsia="方正仿宋简体"/>
          <w:color w:val="000000"/>
          <w:sz w:val="32"/>
          <w:szCs w:val="32"/>
          <w:highlight w:val="none"/>
        </w:rPr>
        <w:t xml:space="preserve">亿元，其中：一般债务限额</w:t>
      </w:r>
      <w:r>
        <w:rPr>
          <w:rFonts w:hint="eastAsia" w:eastAsia="方正仿宋简体"/>
          <w:color w:val="000000"/>
          <w:sz w:val="32"/>
          <w:szCs w:val="32"/>
          <w:highlight w:val="none"/>
        </w:rPr>
        <w:t xml:space="preserve">116.81</w:t>
      </w:r>
      <w:r>
        <w:rPr>
          <w:rFonts w:eastAsia="方正仿宋简体"/>
          <w:color w:val="000000"/>
          <w:sz w:val="32"/>
          <w:szCs w:val="32"/>
          <w:highlight w:val="none"/>
        </w:rPr>
        <w:t xml:space="preserve">亿元，专项债务限额</w:t>
      </w:r>
      <w:r>
        <w:rPr>
          <w:rFonts w:hint="eastAsia" w:eastAsia="方正仿宋简体"/>
          <w:color w:val="000000"/>
          <w:sz w:val="32"/>
          <w:szCs w:val="32"/>
          <w:highlight w:val="none"/>
        </w:rPr>
        <w:t xml:space="preserve">153.88</w:t>
      </w:r>
      <w:r>
        <w:rPr>
          <w:rFonts w:eastAsia="方正仿宋简体"/>
          <w:color w:val="000000"/>
          <w:sz w:val="32"/>
          <w:szCs w:val="32"/>
          <w:highlight w:val="none"/>
        </w:rPr>
        <w:t xml:space="preserve">亿元。截至202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年底，全市政府债务余额为</w:t>
      </w:r>
      <w:r>
        <w:rPr>
          <w:rFonts w:hint="eastAsia" w:eastAsia="方正仿宋简体"/>
          <w:color w:val="000000"/>
          <w:sz w:val="32"/>
          <w:szCs w:val="32"/>
          <w:highlight w:val="none"/>
        </w:rPr>
        <w:t xml:space="preserve">259.43</w:t>
      </w:r>
      <w:r>
        <w:rPr>
          <w:rFonts w:eastAsia="方正仿宋简体"/>
          <w:color w:val="000000"/>
          <w:sz w:val="32"/>
          <w:szCs w:val="32"/>
          <w:highlight w:val="none"/>
        </w:rPr>
        <w:t xml:space="preserve">亿元，为限额的</w:t>
      </w:r>
      <w:r>
        <w:rPr>
          <w:rFonts w:hint="eastAsia" w:eastAsia="方正仿宋简体"/>
          <w:color w:val="000000"/>
          <w:sz w:val="32"/>
          <w:szCs w:val="32"/>
          <w:highlight w:val="none"/>
        </w:rPr>
        <w:t xml:space="preserve">95.8</w:t>
      </w:r>
      <w:r>
        <w:rPr>
          <w:rFonts w:eastAsia="方正仿宋简体"/>
          <w:color w:val="000000"/>
          <w:sz w:val="32"/>
          <w:szCs w:val="32"/>
          <w:highlight w:val="none"/>
        </w:rPr>
        <w:t xml:space="preserve">%，其中：一般债务余额</w:t>
      </w:r>
      <w:r>
        <w:rPr>
          <w:rFonts w:hint="eastAsia" w:eastAsia="方正仿宋简体"/>
          <w:color w:val="000000"/>
          <w:sz w:val="32"/>
          <w:szCs w:val="32"/>
          <w:highlight w:val="none"/>
        </w:rPr>
        <w:t xml:space="preserve">109.58</w:t>
      </w:r>
      <w:r>
        <w:rPr>
          <w:rFonts w:eastAsia="方正仿宋简体"/>
          <w:color w:val="000000"/>
          <w:sz w:val="32"/>
          <w:szCs w:val="32"/>
          <w:highlight w:val="none"/>
        </w:rPr>
        <w:t xml:space="preserve">亿元，为限额的</w:t>
      </w:r>
      <w:r>
        <w:rPr>
          <w:rFonts w:hint="eastAsia" w:eastAsia="方正仿宋简体"/>
          <w:color w:val="000000"/>
          <w:sz w:val="32"/>
          <w:szCs w:val="32"/>
          <w:highlight w:val="none"/>
        </w:rPr>
        <w:t xml:space="preserve">93.8</w:t>
      </w:r>
      <w:r>
        <w:rPr>
          <w:rFonts w:eastAsia="方正仿宋简体"/>
          <w:color w:val="000000"/>
          <w:sz w:val="32"/>
          <w:szCs w:val="32"/>
          <w:highlight w:val="none"/>
        </w:rPr>
        <w:t xml:space="preserve">%；专项债务余额</w:t>
      </w:r>
      <w:r>
        <w:rPr>
          <w:rFonts w:hint="eastAsia" w:eastAsia="方正仿宋简体"/>
          <w:color w:val="000000"/>
          <w:sz w:val="32"/>
          <w:szCs w:val="32"/>
          <w:highlight w:val="none"/>
        </w:rPr>
        <w:t xml:space="preserve">149.85</w:t>
      </w:r>
      <w:r>
        <w:rPr>
          <w:rFonts w:eastAsia="方正仿宋简体"/>
          <w:color w:val="000000"/>
          <w:sz w:val="32"/>
          <w:szCs w:val="32"/>
          <w:highlight w:val="none"/>
        </w:rPr>
        <w:t xml:space="preserve">亿元，为限额的</w:t>
      </w:r>
      <w:r>
        <w:rPr>
          <w:rFonts w:hint="eastAsia" w:eastAsia="方正仿宋简体"/>
          <w:color w:val="000000"/>
          <w:sz w:val="32"/>
          <w:szCs w:val="32"/>
          <w:highlight w:val="none"/>
        </w:rPr>
        <w:t xml:space="preserve">97.4</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8"/>
        <w:keepNext w:val="false"/>
        <w:keepLines w:val="false"/>
        <w:pageBreakBefore w:val="false"/>
        <w:widowControl w:val="false"/>
        <w:pBdr/>
        <w:spacing w:after="0" w:line="620" w:lineRule="exact"/>
        <w:ind w:firstLine="640" w:left="0"/>
        <w:rPr>
          <w:rFonts w:ascii="Times New Roman" w:hAnsi="Times New Roman"/>
          <w:color w:val="000000"/>
          <w:highlight w:val="none"/>
        </w:rPr>
      </w:pPr>
      <w:r>
        <w:rPr>
          <w:rFonts w:ascii="Times New Roman" w:hAnsi="Times New Roman" w:eastAsia="方正仿宋简体"/>
          <w:color w:val="000000"/>
          <w:sz w:val="32"/>
          <w:szCs w:val="32"/>
          <w:highlight w:val="none"/>
        </w:rPr>
        <w:t xml:space="preserve">省核定市本级202</w:t>
      </w:r>
      <w:r>
        <w:rPr>
          <w:rFonts w:hint="eastAsia" w:ascii="Times New Roman" w:hAnsi="Times New Roman" w:eastAsia="方正仿宋简体"/>
          <w:color w:val="000000"/>
          <w:sz w:val="32"/>
          <w:szCs w:val="32"/>
          <w:highlight w:val="none"/>
        </w:rPr>
        <w:t xml:space="preserve">3</w:t>
      </w:r>
      <w:r>
        <w:rPr>
          <w:rFonts w:ascii="Times New Roman" w:hAnsi="Times New Roman" w:eastAsia="方正仿宋简体"/>
          <w:color w:val="000000"/>
          <w:sz w:val="32"/>
          <w:szCs w:val="32"/>
          <w:highlight w:val="none"/>
        </w:rPr>
        <w:t xml:space="preserve">年政府债务限额</w:t>
      </w:r>
      <w:r>
        <w:rPr>
          <w:rFonts w:hint="eastAsia" w:ascii="Times New Roman" w:hAnsi="Times New Roman" w:eastAsia="方正仿宋简体"/>
          <w:color w:val="000000"/>
          <w:sz w:val="32"/>
          <w:szCs w:val="32"/>
          <w:highlight w:val="none"/>
        </w:rPr>
        <w:t xml:space="preserve">83.45</w:t>
      </w:r>
      <w:r>
        <w:rPr>
          <w:rFonts w:ascii="Times New Roman" w:hAnsi="Times New Roman" w:eastAsia="方正仿宋简体"/>
          <w:color w:val="000000"/>
          <w:sz w:val="32"/>
          <w:szCs w:val="32"/>
          <w:highlight w:val="none"/>
        </w:rPr>
        <w:t xml:space="preserve">亿元，其中：一般债务限额</w:t>
      </w:r>
      <w:r>
        <w:rPr>
          <w:rFonts w:hint="eastAsia" w:ascii="Times New Roman" w:hAnsi="Times New Roman" w:eastAsia="方正仿宋简体"/>
          <w:color w:val="000000"/>
          <w:sz w:val="32"/>
          <w:szCs w:val="32"/>
          <w:highlight w:val="none"/>
        </w:rPr>
        <w:t xml:space="preserve">21.72</w:t>
      </w:r>
      <w:r>
        <w:rPr>
          <w:rFonts w:ascii="Times New Roman" w:hAnsi="Times New Roman" w:eastAsia="方正仿宋简体"/>
          <w:color w:val="000000"/>
          <w:sz w:val="32"/>
          <w:szCs w:val="32"/>
          <w:highlight w:val="none"/>
        </w:rPr>
        <w:t xml:space="preserve">亿元，专项债务限额</w:t>
      </w:r>
      <w:r>
        <w:rPr>
          <w:rFonts w:hint="eastAsia" w:ascii="Times New Roman" w:hAnsi="Times New Roman" w:eastAsia="方正仿宋简体"/>
          <w:color w:val="000000"/>
          <w:sz w:val="32"/>
          <w:szCs w:val="32"/>
          <w:highlight w:val="none"/>
        </w:rPr>
        <w:t xml:space="preserve">61.73</w:t>
      </w:r>
      <w:r>
        <w:rPr>
          <w:rFonts w:ascii="Times New Roman" w:hAnsi="Times New Roman" w:eastAsia="方正仿宋简体"/>
          <w:color w:val="000000"/>
          <w:sz w:val="32"/>
          <w:szCs w:val="32"/>
          <w:highlight w:val="none"/>
        </w:rPr>
        <w:t xml:space="preserve">亿元。截至202</w:t>
      </w:r>
      <w:r>
        <w:rPr>
          <w:rFonts w:hint="eastAsia" w:ascii="Times New Roman" w:hAnsi="Times New Roman" w:eastAsia="方正仿宋简体"/>
          <w:color w:val="000000"/>
          <w:sz w:val="32"/>
          <w:szCs w:val="32"/>
          <w:highlight w:val="none"/>
        </w:rPr>
        <w:t xml:space="preserve">3</w:t>
      </w:r>
      <w:r>
        <w:rPr>
          <w:rFonts w:ascii="Times New Roman" w:hAnsi="Times New Roman" w:eastAsia="方正仿宋简体"/>
          <w:color w:val="000000"/>
          <w:sz w:val="32"/>
          <w:szCs w:val="32"/>
          <w:highlight w:val="none"/>
        </w:rPr>
        <w:t xml:space="preserve">年底，市本级政府债务余额为</w:t>
      </w:r>
      <w:r>
        <w:rPr>
          <w:rFonts w:hint="eastAsia" w:ascii="Times New Roman" w:hAnsi="Times New Roman" w:eastAsia="方正仿宋简体"/>
          <w:color w:val="000000"/>
          <w:sz w:val="32"/>
          <w:szCs w:val="32"/>
          <w:highlight w:val="none"/>
        </w:rPr>
        <w:t xml:space="preserve">82.16</w:t>
      </w:r>
      <w:r>
        <w:rPr>
          <w:rFonts w:ascii="Times New Roman" w:hAnsi="Times New Roman" w:eastAsia="方正仿宋简体"/>
          <w:color w:val="000000"/>
          <w:sz w:val="32"/>
          <w:szCs w:val="32"/>
          <w:highlight w:val="none"/>
        </w:rPr>
        <w:t xml:space="preserve">亿元，为限额的</w:t>
      </w:r>
      <w:r>
        <w:rPr>
          <w:rFonts w:hint="eastAsia" w:ascii="Times New Roman" w:hAnsi="Times New Roman" w:eastAsia="方正仿宋简体"/>
          <w:color w:val="000000"/>
          <w:sz w:val="32"/>
          <w:szCs w:val="32"/>
          <w:highlight w:val="none"/>
        </w:rPr>
        <w:t xml:space="preserve">98.5</w:t>
      </w:r>
      <w:r>
        <w:rPr>
          <w:rFonts w:ascii="Times New Roman" w:hAnsi="Times New Roman" w:eastAsia="方正仿宋简体"/>
          <w:color w:val="000000"/>
          <w:sz w:val="32"/>
          <w:szCs w:val="32"/>
          <w:highlight w:val="none"/>
        </w:rPr>
        <w:t xml:space="preserve">%，其中：一般债务余额</w:t>
      </w:r>
      <w:r>
        <w:rPr>
          <w:rFonts w:hint="eastAsia" w:ascii="Times New Roman" w:hAnsi="Times New Roman" w:eastAsia="方正仿宋简体"/>
          <w:color w:val="000000"/>
          <w:sz w:val="32"/>
          <w:szCs w:val="32"/>
          <w:highlight w:val="none"/>
        </w:rPr>
        <w:t xml:space="preserve">20.44</w:t>
      </w:r>
      <w:r>
        <w:rPr>
          <w:rFonts w:ascii="Times New Roman" w:hAnsi="Times New Roman" w:eastAsia="方正仿宋简体"/>
          <w:color w:val="000000"/>
          <w:sz w:val="32"/>
          <w:szCs w:val="32"/>
          <w:highlight w:val="none"/>
        </w:rPr>
        <w:t xml:space="preserve">亿元，为限额的</w:t>
      </w:r>
      <w:r>
        <w:rPr>
          <w:rFonts w:hint="eastAsia" w:ascii="Times New Roman" w:hAnsi="Times New Roman" w:eastAsia="方正仿宋简体"/>
          <w:color w:val="000000"/>
          <w:sz w:val="32"/>
          <w:szCs w:val="32"/>
          <w:highlight w:val="none"/>
        </w:rPr>
        <w:t xml:space="preserve">94.1</w:t>
      </w:r>
      <w:r>
        <w:rPr>
          <w:rFonts w:ascii="Times New Roman" w:hAnsi="Times New Roman" w:eastAsia="方正仿宋简体"/>
          <w:color w:val="000000"/>
          <w:sz w:val="32"/>
          <w:szCs w:val="32"/>
          <w:highlight w:val="none"/>
        </w:rPr>
        <w:t xml:space="preserve">%；专项债务余额</w:t>
      </w:r>
      <w:r>
        <w:rPr>
          <w:rFonts w:hint="eastAsia" w:ascii="Times New Roman" w:hAnsi="Times New Roman" w:eastAsia="方正仿宋简体"/>
          <w:color w:val="000000"/>
          <w:sz w:val="32"/>
          <w:szCs w:val="32"/>
          <w:highlight w:val="none"/>
        </w:rPr>
        <w:t xml:space="preserve">61.72</w:t>
      </w:r>
      <w:r>
        <w:rPr>
          <w:rFonts w:ascii="Times New Roman" w:hAnsi="Times New Roman" w:eastAsia="方正仿宋简体"/>
          <w:color w:val="000000"/>
          <w:sz w:val="32"/>
          <w:szCs w:val="32"/>
          <w:highlight w:val="none"/>
        </w:rPr>
        <w:t xml:space="preserve">亿元，为限额的</w:t>
      </w:r>
      <w:r>
        <w:rPr>
          <w:rFonts w:hint="eastAsia" w:ascii="Times New Roman" w:hAnsi="Times New Roman" w:eastAsia="方正仿宋简体"/>
          <w:color w:val="000000"/>
          <w:sz w:val="32"/>
          <w:szCs w:val="32"/>
          <w:highlight w:val="none"/>
        </w:rPr>
        <w:t xml:space="preserve">100</w:t>
      </w:r>
      <w:r>
        <w:rPr>
          <w:rFonts w:ascii="Times New Roman" w:hAnsi="Times New Roman" w:eastAsia="方正仿宋简体"/>
          <w:color w:val="000000"/>
          <w:sz w:val="32"/>
          <w:szCs w:val="32"/>
          <w:highlight w:val="none"/>
        </w:rPr>
        <w:t xml:space="preserve">%。</w:t>
      </w:r>
      <w:r>
        <w:rPr>
          <w:rFonts w:ascii="Times New Roman" w:hAnsi="Times New Roman"/>
          <w:color w:val="000000"/>
          <w:highlight w:val="none"/>
        </w:rPr>
      </w:r>
      <w:r>
        <w:rPr>
          <w:rFonts w:ascii="Times New Roman" w:hAnsi="Times New Roman"/>
          <w:color w:val="000000"/>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年，全市发行新增政府债券</w:t>
      </w:r>
      <w:r>
        <w:rPr>
          <w:rFonts w:hint="eastAsia" w:eastAsia="方正仿宋简体"/>
          <w:color w:val="000000"/>
          <w:sz w:val="32"/>
          <w:szCs w:val="32"/>
          <w:highlight w:val="none"/>
        </w:rPr>
        <w:t xml:space="preserve">38.61</w:t>
      </w:r>
      <w:r>
        <w:rPr>
          <w:rFonts w:eastAsia="方正仿宋简体"/>
          <w:color w:val="000000"/>
          <w:sz w:val="32"/>
          <w:szCs w:val="32"/>
          <w:highlight w:val="none"/>
        </w:rPr>
        <w:t xml:space="preserve">亿元，其中：一般债券</w:t>
      </w:r>
      <w:r>
        <w:rPr>
          <w:rFonts w:hint="eastAsia" w:eastAsia="方正仿宋简体"/>
          <w:color w:val="000000"/>
          <w:sz w:val="32"/>
          <w:szCs w:val="32"/>
          <w:highlight w:val="none"/>
        </w:rPr>
        <w:t xml:space="preserve">9.94</w:t>
      </w:r>
      <w:r>
        <w:rPr>
          <w:rFonts w:eastAsia="方正仿宋简体"/>
          <w:color w:val="000000"/>
          <w:sz w:val="32"/>
          <w:szCs w:val="32"/>
          <w:highlight w:val="none"/>
        </w:rPr>
        <w:t xml:space="preserve">亿元，专项债券</w:t>
      </w:r>
      <w:r>
        <w:rPr>
          <w:rFonts w:hint="eastAsia" w:eastAsia="方正仿宋简体"/>
          <w:color w:val="000000"/>
          <w:sz w:val="32"/>
          <w:szCs w:val="32"/>
          <w:highlight w:val="none"/>
        </w:rPr>
        <w:t xml:space="preserve">28.67</w:t>
      </w:r>
      <w:r>
        <w:rPr>
          <w:rFonts w:eastAsia="方正仿宋简体"/>
          <w:color w:val="000000"/>
          <w:sz w:val="32"/>
          <w:szCs w:val="32"/>
          <w:highlight w:val="none"/>
        </w:rPr>
        <w:t xml:space="preserve">亿元。市本级发行新增政府债券</w:t>
      </w:r>
      <w:r>
        <w:rPr>
          <w:rFonts w:hint="eastAsia" w:eastAsia="方正仿宋简体"/>
          <w:color w:val="000000"/>
          <w:sz w:val="32"/>
          <w:szCs w:val="32"/>
          <w:highlight w:val="none"/>
        </w:rPr>
        <w:t xml:space="preserve">11.22</w:t>
      </w:r>
      <w:r>
        <w:rPr>
          <w:rFonts w:eastAsia="方正仿宋简体"/>
          <w:color w:val="000000"/>
          <w:sz w:val="32"/>
          <w:szCs w:val="32"/>
          <w:highlight w:val="none"/>
        </w:rPr>
        <w:t xml:space="preserve">亿元，其中：一般债券</w:t>
      </w:r>
      <w:r>
        <w:rPr>
          <w:rFonts w:hint="eastAsia" w:eastAsia="方正仿宋简体"/>
          <w:color w:val="000000"/>
          <w:sz w:val="32"/>
          <w:szCs w:val="32"/>
          <w:highlight w:val="none"/>
        </w:rPr>
        <w:t xml:space="preserve">1.42</w:t>
      </w:r>
      <w:r>
        <w:rPr>
          <w:rFonts w:eastAsia="方正仿宋简体"/>
          <w:color w:val="000000"/>
          <w:sz w:val="32"/>
          <w:szCs w:val="32"/>
          <w:highlight w:val="none"/>
        </w:rPr>
        <w:t xml:space="preserve">亿元，主要用于</w:t>
      </w:r>
      <w:r>
        <w:rPr>
          <w:rFonts w:hint="eastAsia" w:eastAsia="方正仿宋简体"/>
          <w:color w:val="000000"/>
          <w:sz w:val="32"/>
          <w:szCs w:val="32"/>
          <w:highlight w:val="none"/>
        </w:rPr>
        <w:t xml:space="preserve">市一中校舍及学生公寓、运动场修缮改造（350万元）、市二中新建教学楼（350万元）、市二中楼房改造及配套设施（490万元）、政协文史馆建设（150万元）、城南垃圾填埋场封场及渗滤液处理项目（1050万元）、㵐水梁家桥水</w:t>
      </w:r>
      <w:r>
        <w:rPr>
          <w:rFonts w:hint="eastAsia" w:eastAsia="方正仿宋简体"/>
          <w:color w:val="000000"/>
          <w:sz w:val="32"/>
          <w:szCs w:val="32"/>
          <w:highlight w:val="none"/>
        </w:rPr>
        <w:t xml:space="preserve">生态连通工程（400万元）、鄂北水资源配置二期市直工程（500万元）、消防训练基地建设（700万元）、解放路步行街综合整治项目（300万元）、传媒中心广电设备购置（1100万元）、市公共检验检测中心实验室装修工程（400万元）、全灾种（除火灾外）应急救援装备（130万元）、检测设备购置（200万元）、城东生活垃圾预处理站（400万元）、老城区人行道改造（100万元）、中心城区城市双修工程（745万元）、互联网+放管服（80万元）、“一事联办、一网通办”系统建设（253万元）、“神农云”平台建设（400万元）</w:t>
      </w:r>
      <w:r>
        <w:rPr>
          <w:rFonts w:hint="eastAsia" w:eastAsia="方正仿宋简体"/>
          <w:color w:val="000000"/>
          <w:sz w:val="32"/>
          <w:szCs w:val="32"/>
          <w:highlight w:val="none"/>
        </w:rPr>
        <w:t xml:space="preserve">、党校新校区教学设备（50万元）、消防装备器材、接警调度指挥系统、支队营区改造、消防救援站改造（300万元）、企业职工社会保险信息系统建设配套改造项目（40万元）、老年大学建设（100万元）、公交首末站建设（250万元）、征兵工作站建设（82万元）、数字随州建设（1000万元）、花溪桥、玉石街口桥涵、擂鼓墩加油站桥改造（200万元）、廉政教育基地改造布展（80万元）、大组织工网安可替代（80万元）、文明城市公益宣传补短板（80万元）、市场监督管理局大洪山分局业务用房及配套（106万元）、城区公厕提档升级改造</w:t>
      </w:r>
      <w:r>
        <w:rPr>
          <w:rFonts w:hint="eastAsia" w:eastAsia="方正仿宋简体"/>
          <w:color w:val="000000"/>
          <w:sz w:val="32"/>
          <w:szCs w:val="32"/>
          <w:highlight w:val="none"/>
        </w:rPr>
        <w:t xml:space="preserve">（400万元）、非煤矿山、危化品企业信息采集（80万元）、非甲烷总烃自动监测项目（80万元）、消防救援车辆采购（300万元）、随州市急救中心（120指挥调度中心）建设（550万元）、市直高中信息化建设（150万元）、人工影响天气作业装备购置（49万元）、公安局监管中心建设（600万元）、公共卫生能力提升建设（400万元）、居民小区垃圾收转运设施改造（170万元）、随州㵐水二桥拆除重建（200万元）、恒大名都和随园嘉墅城市绿地建设（100万元）、创建卫生城市项目建设（500万元）、审计信息化建设（120万元）</w:t>
      </w:r>
      <w:r>
        <w:rPr>
          <w:rFonts w:eastAsia="方正仿宋简体"/>
          <w:color w:val="000000"/>
          <w:sz w:val="32"/>
          <w:szCs w:val="32"/>
          <w:highlight w:val="none"/>
        </w:rPr>
        <w:t xml:space="preserve">等项目支出；专项债券</w:t>
      </w:r>
      <w:r>
        <w:rPr>
          <w:rFonts w:hint="eastAsia" w:eastAsia="方正仿宋简体"/>
          <w:color w:val="000000"/>
          <w:sz w:val="32"/>
          <w:szCs w:val="32"/>
          <w:highlight w:val="none"/>
        </w:rPr>
        <w:t xml:space="preserve">9.8</w:t>
      </w:r>
      <w:r>
        <w:rPr>
          <w:rFonts w:eastAsia="方正仿宋简体"/>
          <w:color w:val="000000"/>
          <w:sz w:val="32"/>
          <w:szCs w:val="32"/>
          <w:highlight w:val="none"/>
        </w:rPr>
        <w:t xml:space="preserve">亿元，主要用于</w:t>
      </w:r>
      <w:r>
        <w:rPr>
          <w:rFonts w:hint="eastAsia" w:eastAsia="方正仿宋简体"/>
          <w:color w:val="000000"/>
          <w:sz w:val="32"/>
          <w:szCs w:val="32"/>
          <w:highlight w:val="none"/>
        </w:rPr>
        <w:t xml:space="preserve">随州市老城区供水管网改造项目（1.35亿元）</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铁路片区棚改安置房建设项目（0.24亿元）、草店子棚改安置房（0.15亿元）、市级粮食应急储备保障中心建设项目（0.35亿元）、城南新区供水管网配套设施建设项目（0.15亿元）、排涝泵站项目（0.2亿元）、随州南站综合客运枢纽建设项目（1亿元）、存量项目欠款（6.36亿元）</w:t>
      </w:r>
      <w:r>
        <w:rPr>
          <w:rFonts w:eastAsia="方正仿宋简体"/>
          <w:color w:val="000000"/>
          <w:sz w:val="32"/>
          <w:szCs w:val="32"/>
          <w:highlight w:val="none"/>
        </w:rPr>
        <w:t xml:space="preserve">等项目支出。</w:t>
      </w:r>
      <w:r>
        <w:rPr>
          <w:rFonts w:hint="eastAsia" w:eastAsia="方正仿宋简体"/>
          <w:color w:val="000000"/>
          <w:sz w:val="32"/>
          <w:szCs w:val="32"/>
          <w:highlight w:val="none"/>
          <w:lang w:eastAsia="zh-CN"/>
        </w:rPr>
        <w:t xml:space="preserve">因大部分专项债券资金年底才发行到位，项目无法及时支付，</w:t>
      </w:r>
      <w:r>
        <w:rPr>
          <w:rFonts w:hint="eastAsia" w:eastAsia="方正仿宋简体"/>
          <w:color w:val="000000"/>
          <w:sz w:val="32"/>
          <w:szCs w:val="32"/>
          <w:highlight w:val="none"/>
        </w:rPr>
        <w:t xml:space="preserve">2023年底结存在部门</w:t>
      </w:r>
      <w:r>
        <w:rPr>
          <w:rFonts w:hint="eastAsia" w:eastAsia="方正仿宋简体"/>
          <w:color w:val="000000"/>
          <w:sz w:val="32"/>
          <w:szCs w:val="32"/>
          <w:highlight w:val="none"/>
          <w:lang w:eastAsia="zh-CN"/>
        </w:rPr>
        <w:t xml:space="preserve">和预算</w:t>
      </w:r>
      <w:r>
        <w:rPr>
          <w:rFonts w:hint="eastAsia" w:eastAsia="方正仿宋简体"/>
          <w:color w:val="000000"/>
          <w:sz w:val="32"/>
          <w:szCs w:val="32"/>
          <w:highlight w:val="none"/>
        </w:rPr>
        <w:t xml:space="preserve">单位</w:t>
      </w:r>
      <w:r>
        <w:rPr>
          <w:rFonts w:hint="eastAsia" w:eastAsia="方正仿宋简体"/>
          <w:color w:val="000000"/>
          <w:sz w:val="32"/>
          <w:szCs w:val="32"/>
          <w:highlight w:val="none"/>
          <w:lang w:eastAsia="zh-CN"/>
        </w:rPr>
        <w:t xml:space="preserve">专项债券资金</w:t>
      </w:r>
      <w:r>
        <w:rPr>
          <w:rFonts w:hint="eastAsia" w:eastAsia="方正仿宋简体"/>
          <w:color w:val="000000"/>
          <w:sz w:val="32"/>
          <w:szCs w:val="32"/>
          <w:highlight w:val="none"/>
        </w:rPr>
        <w:t xml:space="preserve">5</w:t>
      </w:r>
      <w:r>
        <w:rPr>
          <w:rFonts w:hint="eastAsia" w:eastAsia="方正仿宋简体"/>
          <w:color w:val="000000"/>
          <w:sz w:val="32"/>
          <w:szCs w:val="32"/>
          <w:highlight w:val="none"/>
          <w:lang w:val="en-US" w:eastAsia="zh-CN"/>
        </w:rPr>
        <w:t xml:space="preserve">.</w:t>
      </w:r>
      <w:r>
        <w:rPr>
          <w:rFonts w:hint="eastAsia" w:eastAsia="方正仿宋简体"/>
          <w:color w:val="000000"/>
          <w:sz w:val="32"/>
          <w:szCs w:val="32"/>
          <w:highlight w:val="none"/>
        </w:rPr>
        <w:t xml:space="preserve">0</w:t>
      </w:r>
      <w:r>
        <w:rPr>
          <w:rFonts w:hint="eastAsia" w:eastAsia="方正仿宋简体"/>
          <w:color w:val="000000"/>
          <w:sz w:val="32"/>
          <w:szCs w:val="32"/>
          <w:highlight w:val="none"/>
          <w:lang w:val="en-US" w:eastAsia="zh-CN"/>
        </w:rPr>
        <w:t xml:space="preserve">1亿</w:t>
      </w:r>
      <w:r>
        <w:rPr>
          <w:rFonts w:hint="eastAsia" w:eastAsia="方正仿宋简体"/>
          <w:color w:val="000000"/>
          <w:sz w:val="32"/>
          <w:szCs w:val="32"/>
          <w:highlight w:val="none"/>
        </w:rPr>
        <w:t xml:space="preserve">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年全市发行再融资政府债券</w:t>
      </w:r>
      <w:r>
        <w:rPr>
          <w:rFonts w:hint="eastAsia" w:eastAsia="方正仿宋简体"/>
          <w:color w:val="000000"/>
          <w:sz w:val="32"/>
          <w:szCs w:val="32"/>
          <w:highlight w:val="none"/>
        </w:rPr>
        <w:t xml:space="preserve">8.97</w:t>
      </w:r>
      <w:r>
        <w:rPr>
          <w:rFonts w:eastAsia="方正仿宋简体"/>
          <w:color w:val="000000"/>
          <w:sz w:val="32"/>
          <w:szCs w:val="32"/>
          <w:highlight w:val="none"/>
        </w:rPr>
        <w:t xml:space="preserve">亿元，其中：一般债券</w:t>
      </w:r>
      <w:r>
        <w:rPr>
          <w:rFonts w:hint="eastAsia" w:eastAsia="方正仿宋简体"/>
          <w:color w:val="000000"/>
          <w:sz w:val="32"/>
          <w:szCs w:val="32"/>
          <w:highlight w:val="none"/>
        </w:rPr>
        <w:t xml:space="preserve">7.14</w:t>
      </w:r>
      <w:r>
        <w:rPr>
          <w:rFonts w:eastAsia="方正仿宋简体"/>
          <w:color w:val="000000"/>
          <w:sz w:val="32"/>
          <w:szCs w:val="32"/>
          <w:highlight w:val="none"/>
        </w:rPr>
        <w:t xml:space="preserve">亿元、专项债券</w:t>
      </w:r>
      <w:r>
        <w:rPr>
          <w:rFonts w:hint="eastAsia" w:eastAsia="方正仿宋简体"/>
          <w:color w:val="000000"/>
          <w:sz w:val="32"/>
          <w:szCs w:val="32"/>
          <w:highlight w:val="none"/>
        </w:rPr>
        <w:t xml:space="preserve">1.83</w:t>
      </w:r>
      <w:r>
        <w:rPr>
          <w:rFonts w:eastAsia="方正仿宋简体"/>
          <w:color w:val="000000"/>
          <w:sz w:val="32"/>
          <w:szCs w:val="32"/>
          <w:highlight w:val="none"/>
        </w:rPr>
        <w:t xml:space="preserve">亿元。市本级发行再融资政府债券</w:t>
      </w:r>
      <w:r>
        <w:rPr>
          <w:rFonts w:hint="eastAsia" w:eastAsia="方正仿宋简体"/>
          <w:color w:val="000000"/>
          <w:sz w:val="32"/>
          <w:szCs w:val="32"/>
          <w:highlight w:val="none"/>
        </w:rPr>
        <w:t xml:space="preserve">1.96</w:t>
      </w:r>
      <w:r>
        <w:rPr>
          <w:rFonts w:eastAsia="方正仿宋简体"/>
          <w:color w:val="000000"/>
          <w:sz w:val="32"/>
          <w:szCs w:val="32"/>
          <w:highlight w:val="none"/>
        </w:rPr>
        <w:t xml:space="preserve">亿元，其中：一般债券</w:t>
      </w:r>
      <w:r>
        <w:rPr>
          <w:rFonts w:hint="eastAsia" w:eastAsia="方正仿宋简体"/>
          <w:color w:val="000000"/>
          <w:sz w:val="32"/>
          <w:szCs w:val="32"/>
          <w:highlight w:val="none"/>
        </w:rPr>
        <w:t xml:space="preserve">1.1</w:t>
      </w:r>
      <w:r>
        <w:rPr>
          <w:rFonts w:eastAsia="方正仿宋简体"/>
          <w:color w:val="000000"/>
          <w:sz w:val="32"/>
          <w:szCs w:val="32"/>
          <w:highlight w:val="none"/>
        </w:rPr>
        <w:t xml:space="preserve">亿元、专项债券</w:t>
      </w:r>
      <w:r>
        <w:rPr>
          <w:rFonts w:hint="eastAsia" w:eastAsia="方正仿宋简体"/>
          <w:color w:val="000000"/>
          <w:sz w:val="32"/>
          <w:szCs w:val="32"/>
          <w:highlight w:val="none"/>
        </w:rPr>
        <w:t xml:space="preserve">0.87</w:t>
      </w:r>
      <w:r>
        <w:rPr>
          <w:rFonts w:eastAsia="方正仿宋简体"/>
          <w:color w:val="000000"/>
          <w:sz w:val="32"/>
          <w:szCs w:val="32"/>
          <w:highlight w:val="none"/>
        </w:rPr>
        <w:t xml:space="preserve">亿元，再融资债券全部用于偿还到期政府债券本金。</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hint="eastAsia" w:eastAsia="方正仿宋简体"/>
          <w:color w:val="000000"/>
          <w:sz w:val="32"/>
          <w:szCs w:val="32"/>
          <w:highlight w:val="none"/>
        </w:rPr>
      </w:pPr>
      <w:r>
        <w:rPr>
          <w:rFonts w:hint="eastAsia" w:eastAsia="方正仿宋简体"/>
          <w:color w:val="000000"/>
          <w:sz w:val="32"/>
          <w:szCs w:val="32"/>
          <w:highlight w:val="none"/>
        </w:rPr>
        <w:t xml:space="preserve">2023年，全市政府债券还本付息24.2亿元，其中：还本16.48亿元，付息7.72亿元。市本级政府债券还本付息5.93亿元，其中：还本3.53亿元、付息2.4亿元。2024—2028年，市本级需偿还政府债券本息44.63亿元。</w:t>
      </w:r>
      <w:r>
        <w:rPr>
          <w:rFonts w:hint="eastAsia" w:eastAsia="方正仿宋简体"/>
          <w:color w:val="000000"/>
          <w:sz w:val="32"/>
          <w:szCs w:val="32"/>
          <w:highlight w:val="none"/>
        </w:rPr>
      </w:r>
      <w:r>
        <w:rPr>
          <w:rFonts w:hint="eastAsia" w:eastAsia="方正仿宋简体"/>
          <w:color w:val="000000"/>
          <w:sz w:val="32"/>
          <w:szCs w:val="32"/>
          <w:highlight w:val="none"/>
        </w:rPr>
      </w:r>
    </w:p>
    <w:p>
      <w:pPr>
        <w:pStyle w:val="684"/>
        <w:keepNext w:val="false"/>
        <w:keepLines w:val="false"/>
        <w:pageBreakBefore w:val="false"/>
        <w:widowControl w:val="false"/>
        <w:pBdr/>
        <w:spacing w:line="620" w:lineRule="exact"/>
        <w:ind w:firstLine="664"/>
        <w:rPr>
          <w:color w:val="000000"/>
          <w:highlight w:val="none"/>
        </w:rPr>
      </w:pPr>
      <w:r>
        <w:rPr>
          <w:rFonts w:eastAsia="方正仿宋简体"/>
          <w:color w:val="000000"/>
          <w:spacing w:val="6"/>
          <w:sz w:val="32"/>
          <w:szCs w:val="32"/>
          <w:highlight w:val="none"/>
        </w:rPr>
        <w:t xml:space="preserve">2023年，</w:t>
      </w:r>
      <w:r>
        <w:rPr>
          <w:rFonts w:hint="eastAsia" w:eastAsia="方正仿宋简体"/>
          <w:color w:val="000000"/>
          <w:spacing w:val="6"/>
          <w:sz w:val="32"/>
          <w:szCs w:val="32"/>
          <w:highlight w:val="none"/>
        </w:rPr>
        <w:t xml:space="preserve">全市财政部门坚决</w:t>
      </w:r>
      <w:r>
        <w:rPr>
          <w:rFonts w:eastAsia="方正仿宋简体"/>
          <w:color w:val="000000"/>
          <w:spacing w:val="6"/>
          <w:sz w:val="32"/>
          <w:szCs w:val="32"/>
          <w:highlight w:val="none"/>
        </w:rPr>
        <w:t xml:space="preserve">贯彻落实</w:t>
      </w:r>
      <w:r>
        <w:rPr>
          <w:rFonts w:hint="eastAsia" w:eastAsia="方正仿宋简体"/>
          <w:color w:val="000000"/>
          <w:spacing w:val="6"/>
          <w:sz w:val="32"/>
          <w:szCs w:val="32"/>
          <w:highlight w:val="none"/>
        </w:rPr>
        <w:t xml:space="preserve">党</w:t>
      </w:r>
      <w:r>
        <w:rPr>
          <w:rFonts w:eastAsia="方正仿宋简体"/>
          <w:color w:val="000000"/>
          <w:spacing w:val="6"/>
          <w:sz w:val="32"/>
          <w:szCs w:val="32"/>
          <w:highlight w:val="none"/>
        </w:rPr>
        <w:t xml:space="preserve">中央、</w:t>
      </w:r>
      <w:r>
        <w:rPr>
          <w:rFonts w:hint="eastAsia" w:eastAsia="方正仿宋简体"/>
          <w:color w:val="000000"/>
          <w:spacing w:val="6"/>
          <w:sz w:val="32"/>
          <w:szCs w:val="32"/>
          <w:highlight w:val="none"/>
        </w:rPr>
        <w:t xml:space="preserve">省</w:t>
      </w:r>
      <w:r>
        <w:rPr>
          <w:rFonts w:eastAsia="方正仿宋简体"/>
          <w:color w:val="000000"/>
          <w:spacing w:val="6"/>
          <w:sz w:val="32"/>
          <w:szCs w:val="32"/>
          <w:highlight w:val="none"/>
        </w:rPr>
        <w:t xml:space="preserve">关于防范化解地方债务风险决策部署，</w:t>
      </w:r>
      <w:r>
        <w:rPr>
          <w:rFonts w:hint="eastAsia" w:eastAsia="方正仿宋简体"/>
          <w:color w:val="000000"/>
          <w:spacing w:val="6"/>
          <w:sz w:val="32"/>
          <w:szCs w:val="32"/>
          <w:highlight w:val="none"/>
        </w:rPr>
        <w:t xml:space="preserve">始终保持地方政府债务监管高压态势，切实规范政府债务管理，</w:t>
      </w:r>
      <w:r>
        <w:rPr>
          <w:rFonts w:eastAsia="方正仿宋简体"/>
          <w:color w:val="000000"/>
          <w:spacing w:val="6"/>
          <w:sz w:val="32"/>
          <w:szCs w:val="32"/>
          <w:highlight w:val="none"/>
        </w:rPr>
        <w:t xml:space="preserve">多措并举化解存量债务</w:t>
      </w:r>
      <w:r>
        <w:rPr>
          <w:rFonts w:hint="eastAsia" w:eastAsia="方正仿宋简体"/>
          <w:color w:val="000000"/>
          <w:spacing w:val="6"/>
          <w:sz w:val="32"/>
          <w:szCs w:val="32"/>
          <w:highlight w:val="none"/>
        </w:rPr>
        <w:t xml:space="preserve">，</w:t>
      </w:r>
      <w:r>
        <w:rPr>
          <w:rFonts w:eastAsia="方正仿宋简体"/>
          <w:color w:val="000000"/>
          <w:spacing w:val="6"/>
          <w:sz w:val="32"/>
          <w:szCs w:val="32"/>
          <w:highlight w:val="none"/>
        </w:rPr>
        <w:t xml:space="preserve">守牢安全发展底线</w:t>
      </w:r>
      <w:r>
        <w:rPr>
          <w:rFonts w:hint="eastAsia" w:eastAsia="方正仿宋简体"/>
          <w:color w:val="000000"/>
          <w:spacing w:val="6"/>
          <w:sz w:val="32"/>
          <w:szCs w:val="32"/>
          <w:highlight w:val="none"/>
        </w:rPr>
        <w:t xml:space="preserve">，随州市本级和曾都区顺利完成“退橙”工作任务。</w:t>
      </w:r>
      <w:r>
        <w:rPr>
          <w:color w:val="000000"/>
          <w:highlight w:val="none"/>
        </w:rPr>
      </w:r>
      <w:r>
        <w:rPr>
          <w:color w:val="000000"/>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eastAsia="方正仿宋简体"/>
          <w:b/>
          <w:bCs/>
          <w:color w:val="000000"/>
          <w:sz w:val="32"/>
          <w:szCs w:val="32"/>
          <w:highlight w:val="none"/>
        </w:rPr>
        <w:t xml:space="preserve">2、</w:t>
      </w:r>
      <w:r>
        <w:rPr>
          <w:rFonts w:eastAsia="方正仿宋简体"/>
          <w:b/>
          <w:color w:val="000000"/>
          <w:spacing w:val="-6"/>
          <w:sz w:val="32"/>
          <w:szCs w:val="32"/>
          <w:highlight w:val="none"/>
        </w:rPr>
        <w:t xml:space="preserve">市级预算稳定调节基金情况</w:t>
      </w: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2</w:t>
      </w:r>
      <w:r>
        <w:rPr>
          <w:rFonts w:eastAsia="方正仿宋简体"/>
          <w:color w:val="000000"/>
          <w:sz w:val="32"/>
          <w:szCs w:val="32"/>
          <w:highlight w:val="none"/>
        </w:rPr>
        <w:t xml:space="preserve">年年末市级预算稳定调节基金余额</w:t>
      </w:r>
      <w:r>
        <w:rPr>
          <w:rFonts w:hint="eastAsia" w:eastAsia="方正仿宋简体"/>
          <w:color w:val="000000"/>
          <w:sz w:val="32"/>
          <w:szCs w:val="32"/>
          <w:highlight w:val="none"/>
        </w:rPr>
        <w:t xml:space="preserve">1.16</w:t>
      </w:r>
      <w:r>
        <w:rPr>
          <w:rFonts w:eastAsia="方正仿宋简体"/>
          <w:color w:val="000000"/>
          <w:sz w:val="32"/>
          <w:szCs w:val="32"/>
          <w:highlight w:val="none"/>
        </w:rPr>
        <w:t xml:space="preserve">亿元，202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年动用预算稳定调节基金</w:t>
      </w:r>
      <w:r>
        <w:rPr>
          <w:rFonts w:hint="eastAsia" w:eastAsia="方正仿宋简体"/>
          <w:color w:val="000000"/>
          <w:sz w:val="32"/>
          <w:szCs w:val="32"/>
          <w:highlight w:val="none"/>
        </w:rPr>
        <w:t xml:space="preserve">1.1</w:t>
      </w:r>
      <w:r>
        <w:rPr>
          <w:rFonts w:eastAsia="方正仿宋简体"/>
          <w:color w:val="000000"/>
          <w:sz w:val="32"/>
          <w:szCs w:val="32"/>
          <w:highlight w:val="none"/>
        </w:rPr>
        <w:t xml:space="preserve">亿元，补充预算稳定调节基金</w:t>
      </w:r>
      <w:r>
        <w:rPr>
          <w:rFonts w:hint="eastAsia" w:eastAsia="方正仿宋简体"/>
          <w:color w:val="000000"/>
          <w:sz w:val="32"/>
          <w:szCs w:val="32"/>
          <w:highlight w:val="none"/>
        </w:rPr>
        <w:t xml:space="preserve">3.1</w:t>
      </w:r>
      <w:r>
        <w:rPr>
          <w:rFonts w:eastAsia="方正仿宋简体"/>
          <w:color w:val="000000"/>
          <w:sz w:val="32"/>
          <w:szCs w:val="32"/>
          <w:highlight w:val="none"/>
        </w:rPr>
        <w:t xml:space="preserve">亿元，202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年年末余额</w:t>
      </w:r>
      <w:r>
        <w:rPr>
          <w:rFonts w:hint="eastAsia" w:eastAsia="方正仿宋简体"/>
          <w:color w:val="000000"/>
          <w:sz w:val="32"/>
          <w:szCs w:val="32"/>
          <w:highlight w:val="none"/>
        </w:rPr>
        <w:t xml:space="preserve">3.16</w:t>
      </w:r>
      <w:r>
        <w:rPr>
          <w:rFonts w:eastAsia="方正仿宋简体"/>
          <w:color w:val="000000"/>
          <w:sz w:val="32"/>
          <w:szCs w:val="32"/>
          <w:highlight w:val="none"/>
        </w:rPr>
        <w:t xml:space="preserve">亿元。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eastAsia="方正仿宋简体"/>
          <w:b/>
          <w:bCs/>
          <w:color w:val="000000"/>
          <w:sz w:val="32"/>
          <w:szCs w:val="32"/>
          <w:highlight w:val="none"/>
        </w:rPr>
        <w:t xml:space="preserve">3、市级预备费使用情况</w:t>
      </w: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年预算安排预备费3000万元，实际支出</w:t>
      </w:r>
      <w:r>
        <w:rPr>
          <w:rFonts w:hint="eastAsia" w:eastAsia="方正仿宋简体"/>
          <w:color w:val="000000"/>
          <w:sz w:val="32"/>
          <w:szCs w:val="32"/>
          <w:highlight w:val="none"/>
        </w:rPr>
        <w:t xml:space="preserve">351</w:t>
      </w:r>
      <w:r>
        <w:rPr>
          <w:rFonts w:eastAsia="方正仿宋简体"/>
          <w:color w:val="000000"/>
          <w:sz w:val="32"/>
          <w:szCs w:val="32"/>
          <w:highlight w:val="none"/>
        </w:rPr>
        <w:t xml:space="preserve">万元，主要用于</w:t>
      </w:r>
      <w:r>
        <w:rPr>
          <w:rFonts w:hint="eastAsia" w:eastAsia="方正仿宋简体"/>
          <w:color w:val="000000"/>
          <w:sz w:val="32"/>
          <w:szCs w:val="32"/>
          <w:highlight w:val="none"/>
        </w:rPr>
        <w:t xml:space="preserve">灾害防治和</w:t>
      </w:r>
      <w:r>
        <w:rPr>
          <w:rFonts w:eastAsia="方正仿宋简体"/>
          <w:color w:val="000000"/>
          <w:sz w:val="32"/>
          <w:szCs w:val="32"/>
          <w:highlight w:val="none"/>
        </w:rPr>
        <w:t xml:space="preserve">预算执行中难以预见的突发事件、上级政策要求的新增支出。</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eastAsia="方正仿宋简体"/>
          <w:b/>
          <w:bCs/>
          <w:color w:val="000000"/>
          <w:sz w:val="32"/>
          <w:szCs w:val="32"/>
          <w:highlight w:val="none"/>
        </w:rPr>
        <w:t xml:space="preserve">4、</w:t>
      </w:r>
      <w:r>
        <w:rPr>
          <w:rFonts w:hint="eastAsia" w:eastAsia="方正仿宋简体"/>
          <w:b/>
          <w:bCs/>
          <w:color w:val="000000"/>
          <w:sz w:val="32"/>
          <w:szCs w:val="32"/>
          <w:highlight w:val="none"/>
        </w:rPr>
        <w:t xml:space="preserve">市级</w:t>
      </w:r>
      <w:r>
        <w:rPr>
          <w:rFonts w:eastAsia="方正仿宋简体"/>
          <w:b/>
          <w:bCs/>
          <w:color w:val="000000"/>
          <w:sz w:val="32"/>
          <w:szCs w:val="32"/>
          <w:highlight w:val="none"/>
        </w:rPr>
        <w:t xml:space="preserve">“三公”经费决算情况</w:t>
      </w:r>
      <w:r>
        <w:rPr>
          <w:rFonts w:eastAsia="方正仿宋简体"/>
          <w:color w:val="000000"/>
          <w:sz w:val="32"/>
          <w:szCs w:val="32"/>
          <w:highlight w:val="none"/>
        </w:rPr>
        <w:t xml:space="preserve">。据统计，市级202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年“三公”经费财政拨款支出</w:t>
      </w:r>
      <w:r>
        <w:rPr>
          <w:rFonts w:hint="eastAsia" w:eastAsia="方正仿宋简体"/>
          <w:color w:val="000000"/>
          <w:sz w:val="32"/>
          <w:szCs w:val="32"/>
          <w:highlight w:val="none"/>
        </w:rPr>
        <w:t xml:space="preserve">1855</w:t>
      </w:r>
      <w:r>
        <w:rPr>
          <w:rFonts w:eastAsia="方正仿宋简体"/>
          <w:color w:val="000000"/>
          <w:sz w:val="32"/>
          <w:szCs w:val="32"/>
          <w:highlight w:val="none"/>
        </w:rPr>
        <w:t xml:space="preserve">万元，比预算数减少</w:t>
      </w:r>
      <w:r>
        <w:rPr>
          <w:rFonts w:hint="eastAsia" w:eastAsia="方正仿宋简体"/>
          <w:color w:val="000000"/>
          <w:sz w:val="32"/>
          <w:szCs w:val="32"/>
          <w:highlight w:val="none"/>
        </w:rPr>
        <w:t xml:space="preserve">179</w:t>
      </w:r>
      <w:r>
        <w:rPr>
          <w:rFonts w:eastAsia="方正仿宋简体"/>
          <w:color w:val="000000"/>
          <w:sz w:val="32"/>
          <w:szCs w:val="32"/>
          <w:highlight w:val="none"/>
        </w:rPr>
        <w:t xml:space="preserve">万元，其中：因公出国（境）经费支出</w:t>
      </w:r>
      <w:r>
        <w:rPr>
          <w:rFonts w:hint="eastAsia" w:eastAsia="方正仿宋简体"/>
          <w:color w:val="000000"/>
          <w:sz w:val="32"/>
          <w:szCs w:val="32"/>
          <w:highlight w:val="none"/>
        </w:rPr>
        <w:t xml:space="preserve">106</w:t>
      </w:r>
      <w:r>
        <w:rPr>
          <w:rFonts w:eastAsia="方正仿宋简体"/>
          <w:color w:val="000000"/>
          <w:sz w:val="32"/>
          <w:szCs w:val="32"/>
          <w:highlight w:val="none"/>
        </w:rPr>
        <w:t xml:space="preserve">万元、公务用车购置及运行维护费支出</w:t>
      </w:r>
      <w:r>
        <w:rPr>
          <w:rFonts w:hint="eastAsia" w:eastAsia="方正仿宋简体"/>
          <w:color w:val="000000"/>
          <w:sz w:val="32"/>
          <w:szCs w:val="32"/>
          <w:highlight w:val="none"/>
        </w:rPr>
        <w:t xml:space="preserve">1656</w:t>
      </w:r>
      <w:r>
        <w:rPr>
          <w:rFonts w:eastAsia="方正仿宋简体"/>
          <w:color w:val="000000"/>
          <w:sz w:val="32"/>
          <w:szCs w:val="32"/>
          <w:highlight w:val="none"/>
        </w:rPr>
        <w:t xml:space="preserve">万元、公务接待费支出</w:t>
      </w:r>
      <w:r>
        <w:rPr>
          <w:rFonts w:hint="eastAsia" w:eastAsia="方正仿宋简体"/>
          <w:color w:val="000000"/>
          <w:sz w:val="32"/>
          <w:szCs w:val="32"/>
          <w:highlight w:val="none"/>
        </w:rPr>
        <w:t xml:space="preserve">93</w:t>
      </w:r>
      <w:r>
        <w:rPr>
          <w:rFonts w:eastAsia="方正仿宋简体"/>
          <w:color w:val="000000"/>
          <w:sz w:val="32"/>
          <w:szCs w:val="32"/>
          <w:highlight w:val="none"/>
        </w:rPr>
        <w:t xml:space="preserve">万元。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hint="eastAsia" w:eastAsia="方正仿宋简体"/>
          <w:color w:val="000000"/>
          <w:sz w:val="32"/>
          <w:szCs w:val="32"/>
          <w:highlight w:val="none"/>
        </w:rPr>
      </w:pPr>
      <w:r>
        <w:rPr>
          <w:rFonts w:hint="eastAsia" w:eastAsia="方正仿宋简体"/>
          <w:b/>
          <w:bCs/>
          <w:color w:val="000000"/>
          <w:sz w:val="32"/>
          <w:szCs w:val="32"/>
          <w:highlight w:val="none"/>
        </w:rPr>
        <w:t xml:space="preserve">5、</w:t>
      </w:r>
      <w:r>
        <w:rPr>
          <w:rFonts w:hint="eastAsia" w:eastAsia="方正仿宋简体"/>
          <w:b/>
          <w:bCs/>
          <w:color w:val="000000"/>
          <w:sz w:val="32"/>
          <w:szCs w:val="32"/>
          <w:highlight w:val="none"/>
        </w:rPr>
        <w:t xml:space="preserve">市级重点支出、重大投资项目绩效情况</w:t>
      </w:r>
      <w:r>
        <w:rPr>
          <w:rFonts w:hint="eastAsia" w:eastAsia="方正仿宋简体"/>
          <w:color w:val="000000"/>
          <w:sz w:val="32"/>
          <w:szCs w:val="32"/>
          <w:highlight w:val="none"/>
        </w:rPr>
        <w:t xml:space="preserve">。一是全面开展绩效自评。市直69个一级预算部门及123个二级预算单位共计650个项目完成2023年度</w:t>
      </w:r>
      <w:r>
        <w:rPr>
          <w:rFonts w:hint="eastAsia" w:eastAsia="方正仿宋简体"/>
          <w:color w:val="000000"/>
          <w:sz w:val="32"/>
          <w:szCs w:val="32"/>
          <w:highlight w:val="none"/>
          <w:lang w:eastAsia="zh-CN"/>
        </w:rPr>
        <w:t xml:space="preserve">项目</w:t>
      </w:r>
      <w:r>
        <w:rPr>
          <w:rFonts w:hint="eastAsia" w:eastAsia="方正仿宋简体"/>
          <w:color w:val="000000"/>
          <w:sz w:val="32"/>
          <w:szCs w:val="32"/>
          <w:highlight w:val="none"/>
        </w:rPr>
        <w:t xml:space="preserve">支出绩效自评，实现部门整体支出和项目支出自评全覆盖，评价结果为“优”达95%以上，市级重点支出、重大投资项目资金绩效自评均为“优”。二是大力推进财政重点绩效评价。聚焦乡村振兴、教育医疗、社会保障、文化旅游、支持实体经济发展、数字随州建设等重点领域，选取6个一级部门整体支出、44个重点项目支出，开展财政重点评价，资金类型覆盖“四本预算”，推动预算绩效管理全覆盖</w:t>
      </w:r>
      <w:r>
        <w:rPr>
          <w:rFonts w:hint="eastAsia" w:eastAsia="方正仿宋简体"/>
          <w:color w:val="000000"/>
          <w:sz w:val="32"/>
          <w:szCs w:val="32"/>
          <w:highlight w:val="none"/>
          <w:lang w:eastAsia="zh-CN"/>
        </w:rPr>
        <w:t xml:space="preserve">，</w:t>
      </w:r>
      <w:r>
        <w:rPr>
          <w:rFonts w:hint="eastAsia" w:eastAsia="方正仿宋简体"/>
          <w:color w:val="000000"/>
          <w:sz w:val="32"/>
          <w:szCs w:val="32"/>
          <w:highlight w:val="none"/>
        </w:rPr>
        <w:t xml:space="preserve">评价结果为“优”“良”占比</w:t>
      </w:r>
      <w:r>
        <w:rPr>
          <w:rFonts w:hint="eastAsia" w:eastAsia="方正仿宋简体"/>
          <w:color w:val="000000"/>
          <w:sz w:val="32"/>
          <w:szCs w:val="32"/>
          <w:highlight w:val="none"/>
          <w:lang w:eastAsia="zh-CN"/>
        </w:rPr>
        <w:t xml:space="preserve">达</w:t>
      </w:r>
      <w:r>
        <w:rPr>
          <w:rFonts w:hint="eastAsia" w:eastAsia="方正仿宋简体"/>
          <w:color w:val="000000"/>
          <w:sz w:val="32"/>
          <w:szCs w:val="32"/>
          <w:highlight w:val="none"/>
          <w:lang w:val="en-US" w:eastAsia="zh-CN"/>
        </w:rPr>
        <w:t xml:space="preserve">9</w:t>
      </w:r>
      <w:r>
        <w:rPr>
          <w:rFonts w:hint="eastAsia" w:eastAsia="方正仿宋简体"/>
          <w:color w:val="000000"/>
          <w:sz w:val="32"/>
          <w:szCs w:val="32"/>
          <w:highlight w:val="none"/>
        </w:rPr>
        <w:t xml:space="preserve">8%</w:t>
      </w:r>
      <w:r>
        <w:rPr>
          <w:rFonts w:hint="eastAsia" w:eastAsia="方正仿宋简体"/>
          <w:color w:val="000000"/>
          <w:sz w:val="32"/>
          <w:szCs w:val="32"/>
          <w:highlight w:val="none"/>
          <w:lang w:eastAsia="zh-CN"/>
        </w:rPr>
        <w:t xml:space="preserve">。</w:t>
      </w:r>
      <w:r>
        <w:rPr>
          <w:rFonts w:hint="eastAsia" w:eastAsia="方正仿宋简体"/>
          <w:color w:val="000000"/>
          <w:sz w:val="32"/>
          <w:szCs w:val="32"/>
          <w:highlight w:val="none"/>
        </w:rPr>
        <w:t xml:space="preserve">三是做强绩效结果应用。及时反馈重点绩效评价结果，督促项目单位进一步压实责任，对发现的问题逐项整改，加强项目资金管理，健全内部管理制度。后期财政部门将在绩效目标编制、绩效指标体系建设、绩效评价结果与预算安排挂钩机制等方面下功夫，铸牢全过程绩效管理链条，提升预算绩效管理整体效能。</w:t>
      </w:r>
      <w:r>
        <w:rPr>
          <w:rFonts w:hint="eastAsia" w:eastAsia="方正仿宋简体"/>
          <w:color w:val="000000"/>
          <w:sz w:val="32"/>
          <w:szCs w:val="32"/>
          <w:highlight w:val="none"/>
        </w:rPr>
      </w:r>
      <w:r>
        <w:rPr>
          <w:rFonts w:hint="eastAsia"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以上决算的具体情况和相关说明详见《随州市202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年市级财政决算（草案）》。</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黑体"/>
          <w:color w:val="000000"/>
          <w:sz w:val="32"/>
          <w:szCs w:val="32"/>
          <w:highlight w:val="none"/>
        </w:rPr>
      </w:pPr>
      <w:r>
        <w:rPr>
          <w:rFonts w:eastAsia="黑体"/>
          <w:color w:val="000000"/>
          <w:sz w:val="32"/>
          <w:szCs w:val="32"/>
          <w:highlight w:val="none"/>
        </w:rPr>
        <w:t xml:space="preserve">二、202</w:t>
      </w:r>
      <w:r>
        <w:rPr>
          <w:rFonts w:hint="eastAsia" w:eastAsia="黑体"/>
          <w:color w:val="000000"/>
          <w:sz w:val="32"/>
          <w:szCs w:val="32"/>
          <w:highlight w:val="none"/>
        </w:rPr>
        <w:t xml:space="preserve">3</w:t>
      </w:r>
      <w:r>
        <w:rPr>
          <w:rFonts w:eastAsia="黑体"/>
          <w:color w:val="000000"/>
          <w:sz w:val="32"/>
          <w:szCs w:val="32"/>
          <w:highlight w:val="none"/>
        </w:rPr>
        <w:t xml:space="preserve">年预算执行和落实市人大常委会决议情况</w:t>
      </w:r>
      <w:r>
        <w:rPr>
          <w:rFonts w:eastAsia="黑体"/>
          <w:color w:val="000000"/>
          <w:sz w:val="32"/>
          <w:szCs w:val="32"/>
          <w:highlight w:val="none"/>
        </w:rPr>
      </w:r>
      <w:r>
        <w:rPr>
          <w:rFonts w:eastAsia="黑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年，全市财政部门紧紧围绕中央、省、市决策部署，</w:t>
      </w:r>
      <w:r>
        <w:rPr>
          <w:rFonts w:hint="eastAsia" w:eastAsia="方正仿宋简体"/>
          <w:color w:val="000000"/>
          <w:sz w:val="32"/>
          <w:szCs w:val="32"/>
          <w:highlight w:val="none"/>
        </w:rPr>
        <w:t xml:space="preserve">加力提效实施积极的财政政策</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努力增收节支</w:t>
      </w:r>
      <w:r>
        <w:rPr>
          <w:rFonts w:eastAsia="方正仿宋简体"/>
          <w:color w:val="000000"/>
          <w:sz w:val="32"/>
          <w:szCs w:val="32"/>
          <w:highlight w:val="none"/>
        </w:rPr>
        <w:t xml:space="preserve">，</w:t>
      </w:r>
      <w:r>
        <w:rPr>
          <w:rFonts w:hint="eastAsia" w:eastAsia="方正仿宋简体"/>
          <w:color w:val="000000"/>
          <w:sz w:val="32"/>
          <w:szCs w:val="32"/>
          <w:highlight w:val="none"/>
        </w:rPr>
        <w:t xml:space="preserve">强化资源统筹，持续改善民生，全力防范化解风险，全面深化财政改革，有效推动各项重大决策部署落地见效，全市财政经济平稳运行</w:t>
      </w:r>
      <w:r>
        <w:rPr>
          <w:rFonts w:eastAsia="方正仿宋简体"/>
          <w:color w:val="000000"/>
          <w:sz w:val="32"/>
          <w:szCs w:val="32"/>
          <w:highlight w:val="none"/>
        </w:rPr>
        <w:t xml:space="preserve">。</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（一）加力筑牢财政运行根基</w:t>
      </w:r>
      <w:r>
        <w:rPr>
          <w:rFonts w:hint="eastAsia" w:eastAsia="方正仿宋简体"/>
          <w:color w:val="000000"/>
          <w:sz w:val="32"/>
          <w:szCs w:val="32"/>
          <w:highlight w:val="none"/>
        </w:rPr>
        <w:t xml:space="preserve">。一是加强收入征管。聚焦主责主业，依法加强财政收入征管，强化收入组织调度，努力稳住收入基本盘。2023年全市地方一般公共预算收入突破60亿元大关，同比增长20.7%，</w:t>
      </w:r>
      <w:r>
        <w:rPr>
          <w:rFonts w:hint="eastAsia" w:eastAsia="方正仿宋简体"/>
          <w:color w:val="000000"/>
          <w:sz w:val="32"/>
          <w:szCs w:val="32"/>
          <w:highlight w:val="none"/>
        </w:rPr>
        <w:t xml:space="preserve">增幅在全省排第7位。二是加大向上争取力度。围绕稳增长、乡村振兴、共同缔造等重大政策、重大战略部署，全力争取上级转移支付资金121.8亿元，同比增长23%，再创历史新高，为财政平稳运行提供了有力支撑。三是加强国有“三资”盘活。开展国有“三资”清理盘活工作，灵活运用“用、售、租、融”方式，有效盘活国有“三资”收入6.8亿元，增加可用财力。四是强化财政资源统筹。加强政府预算、存量资金统筹，通过调入资金23.2亿元、动用预算稳定调节基金5.3亿元、压减一般性支出1.9亿元、盘活存量资金6.4亿元，全力稳住财政运行。</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（二）加力支持经济回升向好</w:t>
      </w:r>
      <w:r>
        <w:rPr>
          <w:rFonts w:hint="eastAsia" w:eastAsia="方正仿宋简体"/>
          <w:color w:val="000000"/>
          <w:sz w:val="32"/>
          <w:szCs w:val="32"/>
          <w:highlight w:val="none"/>
        </w:rPr>
        <w:t xml:space="preserve">。一是积极助企纾困解难。落实好结构性减税降费政策，全市新增减税降费及退税缓费18亿元，惠及纳税人缴费人12.91万户次，减免承租行政事业单位房屋租金230.2万元，惠及市场主体739户。持续完善税费优惠政策直达快享机制，扩大“免申即享”惠企政策事项至50项，兑现各类奖补资金3.87亿元。二是强化财政金融联动。向市金控集团新增注资1.21亿元，设立中小微企业应急转贷纾困基金，持续加强政府性融资担保体系建设，撬动中小微企业担保贷款17.46亿元，担保费率持续保持在1%以内，新增新型“政银</w:t>
      </w:r>
      <w:r>
        <w:rPr>
          <w:rFonts w:hint="eastAsia" w:eastAsia="方正仿宋简体"/>
          <w:color w:val="000000"/>
          <w:sz w:val="32"/>
          <w:szCs w:val="32"/>
          <w:highlight w:val="none"/>
        </w:rPr>
        <w:t xml:space="preserve">担”金额16亿元，发放创业担保贷款3.04亿元，“政采贷”融资1.88亿元，缓解企业融资困难。三是支持稳投资促消费。统筹稳增长和增后劲，争取政府债券资金38.61亿元、中央和省预算内资金10亿元，支持经济社会效益好、带动效应强的重点项目建设，培育经济新的增长点。发放消费券2579万元，撬动消费2.5亿元。落实出口退税和奖补政策，拉动外贸出口115亿元。四是持续优化营商环境。全面完成以控制成本为核心优化营商环境23项重点任务，加大政府采购支持中小企业发展力度，积极争创各类先行区试点改革，不断优化企业发展环境。</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（三）加力改善社会民生福祉</w:t>
      </w:r>
      <w:r>
        <w:rPr>
          <w:rFonts w:hint="eastAsia" w:eastAsia="方正仿宋简体"/>
          <w:color w:val="000000"/>
          <w:sz w:val="32"/>
          <w:szCs w:val="32"/>
          <w:highlight w:val="none"/>
        </w:rPr>
        <w:t xml:space="preserve">。坚持民生投入只增不减，全市民生支出占地方一般公共预算的比重始终保持在75%以上。筹措资金25.51亿元，巩固</w:t>
      </w:r>
      <w:r>
        <w:rPr>
          <w:rFonts w:hint="eastAsia" w:eastAsia="方正仿宋简体"/>
          <w:color w:val="000000"/>
          <w:sz w:val="32"/>
          <w:szCs w:val="32"/>
          <w:highlight w:val="none"/>
        </w:rPr>
        <w:t xml:space="preserve">拓展</w:t>
      </w:r>
      <w:r>
        <w:rPr>
          <w:rFonts w:hint="eastAsia" w:eastAsia="方正仿宋简体"/>
          <w:color w:val="000000"/>
          <w:sz w:val="32"/>
          <w:szCs w:val="32"/>
          <w:highlight w:val="none"/>
        </w:rPr>
        <w:t xml:space="preserve">脱贫攻坚成果</w:t>
      </w:r>
      <w:r>
        <w:rPr>
          <w:rFonts w:hint="eastAsia" w:eastAsia="方正仿宋简体"/>
          <w:color w:val="000000"/>
          <w:sz w:val="32"/>
          <w:szCs w:val="32"/>
          <w:highlight w:val="none"/>
        </w:rPr>
        <w:t xml:space="preserve">同</w:t>
      </w:r>
      <w:r>
        <w:rPr>
          <w:rFonts w:hint="eastAsia" w:eastAsia="方正仿宋简体"/>
          <w:color w:val="000000"/>
          <w:sz w:val="32"/>
          <w:szCs w:val="32"/>
          <w:highlight w:val="none"/>
        </w:rPr>
        <w:t xml:space="preserve">乡村振兴有效衔接，6726人消除致贫返贫风险，新改建农村公路700公里，新建高标准农田17.7万亩，打造美丽乡村示范片4个、示范村整治村209个，农村生活垃圾无害化处理实现村组全覆</w:t>
      </w:r>
      <w:r>
        <w:rPr>
          <w:rFonts w:hint="eastAsia" w:eastAsia="方正仿宋简体"/>
          <w:color w:val="000000"/>
          <w:sz w:val="32"/>
          <w:szCs w:val="32"/>
          <w:highlight w:val="none"/>
        </w:rPr>
        <w:t xml:space="preserve">盖，乡镇污水治理位居全省前列，城乡融合发展新格局加快形成。筹措资金32.85亿元，落实好教育投入“两个只增不减”要求，资助家庭经济困难学生92234人次，新增幼儿托位1580个，组建教联体61个，编钟小学、文帝学校等投入使用，新增学位7620个。筹措资金41.72亿元，建成零工驿站59家、暖新驿站30家，新增城镇就业2.1万人，稳定和扩大就业。加大财政对基本医疗保险补助力度，城乡居民医保财政补助标准提高到640元，居民医保住院封顶线提高到15万元，职工医保住院封顶线提高到20万元，合理确定职工医保缴费基数，</w:t>
      </w:r>
      <w:r>
        <w:rPr>
          <w:rFonts w:hint="eastAsia" w:eastAsia="方正仿宋简体"/>
          <w:color w:val="000000"/>
          <w:sz w:val="32"/>
          <w:szCs w:val="32"/>
          <w:highlight w:val="none"/>
          <w:lang w:eastAsia="zh-CN"/>
        </w:rPr>
        <w:t xml:space="preserve">推动</w:t>
      </w:r>
      <w:r>
        <w:rPr>
          <w:rFonts w:hint="eastAsia" w:eastAsia="方正仿宋简体"/>
          <w:color w:val="000000"/>
          <w:sz w:val="32"/>
          <w:szCs w:val="32"/>
          <w:highlight w:val="none"/>
        </w:rPr>
        <w:t xml:space="preserve">职工医保门诊共济保障机制改革，减轻群众看病负担。完成居家适老化改造961户，新建幸福食堂20家，健全多层次社会保障体系。筹措资金30.13亿元，完成老旧小区改造160个，整治背街小巷43条、危房1.7万套，既有住宅加装电梯56部，发放租赁补贴720户，新增停车位3468个，分配保障性租赁住房1496套、公租房467套，交付保交楼1255套。筹措资金25.58亿元，妇幼保健院新院、曾都医院综合楼建成投入使用，新组建7个县域医共体，支持公立</w:t>
      </w:r>
      <w:r>
        <w:rPr>
          <w:rFonts w:hint="eastAsia" w:eastAsia="方正仿宋简体"/>
          <w:color w:val="000000"/>
          <w:sz w:val="32"/>
          <w:szCs w:val="32"/>
          <w:highlight w:val="none"/>
        </w:rPr>
        <w:t xml:space="preserve">医院综合改革、基层医疗卫生机构能力建设，医疗卫生服务与保障能力显著提升。筹措资金2.88亿元，成功举办癸卯年寻根节，五大休闲度假区加快布局，持续推进公共文化服务体系建设和文旅融合发展。筹措资金3.77亿元，高标准打好蓝天、碧水、净土保卫战，空气优良天数302天，19个国控省控断面和3个县级以上集中式饮用水水源地水质全部优良，土壤环境治理安全可控，新增湖北森林城镇2个、森林乡村8个，促进人与自然和谐共生。筹措资金32.6亿元，推进法治随州、平安随州、灾害防治、应急管理等公共安全体系建设，提升社会综合治理水平。</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（四）加力防范化解财政风险</w:t>
      </w:r>
      <w:r>
        <w:rPr>
          <w:rFonts w:hint="eastAsia" w:eastAsia="方正仿宋简体"/>
          <w:color w:val="000000"/>
          <w:sz w:val="32"/>
          <w:szCs w:val="32"/>
          <w:highlight w:val="none"/>
        </w:rPr>
        <w:t xml:space="preserve">。一是兜牢“三保”风险底线。始终将“三保”摆在财</w:t>
      </w:r>
      <w:r>
        <w:rPr>
          <w:rFonts w:hint="eastAsia" w:eastAsia="方正仿宋简体"/>
          <w:color w:val="000000"/>
          <w:sz w:val="32"/>
          <w:szCs w:val="32"/>
          <w:highlight w:val="none"/>
        </w:rPr>
        <w:t xml:space="preserve">政工作优先位置，建立“三保”保障清单、预算审核、执行监控、库款调度、保工资专户、应急处置等机制，积极向上争取省级调度资金45.4亿元，调度县市区资金31.55亿元，保障“三保”不出问题。二是守牢债务风险底线。抢抓中央“一揽子”化债政策机遇，加强财政金融政策配合，按时偿还政府债券本息24.2亿元，化解隐性债务25亿元，牢牢守住不“爆雷”底线。三是筑牢财经纪律防线。建立健全财政大监督工作机制，扎实开展惠民惠农财政补贴资金“一卡通”、重点民生资金、预算执行、财会监督等专项整治行动，抓实问题整改销号，严肃财经秩序。</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hint="eastAsia"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（五）加力提升财政治理效能</w:t>
      </w:r>
      <w:r>
        <w:rPr>
          <w:rFonts w:hint="eastAsia" w:eastAsia="方正仿宋简体"/>
          <w:color w:val="000000"/>
          <w:sz w:val="32"/>
          <w:szCs w:val="32"/>
          <w:highlight w:val="none"/>
        </w:rPr>
        <w:t xml:space="preserve">。一是推进全过程预算绩效管理。初步构建“5+N”绩效管理制度体系，推进绩效管理和预算管理一体化，压减和取消低效无效项目35个，压减资金5597万元。二是提高预算管理质效。以预算管</w:t>
      </w:r>
      <w:r>
        <w:rPr>
          <w:rFonts w:hint="eastAsia" w:eastAsia="方正仿宋简体"/>
          <w:color w:val="000000"/>
          <w:sz w:val="32"/>
          <w:szCs w:val="32"/>
          <w:highlight w:val="none"/>
        </w:rPr>
        <w:t xml:space="preserve">理一体化系统建设为抓手，全面规范项目库管理、预算编制、预算执行、绩效管理、资产管理、政府采购等业务流程，完善直达资金、“三公”经费等各类资金监控机制，确保财政资金使用安全规范高效。加强财政投资评审，全年完成评审项目51个，审减资金1.52亿元，审减率12.68%，促进财政资金聚力增效。加强预决算公开，部门及所属单位预决算公开全覆盖，公开内容向财政政策公开、绩效信息公开、“三公”经费公开等方面拓展。三是完善区县财政体制。根据行政管理体制变化情况，及时调整完善高新区、大洪山风景名胜区财政体制，确保基层正常运转。</w:t>
      </w:r>
      <w:r>
        <w:rPr>
          <w:rFonts w:hint="eastAsia" w:eastAsia="方正仿宋简体"/>
          <w:color w:val="000000"/>
          <w:sz w:val="32"/>
          <w:szCs w:val="32"/>
          <w:highlight w:val="none"/>
        </w:rPr>
      </w:r>
      <w:r>
        <w:rPr>
          <w:rFonts w:hint="eastAsia"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年财政决算情况总体较好，同时也存在一些问题需要进一步解决，市人大有关方面提出了意见和建议，审计也指出了相关问题。财政部门将高度重视，积极采取措施加以解决。</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黑体"/>
          <w:color w:val="000000"/>
          <w:sz w:val="32"/>
          <w:szCs w:val="32"/>
          <w:highlight w:val="none"/>
        </w:rPr>
      </w:pPr>
      <w:r>
        <w:rPr>
          <w:rFonts w:hint="eastAsia" w:eastAsia="黑体"/>
          <w:color w:val="000000"/>
          <w:sz w:val="32"/>
          <w:szCs w:val="32"/>
          <w:highlight w:val="none"/>
        </w:rPr>
        <w:t xml:space="preserve">三</w:t>
      </w:r>
      <w:r>
        <w:rPr>
          <w:rFonts w:eastAsia="黑体"/>
          <w:color w:val="000000"/>
          <w:sz w:val="32"/>
          <w:szCs w:val="32"/>
          <w:highlight w:val="none"/>
        </w:rPr>
        <w:t xml:space="preserve">、健全制度机制，</w:t>
      </w:r>
      <w:r>
        <w:rPr>
          <w:rFonts w:hint="eastAsia" w:eastAsia="黑体"/>
          <w:color w:val="000000"/>
          <w:sz w:val="32"/>
          <w:szCs w:val="32"/>
          <w:highlight w:val="none"/>
        </w:rPr>
        <w:t xml:space="preserve">持续提升</w:t>
      </w:r>
      <w:r>
        <w:rPr>
          <w:rFonts w:eastAsia="黑体"/>
          <w:color w:val="000000"/>
          <w:sz w:val="32"/>
          <w:szCs w:val="32"/>
          <w:highlight w:val="none"/>
        </w:rPr>
        <w:t xml:space="preserve">财政预算管理</w:t>
      </w:r>
      <w:r>
        <w:rPr>
          <w:rFonts w:hint="eastAsia" w:eastAsia="黑体"/>
          <w:color w:val="000000"/>
          <w:sz w:val="32"/>
          <w:szCs w:val="32"/>
          <w:highlight w:val="none"/>
        </w:rPr>
        <w:t xml:space="preserve">水平</w:t>
      </w:r>
      <w:r>
        <w:rPr>
          <w:rFonts w:eastAsia="黑体"/>
          <w:color w:val="000000"/>
          <w:sz w:val="32"/>
          <w:szCs w:val="32"/>
          <w:highlight w:val="none"/>
        </w:rPr>
      </w:r>
      <w:r>
        <w:rPr>
          <w:rFonts w:eastAsia="黑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（一）在培源增收上持续发力</w:t>
      </w:r>
      <w:r>
        <w:rPr>
          <w:rFonts w:hint="eastAsia" w:eastAsia="方正仿宋简体"/>
          <w:color w:val="000000"/>
          <w:sz w:val="32"/>
          <w:szCs w:val="32"/>
          <w:highlight w:val="none"/>
        </w:rPr>
        <w:t xml:space="preserve">。一是坚定不移抓收入。聚焦地方收入，深入推进综合治税，强化收入形势分析、预期管理、动态监测和收入调度，依法征收、应收尽收，严防跑冒滴漏。持续高位推进国有“三资”清理盘活工作，不断探索盘活成功路径，切实把沉淀的资金、闲置的资产、沉睡的资源转化为可用财力。二是提升政策实施效果。用好财政补助、财政贴息、融资担保等多种政策工具，加强财政、金融、产业政策协同，突出政策放大效应，支持市场主体纾困发展。落实好结构性减税降费政策，支</w:t>
      </w:r>
      <w:r>
        <w:rPr>
          <w:rFonts w:hint="eastAsia" w:eastAsia="方正仿宋简体"/>
          <w:color w:val="000000"/>
          <w:sz w:val="32"/>
          <w:szCs w:val="32"/>
          <w:highlight w:val="none"/>
        </w:rPr>
        <w:t xml:space="preserve">持科技创新和制造业发展，推进产业链建设，实现补链强链延链。统筹资金支持大规模设备更新和消费品以旧换新，推进文旅融合高质量发展，释放消费潜力。扩大“免申即享”范围，支持更多惠企政策“免申即享”“即申即享”，推动惠企政策更高效率落地。围绕降低企业经营成本，持续优化营商环境。三是全力以赴向上争资。抢抓国家增加中央预算内投资、扩大专项债券规模和支持范围、发行超长期特别国债的政策机遇，压紧压实部门争资争项责任，积极向上争政策、争项目、争资金、争试点，支持实施一批打基础、利长远、惠民生的重点项目，持续释放政府投资动能。</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hint="eastAsia"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（二）在支出管理上持续发力</w:t>
      </w:r>
      <w:r>
        <w:rPr>
          <w:rFonts w:hint="eastAsia" w:eastAsia="方正仿宋简体"/>
          <w:color w:val="000000"/>
          <w:sz w:val="32"/>
          <w:szCs w:val="32"/>
          <w:highlight w:val="none"/>
        </w:rPr>
        <w:t xml:space="preserve">。一是严把支出关口。严格落实过紧日子要求，大力压减一般性支出和低效、无效支出，持续加强“三公”经费、会议费、培训费管理，不该花的钱一分都不能乱花，节省资金用于急需领域。硬化预算约束，提高预算执行质量，提升财政支出的精准性、有效性。二是优先保障“三保”支出。始终坚持“三保”支出在财政支出中的优先地位，健全和落实分级责任体系，建立健全范围清晰、标准明确、动态调整的“三保”清单制度，加强“三保”运行监控和“三保”支出库款保障，筑牢兜实“三保”底线。</w:t>
      </w:r>
      <w:r>
        <w:rPr>
          <w:rFonts w:hint="eastAsia" w:eastAsia="方正仿宋简体"/>
          <w:color w:val="000000"/>
          <w:sz w:val="32"/>
          <w:szCs w:val="32"/>
          <w:highlight w:val="none"/>
        </w:rPr>
        <w:t xml:space="preserve">三是增强重点领域支出保障。集中财力加大基本民生、乡村振兴、生态环保等重点领域的保障力度，加快补齐就业、教育、医疗、卫生等民生领域短板，支持开展共同缔造活动、城市更新行动，推动城乡融合发展、区域协调发展。四是大力化解债务风险。严格执行既有化债方案，统筹使用各类资金，按时偿还债务本息，缓释地方债务风险。统筹发展与安全，适度安排政府债务规模，实现债务限额与偿债能力相匹配。健全全口径地方债务监测监管体系和防范化解隐性债务风险长效机制，加强政府债券投后管理，加快形成实物工作量，做好专项债券收入归集，确保按时还本付息。</w:t>
      </w:r>
      <w:r>
        <w:rPr>
          <w:rFonts w:hint="eastAsia" w:eastAsia="方正仿宋简体"/>
          <w:color w:val="000000"/>
          <w:sz w:val="32"/>
          <w:szCs w:val="32"/>
          <w:highlight w:val="none"/>
        </w:rPr>
      </w:r>
      <w:r>
        <w:rPr>
          <w:rFonts w:hint="eastAsia"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（三）在深化改革上持续发力</w:t>
      </w:r>
      <w:r>
        <w:rPr>
          <w:rFonts w:hint="eastAsia" w:eastAsia="方正仿宋简体"/>
          <w:color w:val="000000"/>
          <w:sz w:val="32"/>
          <w:szCs w:val="32"/>
          <w:highlight w:val="none"/>
        </w:rPr>
        <w:t xml:space="preserve">。一是深化财政体制改革。落实新一轮财税体制改革部署，积极研究新业态税收、消</w:t>
      </w:r>
      <w:r>
        <w:rPr>
          <w:rFonts w:hint="eastAsia" w:eastAsia="方正仿宋简体"/>
          <w:color w:val="000000"/>
          <w:sz w:val="32"/>
          <w:szCs w:val="32"/>
          <w:highlight w:val="none"/>
        </w:rPr>
        <w:t xml:space="preserve">费税征收环节后移并下划地方、地方附加税适用税率等情况，提前研判影响，为精准拓展税源奠定基础。紧盯省以下财政体制改革动态，进一步完善市、区财政事权和支出责任划分，充分调动各方发展积极性。二是深化预算绩效管理改革。持续完善预算编制有目标、预算执行有监控、预算完成有评价、评价结果有反馈、反馈结果有应用的全过程预算管理机制，将绩效管理要求进一步融入政策制定、资金分配使用、财会监督、内部管理等各个方面，切实发挥预算绩效管理“指挥棒”作用。三是深化预算管理改革。深化零基预算改革，推进预算管理一体化系统建设，加快建立分领</w:t>
      </w:r>
      <w:r>
        <w:rPr>
          <w:rFonts w:hint="eastAsia" w:eastAsia="方正仿宋简体"/>
          <w:color w:val="000000"/>
          <w:sz w:val="32"/>
          <w:szCs w:val="32"/>
          <w:highlight w:val="none"/>
        </w:rPr>
        <w:t xml:space="preserve">域分行业、分类分档的预算支出标准体系，提高预算管理规范化、标准化、精细化水平。四是加强政府投资项目全生命周期管理。严格执行政府支出负面清单，依托政府投资项目综合绩效评价平台，规范财政承受能力评估、债务风险评估、财力论证、预算评审等工作流程，从源头上避免低效无效支出。五是加快大财政体系建设。做好“一账一表”成果转化，加强财政金融联动，推进资源资产化、资产资本化、资金杠杆化，实现有效资产、有效债务、有效投资的良性循环，畅通高质量发展动力循环机制。加快建立大财政综合绩效评价体系，以有效监管保障大财政体系有序运行。</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3"/>
        <w:rPr>
          <w:rFonts w:hint="eastAsia" w:eastAsia="方正仿宋简体"/>
          <w:color w:val="000000"/>
          <w:sz w:val="32"/>
          <w:szCs w:val="32"/>
          <w:highlight w:val="none"/>
        </w:rPr>
      </w:pPr>
      <w:r>
        <w:rPr>
          <w:rFonts w:hint="eastAsia" w:ascii="楷体_GB2312" w:hAnsi="楷体_GB2312" w:eastAsia="楷体_GB2312" w:cs="楷体_GB2312"/>
          <w:b/>
          <w:bCs/>
          <w:color w:val="000000"/>
          <w:sz w:val="32"/>
          <w:szCs w:val="32"/>
          <w:highlight w:val="none"/>
        </w:rPr>
        <w:t xml:space="preserve">（四）在财政监督上持续发力</w:t>
      </w:r>
      <w:r>
        <w:rPr>
          <w:rFonts w:hint="eastAsia" w:eastAsia="方正仿宋简体"/>
          <w:color w:val="000000"/>
          <w:sz w:val="32"/>
          <w:szCs w:val="32"/>
          <w:highlight w:val="none"/>
        </w:rPr>
        <w:t xml:space="preserve">。切实履行财会监督主责，聚焦减税降费、基层“三保”、转移支付资金、债务管理、政府采购、国有资产管理、财务会计管理等重点领域，深入开展财会监督，推动整改问责，让财经纪律“长牙带刺”。优化财会监督方式，将财会监督</w:t>
      </w:r>
      <w:r>
        <w:rPr>
          <w:rFonts w:hint="eastAsia" w:eastAsia="方正仿宋简体"/>
          <w:color w:val="000000"/>
          <w:sz w:val="32"/>
          <w:szCs w:val="32"/>
          <w:highlight w:val="none"/>
          <w:lang w:val="en-US" w:eastAsia="zh-CN"/>
        </w:rPr>
        <w:t xml:space="preserve">要求</w:t>
      </w:r>
      <w:r>
        <w:rPr>
          <w:rFonts w:hint="eastAsia" w:eastAsia="方正仿宋简体"/>
          <w:color w:val="000000"/>
          <w:sz w:val="32"/>
          <w:szCs w:val="32"/>
          <w:highlight w:val="none"/>
        </w:rPr>
        <w:t xml:space="preserve">嵌入预算管理一体化系统，实现“线上+线下”监督、事前事中事后监督、常态化监督与专项监督相结合，促进规范管理，提高财会监督实效。推进财会监督与人大监督、审计监督等其他监督贯通协调，形成监督合力。将财会监督结果作为预算管理、政策调整、资金安排的重要依据，堵塞管理漏洞，全面提升财政治理效能。</w:t>
      </w:r>
      <w:r>
        <w:rPr>
          <w:rFonts w:hint="eastAsia" w:eastAsia="方正仿宋简体"/>
          <w:color w:val="000000"/>
          <w:sz w:val="32"/>
          <w:szCs w:val="32"/>
          <w:highlight w:val="none"/>
        </w:rPr>
      </w:r>
      <w:r>
        <w:rPr>
          <w:rFonts w:hint="eastAsia"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主任、各位副主任、秘书长、各位委员：202</w:t>
      </w:r>
      <w:r>
        <w:rPr>
          <w:rFonts w:hint="eastAsia" w:eastAsia="方正仿宋简体"/>
          <w:color w:val="000000"/>
          <w:sz w:val="32"/>
          <w:szCs w:val="32"/>
          <w:highlight w:val="none"/>
        </w:rPr>
        <w:t xml:space="preserve">4</w:t>
      </w:r>
      <w:r>
        <w:rPr>
          <w:rFonts w:eastAsia="方正仿宋简体"/>
          <w:color w:val="000000"/>
          <w:sz w:val="32"/>
          <w:szCs w:val="32"/>
          <w:highlight w:val="none"/>
        </w:rPr>
        <w:t xml:space="preserve">年财政改革发展的任务十分艰巨，全市财政部门将认真贯彻落实本次会议决议，真抓实干，攻坚克难，扎实做好202</w:t>
      </w:r>
      <w:r>
        <w:rPr>
          <w:rFonts w:hint="eastAsia" w:eastAsia="方正仿宋简体"/>
          <w:color w:val="000000"/>
          <w:sz w:val="32"/>
          <w:szCs w:val="32"/>
          <w:highlight w:val="none"/>
        </w:rPr>
        <w:t xml:space="preserve">4</w:t>
      </w:r>
      <w:r>
        <w:rPr>
          <w:rFonts w:eastAsia="方正仿宋简体"/>
          <w:color w:val="000000"/>
          <w:sz w:val="32"/>
          <w:szCs w:val="32"/>
          <w:highlight w:val="none"/>
        </w:rPr>
        <w:t xml:space="preserve">年的预算执行和各项财政工作，确保圆满完成202</w:t>
      </w:r>
      <w:r>
        <w:rPr>
          <w:rFonts w:hint="eastAsia" w:eastAsia="方正仿宋简体"/>
          <w:color w:val="000000"/>
          <w:sz w:val="32"/>
          <w:szCs w:val="32"/>
          <w:highlight w:val="none"/>
        </w:rPr>
        <w:t xml:space="preserve">4</w:t>
      </w:r>
      <w:r>
        <w:rPr>
          <w:rFonts w:eastAsia="方正仿宋简体"/>
          <w:color w:val="000000"/>
          <w:sz w:val="32"/>
          <w:szCs w:val="32"/>
          <w:highlight w:val="none"/>
        </w:rPr>
        <w:t xml:space="preserve">年预算目标，为打造“汉襄肱骨、神韵随州”作出更大贡献。</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  </w:t>
      </w:r>
      <w:r>
        <w:rPr>
          <w:rFonts w:eastAsia="方正仿宋简体"/>
          <w:color w:val="000000"/>
          <w:sz w:val="32"/>
          <w:szCs w:val="32"/>
          <w:highlight w:val="none"/>
        </w:rPr>
      </w:r>
      <w:r>
        <w:rPr>
          <w:rFonts w:eastAsia="方正仿宋简体"/>
          <w:color w:val="000000"/>
          <w:sz w:val="32"/>
          <w:szCs w:val="32"/>
          <w:highlight w:val="none"/>
        </w:rPr>
      </w:r>
    </w:p>
    <w:p>
      <w:pPr>
        <w:pStyle w:val="684"/>
        <w:keepNext w:val="false"/>
        <w:keepLines w:val="false"/>
        <w:pageBreakBefore w:val="false"/>
        <w:widowControl w:val="false"/>
        <w:pBdr/>
        <w:spacing w:line="620" w:lineRule="exact"/>
        <w:ind w:firstLine="640"/>
        <w:rPr>
          <w:rFonts w:eastAsia="方正仿宋简体"/>
          <w:color w:val="000000"/>
          <w:sz w:val="32"/>
          <w:szCs w:val="32"/>
          <w:highlight w:val="none"/>
        </w:rPr>
      </w:pPr>
      <w:r>
        <w:rPr>
          <w:rFonts w:eastAsia="方正仿宋简体"/>
          <w:color w:val="000000"/>
          <w:sz w:val="32"/>
          <w:szCs w:val="32"/>
          <w:highlight w:val="none"/>
        </w:rPr>
        <w:t xml:space="preserve">附件：随州市202</w:t>
      </w:r>
      <w:r>
        <w:rPr>
          <w:rFonts w:hint="eastAsia" w:eastAsia="方正仿宋简体"/>
          <w:color w:val="000000"/>
          <w:sz w:val="32"/>
          <w:szCs w:val="32"/>
          <w:highlight w:val="none"/>
        </w:rPr>
        <w:t xml:space="preserve">3</w:t>
      </w:r>
      <w:r>
        <w:rPr>
          <w:rFonts w:eastAsia="方正仿宋简体"/>
          <w:color w:val="000000"/>
          <w:sz w:val="32"/>
          <w:szCs w:val="32"/>
          <w:highlight w:val="none"/>
        </w:rPr>
        <w:t xml:space="preserve">年市级财政决算（草案）     </w:t>
      </w:r>
      <w:r>
        <w:rPr>
          <w:rFonts w:eastAsia="方正仿宋简体"/>
          <w:color w:val="000000"/>
          <w:sz w:val="32"/>
          <w:szCs w:val="32"/>
          <w:highlight w:val="none"/>
        </w:rPr>
      </w:r>
    </w:p>
    <w:sectPr>
      <w:headerReference w:type="default" r:id="rId8"/>
      <w:footerReference w:type="default" r:id="rId9"/>
      <w:footerReference w:type="even" r:id="rId10"/>
      <w:footnotePr/>
      <w:endnotePr/>
      <w:type w:val="nextPage"/>
      <w:pgSz w:h="16838" w:orient="landscape" w:w="11906"/>
      <w:pgMar w:top="1984" w:right="1587" w:bottom="1814" w:left="1587" w:header="851" w:footer="1417"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大标宋简体">
    <w:panose1 w:val="020B0604020202020204"/>
  </w:font>
  <w:font w:name="仿宋">
    <w:panose1 w:val="02010609060101010101"/>
  </w:font>
  <w:font w:name="楷体_GB2312">
    <w:panose1 w:val="02010609060101010101"/>
  </w:font>
  <w:font w:name="方正仿宋简体">
    <w:panose1 w:val="020B0604020202020204"/>
  </w:font>
  <w:font w:name="仿宋_GB2312">
    <w:panose1 w:val="02010609060101010101"/>
  </w:font>
  <w:font w:name="Arial">
    <w:panose1 w:val="020B0604020202020204"/>
  </w:font>
  <w:font w:name="Calibri">
    <w:panose1 w:val="020F0502020204030204"/>
  </w:font>
  <w:font w:name="等线">
    <w:panose1 w:val="02010600030101010101"/>
  </w:font>
  <w:font w:name="宋体">
    <w:panose1 w:val="02010600030101010101"/>
  </w:font>
  <w:font w:name="Courier New">
    <w:panose1 w:val="020703090202050204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Bdr/>
      <w:tabs>
        <w:tab w:val="center" w:leader="none" w:pos="4153"/>
        <w:tab w:val="right" w:leader="none" w:pos="8306"/>
      </w:tabs>
      <w:spacing/>
      <w:ind w:right="360" w:firstLine="36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-87629</wp:posOffset>
              </wp:positionV>
              <wp:extent cx="675005" cy="227330"/>
              <wp:effectExtent l="0" t="0" r="0" b="0"/>
              <wp:wrapNone/>
              <wp:docPr id="1" name="_x0000_s1025"/>
              <wp:cNvGraphicFramePr/>
              <a:graphic xmlns:a="http://schemas.openxmlformats.org/drawingml/2006/main">
                <a:graphicData uri="http://schemas.microsoft.com/office/word/2010/wordprocessingShape">
                  <wps:wsp>
                    <wps:cNvPr id="0" name=""/>
                    <wps:cNvSpPr txBox="1"/>
                    <wps:spPr bwMode="auto">
                      <a:xfrm>
                        <a:off x="0" y="0"/>
                        <a:ext cx="675005" cy="227330"/>
                      </a:xfrm>
                      <a:prstGeom prst="rect">
                        <a:avLst/>
                      </a:prstGeom>
                      <a:noFill/>
                      <a:ln>
                        <a:noFill/>
                      </a:ln>
                    </wps:spPr>
                    <wps:txbx>
                      <w:txbxContent>
                        <w:p>
                          <w:pPr>
                            <w:pStyle w:val="691"/>
                            <w:pBdr/>
                            <w:tabs>
                              <w:tab w:val="center" w:leader="none" w:pos="4153"/>
                              <w:tab w:val="right" w:leader="none" w:pos="8306"/>
                            </w:tabs>
                            <w:spacing/>
                            <w:ind/>
                            <w:rPr>
                              <w:rStyle w:val="694"/>
                              <w:sz w:val="24"/>
                              <w:szCs w:val="24"/>
                            </w:rPr>
                          </w:pPr>
                          <w:r>
                            <w:rPr>
                              <w:sz w:val="24"/>
                              <w:szCs w:val="24"/>
                            </w:rPr>
                            <w:t xml:space="preserve">— </w:t>
                          </w:r>
                          <w:r>
                            <w:rPr>
                              <w:sz w:val="24"/>
                              <w:szCs w:val="24"/>
                            </w:rPr>
                            <w:fldChar w:fldCharType="begin"/>
                          </w:r>
                          <w:r>
                            <w:rPr>
                              <w:rStyle w:val="694"/>
                              <w:sz w:val="24"/>
                              <w:szCs w:val="24"/>
                            </w:rPr>
                            <w:instrText xml:space="preserve">PAGE  </w:instrText>
                          </w:r>
                          <w:r>
                            <w:rPr>
                              <w:sz w:val="24"/>
                              <w:szCs w:val="24"/>
                            </w:rPr>
                            <w:fldChar w:fldCharType="separate"/>
                          </w:r>
                          <w:r>
                            <w:rPr>
                              <w:rStyle w:val="694"/>
                              <w:sz w:val="24"/>
                              <w:szCs w:val="24"/>
                            </w:rPr>
                            <w:t xml:space="preserve">20</w:t>
                          </w:r>
                          <w:r>
                            <w:rPr>
                              <w:sz w:val="24"/>
                              <w:szCs w:val="24"/>
                            </w:rPr>
                            <w:fldChar w:fldCharType="end"/>
                          </w:r>
                          <w:r>
                            <w:rPr>
                              <w:sz w:val="24"/>
                              <w:szCs w:val="24"/>
                            </w:rPr>
                            <w:t xml:space="preserve"> —</w:t>
                          </w:r>
                          <w:r>
                            <w:rPr>
                              <w:rStyle w:val="694"/>
                              <w:sz w:val="24"/>
                              <w:szCs w:val="24"/>
                            </w:rPr>
                          </w:r>
                          <w:r>
                            <w:rPr>
                              <w:rStyle w:val="694"/>
                              <w:sz w:val="24"/>
                              <w:szCs w:val="24"/>
                            </w:rPr>
                          </w:r>
                        </w:p>
                        <w:p>
                          <w:pPr>
                            <w:pStyle w:val="684"/>
                            <w:pBdr/>
                            <w:spacing/>
                            <w:ind/>
                            <w:rPr/>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6.90pt;mso-position-vertical:absolute;width:53.15pt;height:17.90pt;mso-wrap-distance-left:9.00pt;mso-wrap-distance-top:0.00pt;mso-wrap-distance-right:9.00pt;mso-wrap-distance-bottom:0.00pt;visibility:visible;" filled="f" stroked="f">
              <v:textbox inset="0,0,0,0">
                <w:txbxContent>
                  <w:p>
                    <w:pPr>
                      <w:pStyle w:val="691"/>
                      <w:pBdr/>
                      <w:tabs>
                        <w:tab w:val="center" w:leader="none" w:pos="4153"/>
                        <w:tab w:val="right" w:leader="none" w:pos="8306"/>
                      </w:tabs>
                      <w:spacing/>
                      <w:ind/>
                      <w:rPr>
                        <w:rStyle w:val="694"/>
                        <w:sz w:val="24"/>
                        <w:szCs w:val="24"/>
                      </w:rPr>
                    </w:pPr>
                    <w:r>
                      <w:rPr>
                        <w:sz w:val="24"/>
                        <w:szCs w:val="24"/>
                      </w:rPr>
                      <w:t xml:space="preserve">— </w:t>
                    </w:r>
                    <w:r>
                      <w:rPr>
                        <w:sz w:val="24"/>
                        <w:szCs w:val="24"/>
                      </w:rPr>
                      <w:fldChar w:fldCharType="begin"/>
                    </w:r>
                    <w:r>
                      <w:rPr>
                        <w:rStyle w:val="694"/>
                        <w:sz w:val="24"/>
                        <w:szCs w:val="24"/>
                      </w:rPr>
                      <w:instrText xml:space="preserve">PAGE  </w:instrText>
                    </w:r>
                    <w:r>
                      <w:rPr>
                        <w:sz w:val="24"/>
                        <w:szCs w:val="24"/>
                      </w:rPr>
                      <w:fldChar w:fldCharType="separate"/>
                    </w:r>
                    <w:r>
                      <w:rPr>
                        <w:rStyle w:val="694"/>
                        <w:sz w:val="24"/>
                        <w:szCs w:val="24"/>
                      </w:rPr>
                      <w:t xml:space="preserve">20</w:t>
                    </w:r>
                    <w:r>
                      <w:rPr>
                        <w:sz w:val="24"/>
                        <w:szCs w:val="24"/>
                      </w:rPr>
                      <w:fldChar w:fldCharType="end"/>
                    </w:r>
                    <w:r>
                      <w:rPr>
                        <w:sz w:val="24"/>
                        <w:szCs w:val="24"/>
                      </w:rPr>
                      <w:t xml:space="preserve"> —</w:t>
                    </w:r>
                    <w:r>
                      <w:rPr>
                        <w:rStyle w:val="694"/>
                        <w:sz w:val="24"/>
                        <w:szCs w:val="24"/>
                      </w:rPr>
                    </w:r>
                    <w:r>
                      <w:rPr>
                        <w:rStyle w:val="694"/>
                        <w:sz w:val="24"/>
                        <w:szCs w:val="24"/>
                      </w:rPr>
                    </w:r>
                  </w:p>
                  <w:p>
                    <w:pPr>
                      <w:pStyle w:val="684"/>
                      <w:pBdr/>
                      <w:spacing/>
                      <w:ind/>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framePr w:hAnchor="margin" w:vAnchor="text" w:wrap="around" w:xAlign="center" w:y="1"/>
      <w:pBdr/>
      <w:tabs>
        <w:tab w:val="center" w:leader="none" w:pos="4153"/>
        <w:tab w:val="right" w:leader="none" w:pos="8306"/>
      </w:tabs>
      <w:spacing/>
      <w:ind/>
      <w:rPr>
        <w:rStyle w:val="694"/>
      </w:rPr>
    </w:pPr>
    <w:r>
      <w:fldChar w:fldCharType="begin"/>
    </w:r>
    <w:r>
      <w:rPr>
        <w:rStyle w:val="694"/>
      </w:rPr>
      <w:instrText xml:space="preserve">PAGE  </w:instrText>
    </w:r>
    <w:r>
      <w:fldChar w:fldCharType="end"/>
    </w:r>
    <w:r>
      <w:rPr>
        <w:rStyle w:val="694"/>
      </w:rPr>
    </w:r>
    <w:r>
      <w:rPr>
        <w:rStyle w:val="694"/>
      </w:rPr>
    </w:r>
  </w:p>
  <w:p>
    <w:pPr>
      <w:pStyle w:val="691"/>
      <w:pBdr/>
      <w:tabs>
        <w:tab w:val="center" w:leader="none" w:pos="4153"/>
        <w:tab w:val="right" w:leader="none" w:pos="8306"/>
      </w:tabs>
      <w:spacing/>
      <w:ind w:right="360" w:firstLine="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Bdr>
        <w:bottom w:val="none" w:color="000000" w:sz="0" w:space="0"/>
      </w:pBdr>
      <w:tabs>
        <w:tab w:val="center" w:leader="none" w:pos="4153"/>
        <w:tab w:val="right" w:leader="none" w:pos="8306"/>
      </w:tabs>
      <w:spacing/>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84"/>
    <w:next w:val="684"/>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84"/>
    <w:next w:val="684"/>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84"/>
    <w:next w:val="684"/>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84"/>
    <w:next w:val="684"/>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84"/>
    <w:next w:val="684"/>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84"/>
    <w:next w:val="684"/>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84"/>
    <w:next w:val="684"/>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84"/>
    <w:next w:val="684"/>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84"/>
    <w:next w:val="684"/>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84"/>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84"/>
    <w:next w:val="684"/>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84"/>
    <w:next w:val="684"/>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84"/>
    <w:next w:val="684"/>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84"/>
    <w:next w:val="684"/>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84"/>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84"/>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84"/>
    <w:next w:val="684"/>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84"/>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84"/>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84"/>
    <w:next w:val="684"/>
    <w:uiPriority w:val="39"/>
    <w:unhideWhenUsed/>
    <w:pPr>
      <w:pBdr/>
      <w:spacing w:after="57"/>
      <w:ind w:right="0" w:firstLine="0" w:left="0"/>
    </w:pPr>
  </w:style>
  <w:style w:type="paragraph" w:styleId="182">
    <w:name w:val="toc 2"/>
    <w:basedOn w:val="684"/>
    <w:next w:val="684"/>
    <w:uiPriority w:val="39"/>
    <w:unhideWhenUsed/>
    <w:pPr>
      <w:pBdr/>
      <w:spacing w:after="57"/>
      <w:ind w:right="0" w:firstLine="0" w:left="283"/>
    </w:pPr>
  </w:style>
  <w:style w:type="paragraph" w:styleId="183">
    <w:name w:val="toc 3"/>
    <w:basedOn w:val="684"/>
    <w:next w:val="684"/>
    <w:uiPriority w:val="39"/>
    <w:unhideWhenUsed/>
    <w:pPr>
      <w:pBdr/>
      <w:spacing w:after="57"/>
      <w:ind w:right="0" w:firstLine="0" w:left="567"/>
    </w:pPr>
  </w:style>
  <w:style w:type="paragraph" w:styleId="184">
    <w:name w:val="toc 4"/>
    <w:basedOn w:val="684"/>
    <w:next w:val="684"/>
    <w:uiPriority w:val="39"/>
    <w:unhideWhenUsed/>
    <w:pPr>
      <w:pBdr/>
      <w:spacing w:after="57"/>
      <w:ind w:right="0" w:firstLine="0" w:left="850"/>
    </w:pPr>
  </w:style>
  <w:style w:type="paragraph" w:styleId="185">
    <w:name w:val="toc 5"/>
    <w:basedOn w:val="684"/>
    <w:next w:val="684"/>
    <w:uiPriority w:val="39"/>
    <w:unhideWhenUsed/>
    <w:pPr>
      <w:pBdr/>
      <w:spacing w:after="57"/>
      <w:ind w:right="0" w:firstLine="0" w:left="1134"/>
    </w:pPr>
  </w:style>
  <w:style w:type="paragraph" w:styleId="186">
    <w:name w:val="toc 6"/>
    <w:basedOn w:val="684"/>
    <w:next w:val="684"/>
    <w:uiPriority w:val="39"/>
    <w:unhideWhenUsed/>
    <w:pPr>
      <w:pBdr/>
      <w:spacing w:after="57"/>
      <w:ind w:right="0" w:firstLine="0" w:left="1417"/>
    </w:pPr>
  </w:style>
  <w:style w:type="paragraph" w:styleId="187">
    <w:name w:val="toc 7"/>
    <w:basedOn w:val="684"/>
    <w:next w:val="684"/>
    <w:uiPriority w:val="39"/>
    <w:unhideWhenUsed/>
    <w:pPr>
      <w:pBdr/>
      <w:spacing w:after="57"/>
      <w:ind w:right="0" w:firstLine="0" w:left="1701"/>
    </w:pPr>
  </w:style>
  <w:style w:type="paragraph" w:styleId="188">
    <w:name w:val="toc 8"/>
    <w:basedOn w:val="684"/>
    <w:next w:val="684"/>
    <w:uiPriority w:val="39"/>
    <w:unhideWhenUsed/>
    <w:pPr>
      <w:pBdr/>
      <w:spacing w:after="57"/>
      <w:ind w:right="0" w:firstLine="0" w:left="1984"/>
    </w:pPr>
  </w:style>
  <w:style w:type="paragraph" w:styleId="189">
    <w:name w:val="toc 9"/>
    <w:basedOn w:val="684"/>
    <w:next w:val="684"/>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84"/>
    <w:next w:val="684"/>
    <w:uiPriority w:val="99"/>
    <w:unhideWhenUsed/>
    <w:pPr>
      <w:pBdr/>
      <w:spacing w:after="0" w:afterAutospacing="0"/>
      <w:ind/>
    </w:pPr>
  </w:style>
  <w:style w:type="paragraph" w:styleId="684" w:default="1">
    <w:name w:val="Normal"/>
    <w:next w:val="684"/>
    <w:link w:val="684"/>
    <w:qFormat/>
    <w:pPr>
      <w:widowControl w:val="false"/>
      <w:pBdr/>
      <w:spacing/>
      <w:ind/>
      <w:jc w:val="both"/>
    </w:pPr>
    <w:rPr>
      <w:sz w:val="21"/>
      <w:szCs w:val="24"/>
      <w:lang w:val="en-US" w:eastAsia="zh-CN" w:bidi="ar-SA"/>
    </w:rPr>
  </w:style>
  <w:style w:type="character" w:styleId="685">
    <w:name w:val="默认段落字体"/>
    <w:next w:val="685"/>
    <w:link w:val="684"/>
    <w:semiHidden/>
    <w:pPr>
      <w:pBdr/>
      <w:spacing/>
      <w:ind/>
    </w:pPr>
  </w:style>
  <w:style w:type="table" w:styleId="686">
    <w:name w:val="普通表格"/>
    <w:next w:val="686"/>
    <w:link w:val="684"/>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687">
    <w:name w:val="正文文本缩进"/>
    <w:basedOn w:val="684"/>
    <w:next w:val="688"/>
    <w:link w:val="684"/>
    <w:qFormat/>
    <w:pPr>
      <w:pBdr/>
      <w:spacing/>
      <w:ind w:firstLine="570"/>
    </w:pPr>
    <w:rPr>
      <w:rFonts w:ascii="宋体" w:hAnsi="Times New Roman" w:eastAsia="Times New Roman"/>
      <w:sz w:val="28"/>
      <w:szCs w:val="28"/>
    </w:rPr>
  </w:style>
  <w:style w:type="paragraph" w:styleId="688">
    <w:name w:val="正文首行缩进 2"/>
    <w:basedOn w:val="687"/>
    <w:next w:val="684"/>
    <w:link w:val="684"/>
    <w:qFormat/>
    <w:pPr>
      <w:pBdr/>
      <w:spacing w:after="120"/>
      <w:ind w:firstLine="420" w:left="420"/>
    </w:pPr>
    <w:rPr>
      <w:rFonts w:ascii="Calibri" w:hAnsi="Calibri" w:eastAsia="宋体"/>
      <w:sz w:val="21"/>
      <w:szCs w:val="22"/>
      <w:lang w:val="en-US" w:eastAsia="zh-CN"/>
    </w:rPr>
  </w:style>
  <w:style w:type="paragraph" w:styleId="689">
    <w:name w:val="纯文本"/>
    <w:basedOn w:val="684"/>
    <w:next w:val="689"/>
    <w:link w:val="684"/>
    <w:pPr>
      <w:pBdr/>
      <w:spacing/>
      <w:ind/>
    </w:pPr>
    <w:rPr>
      <w:rFonts w:ascii="仿宋_GB2312" w:hAnsi="Courier New" w:eastAsia="仿宋_GB2312" w:cs="Courier New"/>
      <w:sz w:val="32"/>
      <w:szCs w:val="21"/>
    </w:rPr>
  </w:style>
  <w:style w:type="paragraph" w:styleId="690">
    <w:name w:val="批注框文本"/>
    <w:basedOn w:val="684"/>
    <w:next w:val="690"/>
    <w:link w:val="684"/>
    <w:semiHidden/>
    <w:pPr>
      <w:pBdr/>
      <w:spacing/>
      <w:ind/>
    </w:pPr>
    <w:rPr>
      <w:sz w:val="18"/>
      <w:szCs w:val="18"/>
    </w:rPr>
  </w:style>
  <w:style w:type="paragraph" w:styleId="691">
    <w:name w:val="页脚"/>
    <w:basedOn w:val="684"/>
    <w:next w:val="691"/>
    <w:link w:val="684"/>
    <w:pPr>
      <w:pBdr/>
      <w:tabs>
        <w:tab w:val="center" w:leader="none" w:pos="4153"/>
        <w:tab w:val="right" w:leader="none" w:pos="8306"/>
      </w:tabs>
      <w:spacing/>
      <w:ind/>
      <w:jc w:val="left"/>
    </w:pPr>
    <w:rPr>
      <w:sz w:val="18"/>
      <w:szCs w:val="18"/>
    </w:rPr>
  </w:style>
  <w:style w:type="paragraph" w:styleId="692">
    <w:name w:val="页眉"/>
    <w:basedOn w:val="684"/>
    <w:next w:val="692"/>
    <w:link w:val="684"/>
    <w:pPr>
      <w:pBdr>
        <w:bottom w:val="single" w:color="000000" w:sz="6" w:space="1"/>
      </w:pBdr>
      <w:tabs>
        <w:tab w:val="center" w:leader="none" w:pos="4153"/>
        <w:tab w:val="right" w:leader="none" w:pos="8306"/>
      </w:tabs>
      <w:spacing/>
      <w:ind/>
      <w:jc w:val="center"/>
    </w:pPr>
    <w:rPr>
      <w:sz w:val="18"/>
      <w:szCs w:val="18"/>
    </w:rPr>
  </w:style>
  <w:style w:type="paragraph" w:styleId="693">
    <w:name w:val="HTML 预设格式"/>
    <w:basedOn w:val="684"/>
    <w:next w:val="693"/>
    <w:link w:val="684"/>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jc w:val="left"/>
    </w:pPr>
    <w:rPr>
      <w:rFonts w:hint="eastAsia" w:ascii="宋体" w:hAnsi="宋体" w:eastAsia="宋体" w:cs="宋体"/>
      <w:sz w:val="24"/>
      <w:szCs w:val="24"/>
      <w:lang w:val="en-US" w:eastAsia="zh-CN" w:bidi="ar"/>
    </w:rPr>
  </w:style>
  <w:style w:type="character" w:styleId="694">
    <w:name w:val="页码"/>
    <w:next w:val="694"/>
    <w:link w:val="684"/>
    <w:pPr>
      <w:pBdr/>
      <w:spacing/>
      <w:ind/>
    </w:pPr>
  </w:style>
  <w:style w:type="paragraph" w:styleId="695">
    <w:name w:val="Body Text First Indent 2"/>
    <w:basedOn w:val="696"/>
    <w:next w:val="695"/>
    <w:link w:val="684"/>
    <w:qFormat/>
    <w:pPr>
      <w:widowControl w:val="false"/>
      <w:pBdr/>
      <w:spacing w:after="120"/>
      <w:ind/>
      <w:jc w:val="both"/>
    </w:pPr>
    <w:rPr>
      <w:rFonts w:eastAsia="方正仿宋简体"/>
      <w:sz w:val="21"/>
      <w:szCs w:val="22"/>
      <w:lang w:val="en-US" w:eastAsia="zh-CN" w:bidi="ar-SA"/>
    </w:rPr>
  </w:style>
  <w:style w:type="paragraph" w:styleId="696">
    <w:name w:val="Body Text Indent"/>
    <w:next w:val="696"/>
    <w:link w:val="684"/>
    <w:qFormat/>
    <w:pPr>
      <w:widowControl w:val="false"/>
      <w:pBdr/>
      <w:spacing w:after="120"/>
      <w:ind w:left="420"/>
      <w:jc w:val="both"/>
    </w:pPr>
    <w:rPr>
      <w:sz w:val="21"/>
      <w:szCs w:val="24"/>
      <w:lang w:val="en-US" w:eastAsia="zh-CN" w:bidi="ar-SA"/>
    </w:rPr>
  </w:style>
  <w:style w:type="character" w:styleId="1666" w:default="1">
    <w:name w:val="Default Paragraph Font"/>
    <w:uiPriority w:val="1"/>
    <w:semiHidden/>
    <w:unhideWhenUsed/>
    <w:pPr>
      <w:pBdr/>
      <w:spacing/>
      <w:ind/>
    </w:pPr>
  </w:style>
  <w:style w:type="numbering" w:styleId="1667" w:default="1">
    <w:name w:val="No List"/>
    <w:uiPriority w:val="99"/>
    <w:semiHidden/>
    <w:unhideWhenUsed/>
    <w:pPr>
      <w:pBdr/>
      <w:spacing/>
      <w:ind/>
    </w:pPr>
  </w:style>
  <w:style w:type="table" w:styleId="1668"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关于随州市2016</dc:title>
  <dc:creator>Us</dc:creator>
  <cp:lastModifiedBy>匿名</cp:lastModifiedBy>
  <cp:revision>2</cp:revision>
  <dcterms:created xsi:type="dcterms:W3CDTF">2018-01-31T18:55:00Z</dcterms:created>
  <dcterms:modified xsi:type="dcterms:W3CDTF">2025-05-28T09:18:08Z</dcterms:modified>
</cp:coreProperties>
</file>