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keepNext w:val="false"/>
        <w:keepLines w:val="false"/>
        <w:pageBreakBefore w:val="false"/>
        <w:widowControl w:val="false"/>
        <w:pBdr/>
        <w:spacing w:line="700" w:lineRule="exact"/>
        <w:ind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一般公共预算财政拨款安排的“三公”</w:t>
      </w:r>
      <w:r>
        <w:rPr>
          <w:rFonts w:hint="eastAsia"/>
          <w:sz w:val="44"/>
          <w:szCs w:val="44"/>
        </w:rPr>
      </w:r>
    </w:p>
    <w:p>
      <w:pPr>
        <w:keepNext w:val="false"/>
        <w:keepLines w:val="false"/>
        <w:pageBreakBefore w:val="false"/>
        <w:widowControl w:val="false"/>
        <w:pBdr/>
        <w:spacing w:line="700" w:lineRule="exact"/>
        <w:ind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经费支出决算情况说明：</w:t>
      </w:r>
      <w:r>
        <w:rPr>
          <w:rFonts w:hint="eastAsia"/>
          <w:sz w:val="44"/>
          <w:szCs w:val="44"/>
        </w:rPr>
      </w:r>
    </w:p>
    <w:p>
      <w:pPr>
        <w:pBdr/>
        <w:spacing/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</w:r>
      <w:r>
        <w:rPr>
          <w:rFonts w:hint="eastAsia"/>
          <w:sz w:val="32"/>
          <w:szCs w:val="32"/>
        </w:rPr>
      </w:r>
    </w:p>
    <w:p>
      <w:pPr>
        <w:keepNext w:val="false"/>
        <w:keepLines w:val="false"/>
        <w:pageBreakBefore w:val="false"/>
        <w:widowControl w:val="false"/>
        <w:pBdr/>
        <w:spacing w:line="640" w:lineRule="exact"/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 xml:space="preserve">市直部门按照过“紧日子”要求，严格落实中央八项规定实施细则，从严控制和压缩“三公”经费支出，加上疫情影响，市级“三公”经费大幅下降。</w:t>
      </w:r>
      <w:r>
        <w:rPr>
          <w:rFonts w:hint="eastAsia"/>
          <w:sz w:val="32"/>
          <w:szCs w:val="32"/>
          <w:lang w:val="en-US" w:eastAsia="zh-CN"/>
        </w:rPr>
        <w:t xml:space="preserve">据统计，2023年度“三公</w:t>
      </w:r>
      <w:r>
        <w:rPr>
          <w:rFonts w:hint="default"/>
          <w:sz w:val="32"/>
          <w:szCs w:val="32"/>
          <w:lang w:val="en-US" w:eastAsia="zh-CN"/>
        </w:rPr>
        <w:t xml:space="preserve">”</w:t>
      </w:r>
      <w:r>
        <w:rPr>
          <w:rFonts w:hint="eastAsia"/>
          <w:sz w:val="32"/>
          <w:szCs w:val="32"/>
          <w:lang w:val="en-US" w:eastAsia="zh-CN"/>
        </w:rPr>
        <w:t xml:space="preserve">经费支出决算1855万元，同比增长9.1%，比年初预算数2034万元减少179万元。</w:t>
      </w:r>
      <w:r>
        <w:rPr>
          <w:rFonts w:hint="eastAsia"/>
          <w:sz w:val="32"/>
          <w:szCs w:val="32"/>
        </w:rPr>
        <w:t xml:space="preserve">其中：因公出国（境）</w:t>
      </w:r>
      <w:r>
        <w:rPr>
          <w:rFonts w:hint="eastAsia"/>
          <w:sz w:val="32"/>
          <w:szCs w:val="32"/>
          <w:lang w:val="en-US" w:eastAsia="zh-CN"/>
        </w:rPr>
        <w:t xml:space="preserve">费支出决算106</w:t>
      </w:r>
      <w:r>
        <w:rPr>
          <w:rFonts w:hint="eastAsia"/>
          <w:sz w:val="32"/>
          <w:szCs w:val="32"/>
        </w:rPr>
        <w:t xml:space="preserve">万元</w:t>
      </w:r>
      <w:r>
        <w:rPr>
          <w:rFonts w:hint="eastAsia"/>
          <w:sz w:val="32"/>
          <w:szCs w:val="32"/>
          <w:lang w:eastAsia="zh-CN"/>
        </w:rPr>
        <w:t xml:space="preserve">；</w:t>
      </w:r>
      <w:r>
        <w:rPr>
          <w:rFonts w:hint="eastAsia"/>
          <w:sz w:val="32"/>
          <w:szCs w:val="32"/>
        </w:rPr>
        <w:t xml:space="preserve">公务用车购置及运行维护费</w:t>
      </w:r>
      <w:r>
        <w:rPr>
          <w:rFonts w:hint="eastAsia"/>
          <w:sz w:val="32"/>
          <w:szCs w:val="32"/>
          <w:lang w:val="en-US" w:eastAsia="zh-CN"/>
        </w:rPr>
        <w:t xml:space="preserve">支出决算1656</w:t>
      </w:r>
      <w:r>
        <w:rPr>
          <w:rFonts w:hint="eastAsia"/>
          <w:sz w:val="32"/>
          <w:szCs w:val="32"/>
        </w:rPr>
        <w:t xml:space="preserve">万元</w:t>
      </w:r>
      <w:r>
        <w:rPr>
          <w:rFonts w:hint="eastAsia"/>
          <w:sz w:val="32"/>
          <w:szCs w:val="32"/>
          <w:lang w:eastAsia="zh-CN"/>
        </w:rPr>
        <w:t xml:space="preserve">；</w:t>
      </w:r>
      <w:r>
        <w:rPr>
          <w:rFonts w:hint="eastAsia"/>
          <w:sz w:val="32"/>
          <w:szCs w:val="32"/>
        </w:rPr>
        <w:t xml:space="preserve">公务接待费</w:t>
      </w:r>
      <w:r>
        <w:rPr>
          <w:rFonts w:hint="eastAsia"/>
          <w:sz w:val="32"/>
          <w:szCs w:val="32"/>
          <w:lang w:val="en-US" w:eastAsia="zh-CN"/>
        </w:rPr>
        <w:t xml:space="preserve">支出决算93</w:t>
      </w:r>
      <w:r>
        <w:rPr>
          <w:rFonts w:hint="eastAsia"/>
          <w:sz w:val="32"/>
          <w:szCs w:val="32"/>
        </w:rPr>
        <w:t xml:space="preserve">万元</w:t>
      </w:r>
      <w:r>
        <w:rPr>
          <w:rFonts w:hint="eastAsia"/>
          <w:sz w:val="32"/>
          <w:szCs w:val="32"/>
          <w:lang w:eastAsia="zh-CN"/>
        </w:rPr>
        <w:t xml:space="preserve">。</w:t>
      </w:r>
      <w:r>
        <w:rPr>
          <w:rFonts w:hint="eastAsia"/>
          <w:sz w:val="32"/>
          <w:szCs w:val="32"/>
          <w:lang w:val="en-US" w:eastAsia="zh-CN"/>
        </w:rPr>
        <w:t xml:space="preserve">具体情况如下：</w:t>
      </w:r>
      <w:r>
        <w:rPr>
          <w:rFonts w:hint="eastAsia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pacing w:line="640" w:lineRule="exact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 xml:space="preserve">因公出国（境）</w:t>
      </w:r>
      <w:r>
        <w:rPr>
          <w:rFonts w:hint="eastAsia"/>
          <w:sz w:val="32"/>
          <w:szCs w:val="32"/>
          <w:lang w:val="en-US" w:eastAsia="zh-CN"/>
        </w:rPr>
        <w:t xml:space="preserve">费支出决算106</w:t>
      </w:r>
      <w:r>
        <w:rPr>
          <w:rFonts w:hint="eastAsia"/>
          <w:sz w:val="32"/>
          <w:szCs w:val="32"/>
        </w:rPr>
        <w:t xml:space="preserve">万元</w:t>
      </w:r>
      <w:r>
        <w:rPr>
          <w:rFonts w:hint="eastAsia"/>
          <w:sz w:val="32"/>
          <w:szCs w:val="32"/>
          <w:lang w:eastAsia="zh-CN"/>
        </w:rPr>
        <w:t xml:space="preserve">，</w:t>
      </w:r>
      <w:r>
        <w:rPr>
          <w:rFonts w:hint="eastAsia"/>
          <w:sz w:val="32"/>
          <w:szCs w:val="32"/>
          <w:lang w:val="en-US" w:eastAsia="zh-CN"/>
        </w:rPr>
        <w:t xml:space="preserve">比年初预算减少46万元，较上年决算增加105万元。主要是上年受疫情影响，大幅减少出国出境项目，本年出国出境项目恢复正常。</w:t>
      </w:r>
      <w:r>
        <w:rPr>
          <w:rFonts w:hint="default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40" w:lineRule="exact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（二）</w:t>
      </w:r>
      <w:r>
        <w:rPr>
          <w:rFonts w:hint="eastAsia"/>
          <w:sz w:val="32"/>
          <w:szCs w:val="32"/>
        </w:rPr>
        <w:t xml:space="preserve">公务用车购置及运行维护费</w:t>
      </w:r>
      <w:r>
        <w:rPr>
          <w:rFonts w:hint="eastAsia"/>
          <w:sz w:val="32"/>
          <w:szCs w:val="32"/>
          <w:lang w:val="en-US" w:eastAsia="zh-CN"/>
        </w:rPr>
        <w:t xml:space="preserve">1656</w:t>
      </w:r>
      <w:r>
        <w:rPr>
          <w:rFonts w:hint="eastAsia"/>
          <w:sz w:val="32"/>
          <w:szCs w:val="32"/>
        </w:rPr>
        <w:t xml:space="preserve">万元，</w:t>
      </w:r>
      <w:r>
        <w:rPr>
          <w:rFonts w:hint="eastAsia"/>
          <w:sz w:val="32"/>
          <w:szCs w:val="32"/>
          <w:lang w:val="en-US" w:eastAsia="zh-CN"/>
        </w:rPr>
        <w:t xml:space="preserve">比年初预算增加107万元，同比增长2.4%，其中：公务用车购置费支出516万元，比年初数增加116万元， 同比下降13.2%；公务用车运行维护支出1140万元，比年初预算数减少9万元，同比增长11.5%，主要用于因公出行以及开展业务所需车辆燃料费、维修费、过路过桥费、保险费等。</w:t>
      </w:r>
      <w:r>
        <w:rPr>
          <w:rFonts w:hint="default"/>
          <w:sz w:val="32"/>
          <w:szCs w:val="32"/>
          <w:lang w:val="en-US" w:eastAsia="zh-CN"/>
        </w:rPr>
      </w:r>
    </w:p>
    <w:p>
      <w:pPr>
        <w:keepNext w:val="false"/>
        <w:keepLines w:val="false"/>
        <w:pageBreakBefore w:val="false"/>
        <w:widowControl w:val="false"/>
        <w:numPr>
          <w:ilvl w:val="0"/>
          <w:numId w:val="0"/>
        </w:numPr>
        <w:pBdr/>
        <w:spacing w:line="640" w:lineRule="exact"/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 xml:space="preserve">（</w:t>
      </w:r>
      <w:r>
        <w:rPr>
          <w:rFonts w:hint="eastAsia"/>
          <w:sz w:val="32"/>
          <w:szCs w:val="32"/>
          <w:lang w:val="en-US" w:eastAsia="zh-CN"/>
        </w:rPr>
        <w:t xml:space="preserve">三）</w:t>
      </w:r>
      <w:r>
        <w:rPr>
          <w:rFonts w:hint="eastAsia"/>
          <w:sz w:val="32"/>
          <w:szCs w:val="32"/>
        </w:rPr>
        <w:t xml:space="preserve">公务接待费</w:t>
      </w:r>
      <w:r>
        <w:rPr>
          <w:rFonts w:hint="eastAsia"/>
          <w:sz w:val="32"/>
          <w:szCs w:val="32"/>
          <w:lang w:val="en-US" w:eastAsia="zh-CN"/>
        </w:rPr>
        <w:t xml:space="preserve">93</w:t>
      </w:r>
      <w:r>
        <w:rPr>
          <w:rFonts w:hint="eastAsia"/>
          <w:sz w:val="32"/>
          <w:szCs w:val="32"/>
        </w:rPr>
        <w:t xml:space="preserve">万元，</w:t>
      </w:r>
      <w:r>
        <w:rPr>
          <w:rFonts w:hint="eastAsia"/>
          <w:sz w:val="32"/>
          <w:szCs w:val="32"/>
          <w:lang w:val="en-US" w:eastAsia="zh-CN"/>
        </w:rPr>
        <w:t xml:space="preserve">比年初预算</w:t>
      </w:r>
      <w:r>
        <w:rPr>
          <w:rFonts w:hint="eastAsia"/>
          <w:sz w:val="32"/>
          <w:szCs w:val="32"/>
        </w:rPr>
        <w:t xml:space="preserve">减少</w:t>
      </w:r>
      <w:r>
        <w:rPr>
          <w:rFonts w:hint="eastAsia"/>
          <w:sz w:val="32"/>
          <w:szCs w:val="32"/>
          <w:lang w:val="en-US" w:eastAsia="zh-CN"/>
        </w:rPr>
        <w:t xml:space="preserve">24</w:t>
      </w:r>
      <w:r>
        <w:rPr>
          <w:rFonts w:hint="eastAsia"/>
          <w:sz w:val="32"/>
          <w:szCs w:val="32"/>
        </w:rPr>
        <w:t xml:space="preserve">万元</w:t>
      </w:r>
      <w:r>
        <w:rPr>
          <w:rFonts w:hint="eastAsia"/>
          <w:sz w:val="32"/>
          <w:szCs w:val="32"/>
          <w:lang w:eastAsia="zh-CN"/>
        </w:rPr>
        <w:t xml:space="preserve">，</w:t>
      </w:r>
      <w:r>
        <w:rPr>
          <w:rFonts w:hint="eastAsia"/>
          <w:sz w:val="32"/>
          <w:szCs w:val="32"/>
          <w:lang w:val="en-US" w:eastAsia="zh-CN"/>
        </w:rPr>
        <w:t xml:space="preserve">同比增加13.4%。主要用于符合八项规定的各项公务接待支出。严格贯彻中央八项规定</w:t>
      </w:r>
      <w:r>
        <w:rPr>
          <w:rFonts w:hint="eastAsia"/>
          <w:sz w:val="32"/>
          <w:szCs w:val="32"/>
          <w:lang w:val="en-US" w:eastAsia="zh-CN"/>
        </w:rPr>
        <w:t xml:space="preserve">精神</w:t>
      </w:r>
      <w:r>
        <w:rPr>
          <w:rFonts w:hint="eastAsia"/>
          <w:sz w:val="32"/>
          <w:szCs w:val="32"/>
          <w:lang w:val="en-US" w:eastAsia="zh-CN"/>
        </w:rPr>
        <w:t xml:space="preserve">和公</w:t>
      </w:r>
      <w:bookmarkStart w:id="0" w:name="_GoBack"/>
      <w:r/>
      <w:bookmarkEnd w:id="0"/>
      <w:r>
        <w:rPr>
          <w:rFonts w:hint="eastAsia"/>
          <w:sz w:val="32"/>
          <w:szCs w:val="32"/>
          <w:lang w:val="en-US" w:eastAsia="zh-CN"/>
        </w:rPr>
        <w:t xml:space="preserve">务接待费管理的有关要求，按标准开支，杜绝超标准、不符合规定的接待活动。</w:t>
      </w:r>
      <w:r>
        <w:rPr>
          <w:rFonts w:hint="eastAsia"/>
          <w:sz w:val="32"/>
          <w:szCs w:val="32"/>
          <w:lang w:val="en-US" w:eastAsia="zh-CN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425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等线">
    <w:panose1 w:val="02010600030101010101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（%1）"/>
      <w:numFmt w:val="chineseCounting"/>
      <w:pPr>
        <w:pBdr/>
        <w:spacing/>
        <w:ind/>
      </w:pPr>
      <w:rPr>
        <w:rFonts w:hint="eastAsia"/>
      </w:rPr>
      <w:start w:val="1"/>
      <w:suff w:val="nothing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62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62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62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62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62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62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62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62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62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20"/>
    <w:next w:val="62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20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1"/>
    <w:link w:val="42"/>
    <w:uiPriority w:val="99"/>
    <w:pPr>
      <w:pBdr/>
      <w:spacing/>
      <w:ind/>
    </w:pPr>
  </w:style>
  <w:style w:type="paragraph" w:styleId="44">
    <w:name w:val="Footer"/>
    <w:basedOn w:val="620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1"/>
    <w:link w:val="44"/>
    <w:uiPriority w:val="99"/>
    <w:pPr>
      <w:pBdr/>
      <w:spacing/>
      <w:ind/>
    </w:pPr>
  </w:style>
  <w:style w:type="paragraph" w:styleId="46">
    <w:name w:val="Caption"/>
    <w:basedOn w:val="620"/>
    <w:next w:val="62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be4f4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3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c0e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49e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f1c9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de08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3f1d8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bfe0a7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2f3f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9be6d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9dade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3acb5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62b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c6a0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706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3f4" w:themeFill="accent1" w:themeFillTint="34"/>
        <w:tcBorders/>
      </w:tcPr>
    </w:tblStylePr>
    <w:tblStylePr w:type="band2Horz">
      <w:rPr>
        <w:rFonts w:ascii="Arial" w:hAnsi="Arial"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362b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Horz">
      <w:rPr>
        <w:rFonts w:ascii="Arial" w:hAnsi="Arial"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8c6a0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Horz">
      <w:rPr>
        <w:rFonts w:ascii="Arial" w:hAnsi="Arial"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706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Horz">
      <w:rPr>
        <w:rFonts w:ascii="Arial" w:hAnsi="Arial"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b1626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e822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f2ba02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75bd4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874cb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874cb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38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dd762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dd762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acd78c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7bded3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7bded3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f949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f949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3427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85f11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9802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983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8a19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41d35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1" w:themeFill="accent1" w:themeFillTint="40"/>
        <w:tcBorders/>
      </w:tcPr>
    </w:tblStylePr>
    <w:tblStylePr w:type="band2Horz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3427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fcb" w:themeFill="accent2" w:themeFillTint="40"/>
        <w:tcBorders/>
      </w:tcPr>
    </w:tblStylePr>
    <w:tblStylePr w:type="band2Horz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85f11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eeebd" w:themeFill="accent3" w:themeFillTint="40"/>
        <w:tcBorders/>
      </w:tcPr>
    </w:tblStylePr>
    <w:tblStylePr w:type="band2Horz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9802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ceecf" w:themeFill="accent4" w:themeFillTint="40"/>
        <w:tcBorders/>
      </w:tcPr>
    </w:tblStylePr>
    <w:tblStylePr w:type="band2Horz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1983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8f1ed" w:themeFill="accent5" w:themeFillTint="40"/>
        <w:tcBorders/>
      </w:tcPr>
    </w:tblStylePr>
    <w:tblStylePr w:type="band2Horz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8a19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8d1d6" w:themeFill="accent6" w:themeFillTint="40"/>
        <w:tcBorders/>
      </w:tcPr>
    </w:tblStylePr>
    <w:tblStylePr w:type="band2Horz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41d35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5d3ee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681c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38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f1c9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f3b802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3f1d8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acd78c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2f3f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30c0b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9dade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54c5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20"/>
    <w:next w:val="62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20"/>
    <w:next w:val="62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20"/>
    <w:next w:val="62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20"/>
    <w:next w:val="62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20"/>
    <w:next w:val="62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20"/>
    <w:next w:val="62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20"/>
    <w:next w:val="62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20"/>
    <w:next w:val="62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20"/>
    <w:next w:val="620"/>
    <w:uiPriority w:val="99"/>
    <w:unhideWhenUsed/>
    <w:pPr>
      <w:pBdr/>
      <w:spacing w:after="0" w:afterAutospacing="0"/>
      <w:ind/>
    </w:pPr>
  </w:style>
  <w:style w:type="paragraph" w:styleId="620" w:default="1">
    <w:name w:val="Normal"/>
    <w:uiPriority w:val="0"/>
    <w:qFormat/>
    <w:pPr>
      <w:widowControl w:val="false"/>
      <w:pBdr/>
      <w:spacing/>
      <w:ind/>
      <w:jc w:val="both"/>
    </w:pPr>
    <w:rPr>
      <w:rFonts w:asciiTheme="minorHAnsi" w:hAnsiTheme="minorHAnsi" w:eastAsiaTheme="minorEastAsia" w:cstheme="minorBidi"/>
      <w:sz w:val="21"/>
      <w:szCs w:val="24"/>
      <w:lang w:val="en-US" w:eastAsia="zh-CN" w:bidi="ar-SA"/>
    </w:rPr>
  </w:style>
  <w:style w:type="character" w:styleId="621" w:default="1">
    <w:name w:val="Default Paragraph Font"/>
    <w:uiPriority w:val="0"/>
    <w:semiHidden/>
    <w:pPr>
      <w:pBdr/>
      <w:spacing/>
      <w:ind/>
    </w:pPr>
  </w:style>
  <w:style w:type="table" w:styleId="622" w:default="1">
    <w:name w:val="Normal Table"/>
    <w:uiPriority w:val="0"/>
    <w:semiHidden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3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LinksUpToDate>false</LinksUpToDate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</cp:lastModifiedBy>
  <cp:revision>2</cp:revision>
  <dcterms:created xsi:type="dcterms:W3CDTF">2023-09-06T02:01:00Z</dcterms:created>
  <dcterms:modified xsi:type="dcterms:W3CDTF">2025-12-08T08:47:58Z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51824E031CC6460B9C4775AB381FA577_11</vt:lpwstr>
  </property>
</Properties>
</file>