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5DF7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jc w:val="both"/>
        <w:textAlignment w:val="auto"/>
        <w:rPr>
          <w:rFonts w:hint="default" w:eastAsia="黑体" w:cs="Times New Roman"/>
          <w:sz w:val="32"/>
          <w:szCs w:val="32"/>
          <w:highlight w:val="none"/>
          <w:u w:val="none"/>
          <w:lang w:val="en-US" w:eastAsia="zh-CN"/>
        </w:rPr>
      </w:pPr>
      <w:bookmarkStart w:id="0" w:name="_GoBack"/>
      <w:bookmarkEnd w:id="0"/>
    </w:p>
    <w:p w14:paraId="71C322DE">
      <w:pPr>
        <w:keepNext w:val="0"/>
        <w:keepLines w:val="0"/>
        <w:pageBreakBefore w:val="0"/>
        <w:widowControl w:val="0"/>
        <w:kinsoku/>
        <w:wordWrap/>
        <w:overflowPunct/>
        <w:topLinePunct w:val="0"/>
        <w:autoSpaceDE/>
        <w:autoSpaceDN/>
        <w:bidi w:val="0"/>
        <w:adjustRightInd/>
        <w:snapToGrid/>
        <w:spacing w:line="620" w:lineRule="exact"/>
        <w:ind w:right="0" w:rightChars="0"/>
        <w:jc w:val="center"/>
        <w:textAlignment w:val="auto"/>
        <w:outlineLvl w:val="9"/>
        <w:rPr>
          <w:rFonts w:hint="default" w:ascii="Times New Roman" w:hAnsi="Times New Roman" w:eastAsia="方正小标宋简体" w:cs="Times New Roman"/>
          <w:sz w:val="36"/>
          <w:szCs w:val="36"/>
          <w:highlight w:val="none"/>
          <w:lang w:val="en-US" w:eastAsia="zh-CN"/>
        </w:rPr>
      </w:pPr>
      <w:r>
        <w:rPr>
          <w:rFonts w:hint="default" w:ascii="Times New Roman" w:hAnsi="Times New Roman" w:eastAsia="方正小标宋简体" w:cs="Times New Roman"/>
          <w:sz w:val="36"/>
          <w:szCs w:val="36"/>
          <w:highlight w:val="none"/>
          <w:lang w:val="en-US" w:eastAsia="zh-CN"/>
        </w:rPr>
        <w:t>共青团随州市委2023年度部门决算</w:t>
      </w:r>
    </w:p>
    <w:p w14:paraId="405387A5">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720" w:firstLineChars="200"/>
        <w:jc w:val="both"/>
        <w:textAlignment w:val="auto"/>
        <w:outlineLvl w:val="9"/>
        <w:rPr>
          <w:rFonts w:hint="default" w:ascii="Times New Roman" w:hAnsi="Times New Roman" w:eastAsia="方正小标宋简体" w:cs="Times New Roman"/>
          <w:sz w:val="36"/>
          <w:szCs w:val="36"/>
          <w:highlight w:val="none"/>
          <w:lang w:val="en-US" w:eastAsia="zh-CN"/>
        </w:rPr>
      </w:pPr>
    </w:p>
    <w:p w14:paraId="1B81C8D2">
      <w:pPr>
        <w:keepNext w:val="0"/>
        <w:keepLines w:val="0"/>
        <w:pageBreakBefore w:val="0"/>
        <w:widowControl w:val="0"/>
        <w:shd w:val="clear" w:color="auto" w:fill="FFFFFF"/>
        <w:kinsoku/>
        <w:wordWrap/>
        <w:overflowPunct/>
        <w:topLinePunct w:val="0"/>
        <w:autoSpaceDE/>
        <w:autoSpaceDN/>
        <w:bidi w:val="0"/>
        <w:adjustRightInd/>
        <w:snapToGrid/>
        <w:spacing w:line="620" w:lineRule="exact"/>
        <w:ind w:right="0" w:rightChars="0"/>
        <w:jc w:val="center"/>
        <w:textAlignment w:val="auto"/>
        <w:outlineLvl w:val="9"/>
        <w:rPr>
          <w:rFonts w:hint="default" w:ascii="Times New Roman" w:hAnsi="Times New Roman" w:eastAsia="方正小标宋简体" w:cs="Times New Roman"/>
          <w:sz w:val="36"/>
          <w:szCs w:val="36"/>
          <w:highlight w:val="none"/>
          <w:lang w:val="en-US" w:eastAsia="zh-CN"/>
        </w:rPr>
      </w:pPr>
      <w:r>
        <w:rPr>
          <w:rFonts w:hint="default" w:ascii="Times New Roman" w:hAnsi="Times New Roman" w:eastAsia="方正小标宋简体" w:cs="Times New Roman"/>
          <w:sz w:val="36"/>
          <w:szCs w:val="36"/>
          <w:highlight w:val="none"/>
          <w:lang w:val="en-US" w:eastAsia="zh-CN"/>
        </w:rPr>
        <w:t>目    录</w:t>
      </w:r>
    </w:p>
    <w:p w14:paraId="6616711E">
      <w:pPr>
        <w:keepNext w:val="0"/>
        <w:keepLines w:val="0"/>
        <w:pageBreakBefore w:val="0"/>
        <w:widowControl w:val="0"/>
        <w:shd w:val="clear" w:color="auto" w:fill="FFFFFF"/>
        <w:kinsoku/>
        <w:wordWrap/>
        <w:overflowPunct/>
        <w:topLinePunct w:val="0"/>
        <w:autoSpaceDE/>
        <w:autoSpaceDN/>
        <w:bidi w:val="0"/>
        <w:adjustRightInd/>
        <w:snapToGrid/>
        <w:spacing w:line="620" w:lineRule="exact"/>
        <w:ind w:right="0" w:rightChars="0"/>
        <w:jc w:val="center"/>
        <w:textAlignment w:val="auto"/>
        <w:outlineLvl w:val="9"/>
        <w:rPr>
          <w:rFonts w:hint="default" w:ascii="Times New Roman" w:hAnsi="Times New Roman" w:eastAsia="方正小标宋简体" w:cs="Times New Roman"/>
          <w:sz w:val="36"/>
          <w:szCs w:val="36"/>
          <w:highlight w:val="none"/>
          <w:lang w:val="en-US" w:eastAsia="zh-CN"/>
        </w:rPr>
      </w:pPr>
    </w:p>
    <w:p w14:paraId="05E8E739">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黑体" w:cs="Times New Roman"/>
          <w:highlight w:val="none"/>
        </w:rPr>
      </w:pPr>
      <w:r>
        <w:rPr>
          <w:rStyle w:val="7"/>
          <w:rFonts w:hint="default" w:ascii="Times New Roman" w:hAnsi="Times New Roman" w:eastAsia="黑体" w:cs="Times New Roman"/>
          <w:sz w:val="32"/>
          <w:szCs w:val="32"/>
          <w:highlight w:val="none"/>
          <w:rtl w:val="0"/>
        </w:rPr>
        <w:t>第一部分</w:t>
      </w:r>
      <w:r>
        <w:rPr>
          <w:rStyle w:val="7"/>
          <w:rFonts w:hint="default" w:ascii="Times New Roman" w:hAnsi="Times New Roman" w:eastAsia="黑体" w:cs="Times New Roman"/>
          <w:sz w:val="32"/>
          <w:szCs w:val="32"/>
          <w:highlight w:val="none"/>
          <w:rtl w:val="0"/>
          <w:lang w:val="en-US" w:eastAsia="en-US"/>
        </w:rPr>
        <w:t xml:space="preserve">  </w:t>
      </w:r>
      <w:r>
        <w:rPr>
          <w:rStyle w:val="7"/>
          <w:rFonts w:hint="default" w:ascii="Times New Roman" w:hAnsi="Times New Roman" w:eastAsia="黑体" w:cs="Times New Roman"/>
          <w:sz w:val="32"/>
          <w:szCs w:val="32"/>
          <w:highlight w:val="none"/>
          <w:rtl w:val="0"/>
          <w:lang w:val="en-US" w:eastAsia="zh-CN"/>
        </w:rPr>
        <w:t>共青团随州市委</w:t>
      </w:r>
      <w:r>
        <w:rPr>
          <w:rStyle w:val="7"/>
          <w:rFonts w:hint="default" w:ascii="Times New Roman" w:hAnsi="Times New Roman" w:eastAsia="黑体" w:cs="Times New Roman"/>
          <w:sz w:val="32"/>
          <w:szCs w:val="32"/>
          <w:highlight w:val="none"/>
          <w:rtl w:val="0"/>
        </w:rPr>
        <w:t>概况</w:t>
      </w:r>
    </w:p>
    <w:p w14:paraId="1F83D58B">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Cs/>
          <w:sz w:val="32"/>
          <w:szCs w:val="32"/>
          <w:highlight w:val="none"/>
          <w:rtl w:val="0"/>
        </w:rPr>
        <w:t>一、部门主要</w:t>
      </w:r>
      <w:r>
        <w:rPr>
          <w:rFonts w:hint="default" w:ascii="Times New Roman" w:hAnsi="Times New Roman" w:cs="Times New Roman"/>
          <w:bCs/>
          <w:sz w:val="32"/>
          <w:szCs w:val="32"/>
          <w:highlight w:val="none"/>
          <w:rtl w:val="0"/>
          <w:lang w:eastAsia="zh-CN"/>
        </w:rPr>
        <w:t>职责</w:t>
      </w:r>
    </w:p>
    <w:p w14:paraId="3469F853">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Cs/>
          <w:sz w:val="32"/>
          <w:szCs w:val="32"/>
          <w:highlight w:val="none"/>
          <w:rtl w:val="0"/>
        </w:rPr>
        <w:t>二、</w:t>
      </w:r>
      <w:r>
        <w:rPr>
          <w:rFonts w:hint="default" w:ascii="Times New Roman" w:hAnsi="Times New Roman" w:cs="Times New Roman"/>
          <w:bCs/>
          <w:sz w:val="32"/>
          <w:szCs w:val="32"/>
          <w:highlight w:val="none"/>
          <w:rtl w:val="0"/>
          <w:lang w:eastAsia="zh-CN"/>
        </w:rPr>
        <w:t>机构设置情况</w:t>
      </w:r>
    </w:p>
    <w:p w14:paraId="7DCFCE62">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rPr>
      </w:pPr>
      <w:r>
        <w:rPr>
          <w:rStyle w:val="7"/>
          <w:rFonts w:hint="default" w:ascii="Times New Roman" w:hAnsi="Times New Roman" w:eastAsia="黑体" w:cs="Times New Roman"/>
          <w:sz w:val="32"/>
          <w:szCs w:val="32"/>
          <w:highlight w:val="none"/>
          <w:rtl w:val="0"/>
        </w:rPr>
        <w:t>第二部分</w:t>
      </w:r>
      <w:r>
        <w:rPr>
          <w:rStyle w:val="7"/>
          <w:rFonts w:hint="default" w:ascii="Times New Roman" w:hAnsi="Times New Roman" w:eastAsia="黑体" w:cs="Times New Roman"/>
          <w:sz w:val="32"/>
          <w:szCs w:val="32"/>
          <w:highlight w:val="none"/>
          <w:rtl w:val="0"/>
          <w:lang w:val="en-US" w:eastAsia="en-US"/>
        </w:rPr>
        <w:t xml:space="preserve">  </w:t>
      </w:r>
      <w:r>
        <w:rPr>
          <w:rStyle w:val="7"/>
          <w:rFonts w:hint="default" w:ascii="Times New Roman" w:hAnsi="Times New Roman" w:eastAsia="黑体" w:cs="Times New Roman"/>
          <w:sz w:val="32"/>
          <w:szCs w:val="32"/>
          <w:highlight w:val="none"/>
          <w:rtl w:val="0"/>
          <w:lang w:val="en-US" w:eastAsia="zh-CN"/>
        </w:rPr>
        <w:t>共青团随州市委</w:t>
      </w:r>
      <w:r>
        <w:rPr>
          <w:rStyle w:val="7"/>
          <w:rFonts w:hint="default" w:ascii="Times New Roman" w:hAnsi="Times New Roman" w:eastAsia="黑体" w:cs="Times New Roman"/>
          <w:sz w:val="32"/>
          <w:szCs w:val="32"/>
          <w:highlight w:val="none"/>
          <w:rtl w:val="0"/>
          <w:lang w:val="en-US" w:eastAsia="en-US"/>
        </w:rPr>
        <w:t>20</w:t>
      </w:r>
      <w:r>
        <w:rPr>
          <w:rStyle w:val="7"/>
          <w:rFonts w:hint="default" w:ascii="Times New Roman" w:hAnsi="Times New Roman" w:eastAsia="黑体" w:cs="Times New Roman"/>
          <w:sz w:val="32"/>
          <w:szCs w:val="32"/>
          <w:highlight w:val="none"/>
          <w:rtl w:val="0"/>
          <w:lang w:val="en-US" w:eastAsia="zh-CN"/>
        </w:rPr>
        <w:t>23</w:t>
      </w:r>
      <w:r>
        <w:rPr>
          <w:rStyle w:val="7"/>
          <w:rFonts w:hint="default" w:ascii="Times New Roman" w:hAnsi="Times New Roman" w:eastAsia="黑体" w:cs="Times New Roman"/>
          <w:sz w:val="32"/>
          <w:szCs w:val="32"/>
          <w:highlight w:val="none"/>
          <w:rtl w:val="0"/>
        </w:rPr>
        <w:t>年度部门决算表</w:t>
      </w:r>
    </w:p>
    <w:p w14:paraId="562176F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一、收入支出决算总表</w:t>
      </w:r>
    </w:p>
    <w:p w14:paraId="0ACDA27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二、收入决算表</w:t>
      </w:r>
    </w:p>
    <w:p w14:paraId="340D4FC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三、支出决算表</w:t>
      </w:r>
    </w:p>
    <w:p w14:paraId="5AEEED3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四、财政拨款收入支出决算总表</w:t>
      </w:r>
    </w:p>
    <w:p w14:paraId="4A7B818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五、一般公共预算财政拨款支出决算表</w:t>
      </w:r>
    </w:p>
    <w:p w14:paraId="3751194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六、一般公共预算财政拨款基本支出决算明细表</w:t>
      </w:r>
    </w:p>
    <w:p w14:paraId="5301178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七、政府性基金预算财政拨款收入支出决算表</w:t>
      </w:r>
    </w:p>
    <w:p w14:paraId="371B529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八、国有资本经营预算财政拨款支出决算表</w:t>
      </w:r>
    </w:p>
    <w:p w14:paraId="01F631B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九、财政拨款“三公”经费支出决算表</w:t>
      </w:r>
    </w:p>
    <w:p w14:paraId="24A426D1">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rPr>
      </w:pPr>
      <w:r>
        <w:rPr>
          <w:rStyle w:val="7"/>
          <w:rFonts w:hint="default" w:ascii="Times New Roman" w:hAnsi="Times New Roman" w:eastAsia="黑体" w:cs="Times New Roman"/>
          <w:sz w:val="32"/>
          <w:szCs w:val="32"/>
          <w:highlight w:val="none"/>
          <w:rtl w:val="0"/>
        </w:rPr>
        <w:t>第三部分</w:t>
      </w:r>
      <w:r>
        <w:rPr>
          <w:rStyle w:val="7"/>
          <w:rFonts w:hint="default" w:ascii="Times New Roman" w:hAnsi="Times New Roman" w:eastAsia="黑体" w:cs="Times New Roman"/>
          <w:sz w:val="32"/>
          <w:szCs w:val="32"/>
          <w:highlight w:val="none"/>
          <w:rtl w:val="0"/>
          <w:lang w:val="en-US" w:eastAsia="en-US"/>
        </w:rPr>
        <w:t xml:space="preserve">  </w:t>
      </w:r>
      <w:r>
        <w:rPr>
          <w:rStyle w:val="7"/>
          <w:rFonts w:hint="default" w:ascii="Times New Roman" w:hAnsi="Times New Roman" w:eastAsia="黑体" w:cs="Times New Roman"/>
          <w:sz w:val="32"/>
          <w:szCs w:val="32"/>
          <w:highlight w:val="none"/>
          <w:rtl w:val="0"/>
          <w:lang w:val="en-US" w:eastAsia="zh-CN"/>
        </w:rPr>
        <w:t>共青团随州市委</w:t>
      </w:r>
      <w:r>
        <w:rPr>
          <w:rStyle w:val="7"/>
          <w:rFonts w:hint="default" w:ascii="Times New Roman" w:hAnsi="Times New Roman" w:eastAsia="黑体" w:cs="Times New Roman"/>
          <w:sz w:val="32"/>
          <w:szCs w:val="32"/>
          <w:highlight w:val="none"/>
          <w:rtl w:val="0"/>
          <w:lang w:val="en-US" w:eastAsia="en-US"/>
        </w:rPr>
        <w:t>20</w:t>
      </w:r>
      <w:r>
        <w:rPr>
          <w:rStyle w:val="7"/>
          <w:rFonts w:hint="default" w:ascii="Times New Roman" w:hAnsi="Times New Roman" w:eastAsia="黑体" w:cs="Times New Roman"/>
          <w:sz w:val="32"/>
          <w:szCs w:val="32"/>
          <w:highlight w:val="none"/>
          <w:rtl w:val="0"/>
          <w:lang w:val="en-US" w:eastAsia="zh-CN"/>
        </w:rPr>
        <w:t>23</w:t>
      </w:r>
      <w:r>
        <w:rPr>
          <w:rStyle w:val="7"/>
          <w:rFonts w:hint="default" w:ascii="Times New Roman" w:hAnsi="Times New Roman" w:eastAsia="黑体" w:cs="Times New Roman"/>
          <w:sz w:val="32"/>
          <w:szCs w:val="32"/>
          <w:highlight w:val="none"/>
          <w:rtl w:val="0"/>
        </w:rPr>
        <w:t>年度部门决算情况说明</w:t>
      </w:r>
    </w:p>
    <w:p w14:paraId="0CCBCFB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一、收入支出决算总体情况说明</w:t>
      </w:r>
    </w:p>
    <w:p w14:paraId="7B2306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二、收入决算情况说明</w:t>
      </w:r>
    </w:p>
    <w:p w14:paraId="5FA60BE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三、支出决算情况说明</w:t>
      </w:r>
    </w:p>
    <w:p w14:paraId="53D2018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四、财政拨款收入支出决算总体情况说明</w:t>
      </w:r>
    </w:p>
    <w:p w14:paraId="41D3BCB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五、一般公共预算财政拨款支出决算情况说明</w:t>
      </w:r>
    </w:p>
    <w:p w14:paraId="19B7B70A">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六、一般公共预算财政拨款基本支出决算情况说明</w:t>
      </w:r>
    </w:p>
    <w:p w14:paraId="0480A26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highlight w:val="none"/>
          <w:lang w:val="en-US" w:eastAsia="zh-CN"/>
        </w:rPr>
        <w:t xml:space="preserve">七、政府性基金预算财政拨款收入支出决算情况说明 </w:t>
      </w:r>
    </w:p>
    <w:p w14:paraId="6BBAC7E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八、国有资本经营预算财政拨款支出决算情况说明</w:t>
      </w:r>
    </w:p>
    <w:p w14:paraId="5110746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九、财政拨款“三公”经费支出决算情况说明 </w:t>
      </w:r>
    </w:p>
    <w:p w14:paraId="6721AD0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十、机关运行经费支出说明</w:t>
      </w:r>
    </w:p>
    <w:p w14:paraId="64F492D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十一、政府采购支出说明</w:t>
      </w:r>
    </w:p>
    <w:p w14:paraId="6874AA4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十二、国有资产占用情况说明</w:t>
      </w:r>
    </w:p>
    <w:p w14:paraId="29DC7E91">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十三、预算绩效情况说明</w:t>
      </w:r>
    </w:p>
    <w:p w14:paraId="49D2222D">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十四、专项支出、转移支付支出情况说明</w:t>
      </w:r>
    </w:p>
    <w:p w14:paraId="3CA157BA">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黑体" w:cs="Times New Roman"/>
          <w:sz w:val="32"/>
          <w:szCs w:val="32"/>
          <w:highlight w:val="none"/>
          <w:lang w:val="en-US" w:eastAsia="zh-CN"/>
        </w:rPr>
      </w:pPr>
      <w:r>
        <w:rPr>
          <w:rStyle w:val="7"/>
          <w:rFonts w:hint="default" w:ascii="Times New Roman" w:hAnsi="Times New Roman" w:eastAsia="黑体" w:cs="Times New Roman"/>
          <w:sz w:val="32"/>
          <w:szCs w:val="32"/>
          <w:highlight w:val="none"/>
          <w:rtl w:val="0"/>
        </w:rPr>
        <w:t>第四部分</w:t>
      </w:r>
      <w:r>
        <w:rPr>
          <w:rStyle w:val="7"/>
          <w:rFonts w:hint="default" w:ascii="Times New Roman" w:hAnsi="Times New Roman" w:eastAsia="黑体" w:cs="Times New Roman"/>
          <w:sz w:val="32"/>
          <w:szCs w:val="32"/>
          <w:highlight w:val="none"/>
          <w:rtl w:val="0"/>
          <w:lang w:val="en-US" w:eastAsia="zh-CN"/>
        </w:rPr>
        <w:t xml:space="preserve">  </w:t>
      </w:r>
      <w:r>
        <w:rPr>
          <w:rFonts w:hint="default" w:ascii="Times New Roman" w:hAnsi="Times New Roman" w:eastAsia="黑体" w:cs="Times New Roman"/>
          <w:sz w:val="32"/>
          <w:szCs w:val="32"/>
          <w:highlight w:val="none"/>
          <w:lang w:val="en-US" w:eastAsia="zh-CN"/>
        </w:rPr>
        <w:t>其他需要说明的情况</w:t>
      </w:r>
    </w:p>
    <w:p w14:paraId="2500B4B8">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第五部分  </w:t>
      </w:r>
      <w:r>
        <w:rPr>
          <w:rStyle w:val="7"/>
          <w:rFonts w:hint="default" w:ascii="Times New Roman" w:hAnsi="Times New Roman" w:eastAsia="黑体" w:cs="Times New Roman"/>
          <w:sz w:val="32"/>
          <w:szCs w:val="32"/>
          <w:highlight w:val="none"/>
          <w:rtl w:val="0"/>
        </w:rPr>
        <w:t>名词解释</w:t>
      </w:r>
    </w:p>
    <w:p w14:paraId="39258A1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Style w:val="7"/>
          <w:rFonts w:hint="default" w:ascii="Times New Roman" w:hAnsi="Times New Roman" w:eastAsia="黑体" w:cs="Times New Roman"/>
          <w:sz w:val="32"/>
          <w:szCs w:val="32"/>
          <w:highlight w:val="none"/>
          <w:rtl w:val="0"/>
          <w:lang w:eastAsia="zh-CN"/>
        </w:rPr>
      </w:pPr>
      <w:r>
        <w:rPr>
          <w:rStyle w:val="7"/>
          <w:rFonts w:hint="default" w:ascii="Times New Roman" w:hAnsi="Times New Roman" w:eastAsia="黑体" w:cs="Times New Roman"/>
          <w:sz w:val="32"/>
          <w:szCs w:val="32"/>
          <w:highlight w:val="none"/>
          <w:rtl w:val="0"/>
        </w:rPr>
        <w:t>第</w:t>
      </w:r>
      <w:r>
        <w:rPr>
          <w:rStyle w:val="7"/>
          <w:rFonts w:hint="default" w:ascii="Times New Roman" w:hAnsi="Times New Roman" w:eastAsia="黑体" w:cs="Times New Roman"/>
          <w:sz w:val="32"/>
          <w:szCs w:val="32"/>
          <w:highlight w:val="none"/>
          <w:rtl w:val="0"/>
          <w:lang w:eastAsia="zh-CN"/>
        </w:rPr>
        <w:t>六</w:t>
      </w:r>
      <w:r>
        <w:rPr>
          <w:rStyle w:val="7"/>
          <w:rFonts w:hint="default" w:ascii="Times New Roman" w:hAnsi="Times New Roman" w:eastAsia="黑体" w:cs="Times New Roman"/>
          <w:sz w:val="32"/>
          <w:szCs w:val="32"/>
          <w:highlight w:val="none"/>
          <w:rtl w:val="0"/>
        </w:rPr>
        <w:t>部分</w:t>
      </w:r>
      <w:r>
        <w:rPr>
          <w:rStyle w:val="7"/>
          <w:rFonts w:hint="default" w:ascii="Times New Roman" w:hAnsi="Times New Roman" w:eastAsia="黑体" w:cs="Times New Roman"/>
          <w:sz w:val="32"/>
          <w:szCs w:val="32"/>
          <w:highlight w:val="none"/>
          <w:rtl w:val="0"/>
          <w:lang w:val="en-US" w:eastAsia="zh-CN"/>
        </w:rPr>
        <w:t xml:space="preserve">  附件</w:t>
      </w:r>
    </w:p>
    <w:p w14:paraId="6448DCC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outlineLvl w:val="9"/>
        <w:rPr>
          <w:rStyle w:val="7"/>
          <w:rFonts w:hint="default" w:ascii="Times New Roman" w:hAnsi="Times New Roman" w:eastAsia="黑体" w:cs="Times New Roman"/>
          <w:sz w:val="32"/>
          <w:szCs w:val="32"/>
          <w:highlight w:val="none"/>
          <w:rtl w:val="0"/>
          <w:lang w:val="en-US" w:eastAsia="zh-CN"/>
        </w:rPr>
      </w:pPr>
    </w:p>
    <w:p w14:paraId="112140C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sz w:val="32"/>
          <w:szCs w:val="32"/>
          <w:highlight w:val="none"/>
          <w:u w:val="none"/>
          <w:lang w:val="en-US" w:eastAsia="zh-CN"/>
        </w:rPr>
      </w:pPr>
    </w:p>
    <w:p w14:paraId="5E6D851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sz w:val="32"/>
          <w:szCs w:val="32"/>
          <w:highlight w:val="none"/>
          <w:u w:val="none"/>
          <w:lang w:val="en-US" w:eastAsia="zh-CN"/>
        </w:rPr>
      </w:pPr>
    </w:p>
    <w:p w14:paraId="60E69E7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sz w:val="32"/>
          <w:szCs w:val="32"/>
          <w:highlight w:val="none"/>
          <w:u w:val="none"/>
          <w:lang w:val="en-US" w:eastAsia="zh-CN"/>
        </w:rPr>
      </w:pPr>
    </w:p>
    <w:p w14:paraId="0B7B063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sz w:val="32"/>
          <w:szCs w:val="32"/>
          <w:highlight w:val="none"/>
          <w:u w:val="none"/>
          <w:lang w:val="en-US" w:eastAsia="zh-CN"/>
        </w:rPr>
      </w:pPr>
    </w:p>
    <w:p w14:paraId="7375E8D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sz w:val="32"/>
          <w:szCs w:val="32"/>
          <w:highlight w:val="none"/>
          <w:u w:val="none"/>
          <w:lang w:val="en-US" w:eastAsia="zh-CN"/>
        </w:rPr>
      </w:pPr>
    </w:p>
    <w:p w14:paraId="37ECEFA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firstLine="640" w:firstLineChars="200"/>
        <w:jc w:val="center"/>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u w:val="none"/>
          <w:lang w:val="en-US" w:eastAsia="zh-CN"/>
        </w:rPr>
        <w:t xml:space="preserve">第一部分  </w:t>
      </w:r>
      <w:r>
        <w:rPr>
          <w:rFonts w:hint="default" w:ascii="Times New Roman" w:hAnsi="Times New Roman" w:eastAsia="黑体" w:cs="Times New Roman"/>
          <w:sz w:val="32"/>
          <w:szCs w:val="32"/>
          <w:highlight w:val="none"/>
          <w:lang w:val="en-US" w:eastAsia="zh-CN"/>
        </w:rPr>
        <w:t>共青团随州市委概况</w:t>
      </w:r>
    </w:p>
    <w:p w14:paraId="7D625151">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bCs/>
          <w:sz w:val="32"/>
          <w:szCs w:val="32"/>
          <w:highlight w:val="none"/>
          <w:lang w:val="en-US" w:eastAsia="zh-CN"/>
        </w:rPr>
      </w:pPr>
      <w:r>
        <w:rPr>
          <w:rFonts w:hint="default" w:ascii="Times New Roman" w:hAnsi="Times New Roman" w:eastAsia="黑体" w:cs="Times New Roman"/>
          <w:bCs/>
          <w:sz w:val="32"/>
          <w:szCs w:val="32"/>
          <w:highlight w:val="none"/>
          <w:lang w:val="en-US" w:eastAsia="zh-CN"/>
        </w:rPr>
        <w:t>一、部门主要职责</w:t>
      </w:r>
    </w:p>
    <w:p w14:paraId="5C959F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（1）领导全市共青团工作；负责市青联、市少先队工作委员会日常工作；指导全市青少年社会团体工作。</w:t>
      </w:r>
    </w:p>
    <w:p w14:paraId="2A1ABF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2）负责全市青少年思想政治引领工作，承担引导青少年听党话、跟党走的政治任务；指导并组织全市青少年思想理论教育、宣传文化活动和活动阵地建设，培养、选拔、表彰并推荐优秀青年；加强网上共青团工作，指导全市共青团用网、占网、建网。</w:t>
      </w:r>
    </w:p>
    <w:p w14:paraId="444F533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（3）协助市委、市政府有关部门做好大、中、小学学生的教育管理工作，维护学校稳定和社会安定团结。</w:t>
      </w:r>
    </w:p>
    <w:p w14:paraId="2AA774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（4）组织全市团员青年围绕中心、服务大局，在促进经济社会发展中发挥生力军和突击队作用，完成市委、市政府和团省委部署的以青少年为主体的各项任务。</w:t>
      </w:r>
    </w:p>
    <w:p w14:paraId="17FB64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5）参与促进青少年发展和权益维护的规划、法律法规、政策措施的起草和实施工作，协助市委、市政府或受委托处理、协调与青少年权益相关的事务；负责市未成年人保护委员会和市综治委预防青少违法犯罪领导小组的日常工作。</w:t>
      </w:r>
    </w:p>
    <w:p w14:paraId="60266B4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（6）负责全市团的建设，推进团的基层组织建设，扩大团组织有效覆盖面，协助党组织管理团的干部，指导全市团员队伍建设；指导全市青少年事务社会工作人才队伍建设。</w:t>
      </w:r>
    </w:p>
    <w:p w14:paraId="775DF8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（7）负责全市青年统战工作；开展全市青年社会组织和新兴青年群体的联系服务和引导工作。</w:t>
      </w:r>
    </w:p>
    <w:p w14:paraId="7CD08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eastAsia" w:ascii="微软雅黑" w:hAnsi="微软雅黑" w:eastAsia="微软雅黑" w:cs="微软雅黑"/>
          <w:i w:val="0"/>
          <w:iCs w:val="0"/>
          <w:caps w:val="0"/>
          <w:color w:val="333333"/>
          <w:spacing w:val="0"/>
          <w:sz w:val="27"/>
          <w:szCs w:val="27"/>
          <w:highlight w:val="none"/>
        </w:rPr>
      </w:pPr>
      <w:r>
        <w:rPr>
          <w:rFonts w:hint="eastAsia" w:ascii="微软雅黑" w:hAnsi="微软雅黑" w:eastAsia="微软雅黑" w:cs="微软雅黑"/>
          <w:i w:val="0"/>
          <w:iCs w:val="0"/>
          <w:caps w:val="0"/>
          <w:color w:val="333333"/>
          <w:spacing w:val="0"/>
          <w:sz w:val="27"/>
          <w:szCs w:val="27"/>
          <w:highlight w:val="none"/>
          <w:shd w:val="clear" w:fill="FFFFFF"/>
        </w:rPr>
        <w:t>（8）调查青年思想动态和青年工作状况，研究青年运动、青少年工作理论、青少年事业发展等问题，为市委、市政府决策提供依据。</w:t>
      </w:r>
    </w:p>
    <w:p w14:paraId="2FB83FA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75" w:lineRule="atLeast"/>
        <w:ind w:left="0" w:right="0" w:firstLine="540"/>
        <w:jc w:val="left"/>
        <w:rPr>
          <w:rFonts w:hint="default" w:ascii="Times New Roman" w:hAnsi="Times New Roman" w:eastAsia="黑体" w:cs="Times New Roman"/>
          <w:bCs/>
          <w:sz w:val="32"/>
          <w:szCs w:val="32"/>
          <w:highlight w:val="none"/>
          <w:lang w:val="en-US" w:eastAsia="zh-CN"/>
        </w:rPr>
      </w:pPr>
      <w:r>
        <w:rPr>
          <w:rFonts w:hint="eastAsia" w:ascii="微软雅黑" w:hAnsi="微软雅黑" w:eastAsia="微软雅黑" w:cs="微软雅黑"/>
          <w:i w:val="0"/>
          <w:iCs w:val="0"/>
          <w:caps w:val="0"/>
          <w:color w:val="333333"/>
          <w:spacing w:val="0"/>
          <w:sz w:val="27"/>
          <w:szCs w:val="27"/>
          <w:highlight w:val="none"/>
          <w:shd w:val="clear" w:fill="FFFFFF"/>
        </w:rPr>
        <w:t>（9）完成上级交办的其他事项。</w:t>
      </w:r>
    </w:p>
    <w:p w14:paraId="5C934658">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黑体" w:cs="Times New Roman"/>
          <w:bCs/>
          <w:sz w:val="32"/>
          <w:szCs w:val="32"/>
          <w:highlight w:val="none"/>
          <w:lang w:val="en-US" w:eastAsia="zh-CN"/>
        </w:rPr>
        <w:t>二、机构设置情况</w:t>
      </w:r>
    </w:p>
    <w:p w14:paraId="56DAA75E">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从单位构成看，</w:t>
      </w:r>
      <w:r>
        <w:rPr>
          <w:rFonts w:hint="default" w:ascii="Times New Roman" w:hAnsi="Times New Roman" w:cs="Times New Roman"/>
          <w:sz w:val="32"/>
          <w:szCs w:val="32"/>
          <w:highlight w:val="none"/>
          <w:u w:val="single"/>
          <w:lang w:val="en-US" w:eastAsia="zh-CN"/>
        </w:rPr>
        <w:t>共青团随州市委</w:t>
      </w:r>
      <w:r>
        <w:rPr>
          <w:rFonts w:hint="default" w:ascii="Times New Roman" w:hAnsi="Times New Roman" w:eastAsia="仿宋_GB2312" w:cs="Times New Roman"/>
          <w:sz w:val="32"/>
          <w:szCs w:val="32"/>
          <w:highlight w:val="none"/>
          <w:lang w:val="en-US" w:eastAsia="zh-CN"/>
        </w:rPr>
        <w:t>部门决算由实行独立核算的</w:t>
      </w:r>
      <w:r>
        <w:rPr>
          <w:rFonts w:hint="default" w:ascii="Times New Roman" w:hAnsi="Times New Roman" w:cs="Times New Roman"/>
          <w:sz w:val="32"/>
          <w:szCs w:val="32"/>
          <w:highlight w:val="none"/>
          <w:u w:val="single"/>
          <w:lang w:val="en-US" w:eastAsia="zh-CN"/>
        </w:rPr>
        <w:t>共青团随州市委</w:t>
      </w:r>
      <w:r>
        <w:rPr>
          <w:rFonts w:hint="default" w:ascii="Times New Roman" w:hAnsi="Times New Roman" w:eastAsia="仿宋_GB2312" w:cs="Times New Roman"/>
          <w:sz w:val="32"/>
          <w:szCs w:val="32"/>
          <w:highlight w:val="none"/>
          <w:lang w:val="en-US" w:eastAsia="zh-CN"/>
        </w:rPr>
        <w:t>本级决算和</w:t>
      </w:r>
      <w:r>
        <w:rPr>
          <w:rFonts w:hint="default" w:ascii="Times New Roman" w:hAnsi="Times New Roman" w:cs="Times New Roman"/>
          <w:sz w:val="32"/>
          <w:szCs w:val="32"/>
          <w:highlight w:val="none"/>
          <w:u w:val="single"/>
          <w:lang w:val="en-US" w:eastAsia="zh-CN"/>
        </w:rPr>
        <w:t xml:space="preserve">  </w:t>
      </w:r>
      <w:r>
        <w:rPr>
          <w:rFonts w:hint="eastAsia" w:ascii="Times New Roman" w:hAnsi="Times New Roman" w:cs="Times New Roman"/>
          <w:sz w:val="32"/>
          <w:szCs w:val="32"/>
          <w:highlight w:val="none"/>
          <w:u w:val="single"/>
          <w:lang w:val="en-US" w:eastAsia="zh-CN"/>
        </w:rPr>
        <w:t>0</w:t>
      </w:r>
      <w:r>
        <w:rPr>
          <w:rFonts w:hint="default" w:ascii="Times New Roman" w:hAnsi="Times New Roman"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lang w:val="en-US" w:eastAsia="zh-CN"/>
        </w:rPr>
        <w:t>个下属单位决算组成。</w:t>
      </w:r>
      <w:r>
        <w:rPr>
          <w:rFonts w:hint="default" w:ascii="Times New Roman" w:hAnsi="Times New Roman" w:eastAsia="仿宋_GB2312" w:cs="Times New Roman"/>
          <w:sz w:val="32"/>
          <w:szCs w:val="32"/>
          <w:highlight w:val="none"/>
          <w:lang w:val="en-US" w:eastAsia="zh-CN"/>
        </w:rPr>
        <w:t>根据《中共湖北省委、湖北省人民政府关于印发〈随州市党政群机构设置及人员编制方案〉的通知》（鄂文［2000］46号）精神，设置共青团随州市委员会。团市委机关共设置4个职能部室，分别是办公室（宣传部）、组织部、青少年发展与权益维护部、学少部（统战部）。机关行政编制为7名，其中书记1名，副书记2名，科级领导职数4名。另核定机关工勤人员事业编制1名。截止202</w:t>
      </w:r>
      <w:r>
        <w:rPr>
          <w:rFonts w:hint="eastAsia"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年12月31日，机关实有在职</w:t>
      </w:r>
      <w:r>
        <w:rPr>
          <w:rFonts w:hint="eastAsia"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人（含劳务派遣1人）。</w:t>
      </w:r>
    </w:p>
    <w:p w14:paraId="2C8136CA">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eastAsia" w:ascii="微软雅黑" w:hAnsi="微软雅黑" w:eastAsia="微软雅黑" w:cs="微软雅黑"/>
          <w:i w:val="0"/>
          <w:iCs w:val="0"/>
          <w:caps w:val="0"/>
          <w:color w:val="333333"/>
          <w:spacing w:val="0"/>
          <w:sz w:val="27"/>
          <w:szCs w:val="27"/>
          <w:highlight w:val="none"/>
        </w:rPr>
      </w:pPr>
      <w:r>
        <w:rPr>
          <w:rFonts w:hint="default" w:ascii="Times New Roman" w:hAnsi="Times New Roman" w:eastAsia="仿宋_GB2312" w:cs="Times New Roman"/>
          <w:sz w:val="32"/>
          <w:szCs w:val="32"/>
          <w:highlight w:val="none"/>
          <w:lang w:val="en-US" w:eastAsia="zh-CN"/>
        </w:rPr>
        <w:t>纳入</w:t>
      </w:r>
      <w:r>
        <w:rPr>
          <w:rFonts w:hint="default" w:ascii="Times New Roman" w:hAnsi="Times New Roman" w:cs="Times New Roman"/>
          <w:sz w:val="32"/>
          <w:szCs w:val="32"/>
          <w:highlight w:val="none"/>
          <w:u w:val="single"/>
          <w:lang w:val="en-US" w:eastAsia="zh-CN"/>
        </w:rPr>
        <w:t>部门名称</w:t>
      </w:r>
      <w:r>
        <w:rPr>
          <w:rFonts w:hint="default" w:ascii="Times New Roman" w:hAnsi="Times New Roman" w:cs="Times New Roman"/>
          <w:sz w:val="32"/>
          <w:szCs w:val="32"/>
          <w:highlight w:val="none"/>
          <w:lang w:val="en-US" w:eastAsia="zh-CN"/>
        </w:rPr>
        <w:t>2023年</w:t>
      </w:r>
      <w:r>
        <w:rPr>
          <w:rFonts w:hint="default" w:ascii="Times New Roman" w:hAnsi="Times New Roman" w:eastAsia="仿宋_GB2312" w:cs="Times New Roman"/>
          <w:sz w:val="32"/>
          <w:szCs w:val="32"/>
          <w:highlight w:val="none"/>
          <w:lang w:val="en-US" w:eastAsia="zh-CN"/>
        </w:rPr>
        <w:t>度部门决算编制范围的二级预算单位包括</w:t>
      </w:r>
      <w:r>
        <w:rPr>
          <w:rFonts w:hint="eastAsia" w:cs="Times New Roman"/>
          <w:sz w:val="32"/>
          <w:szCs w:val="32"/>
          <w:highlight w:val="none"/>
          <w:lang w:val="en-US" w:eastAsia="zh-CN"/>
        </w:rPr>
        <w:t>：</w:t>
      </w:r>
    </w:p>
    <w:p w14:paraId="03381423">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line="675" w:lineRule="atLeast"/>
        <w:ind w:left="0" w:right="0" w:firstLine="540"/>
        <w:jc w:val="both"/>
        <w:rPr>
          <w:rFonts w:hint="default" w:ascii="Times New Roman" w:hAnsi="Times New Roman" w:eastAsia="仿宋_GB2312" w:cs="Times New Roman"/>
          <w:sz w:val="32"/>
          <w:szCs w:val="32"/>
          <w:highlight w:val="none"/>
          <w:lang w:val="en-US" w:eastAsia="zh-CN"/>
        </w:rPr>
      </w:pPr>
      <w:r>
        <w:rPr>
          <w:rFonts w:hint="eastAsia" w:ascii="微软雅黑" w:hAnsi="微软雅黑" w:eastAsia="微软雅黑" w:cs="微软雅黑"/>
          <w:i w:val="0"/>
          <w:iCs w:val="0"/>
          <w:caps w:val="0"/>
          <w:color w:val="333333"/>
          <w:spacing w:val="0"/>
          <w:sz w:val="27"/>
          <w:szCs w:val="27"/>
          <w:highlight w:val="none"/>
          <w:shd w:val="clear" w:color="auto" w:fill="FFFFFF"/>
          <w:lang w:val="en-US" w:eastAsia="zh-CN"/>
        </w:rPr>
        <w:t>共青团随州市委</w:t>
      </w:r>
      <w:r>
        <w:rPr>
          <w:rFonts w:hint="eastAsia" w:ascii="微软雅黑" w:hAnsi="微软雅黑" w:eastAsia="微软雅黑" w:cs="微软雅黑"/>
          <w:i w:val="0"/>
          <w:iCs w:val="0"/>
          <w:caps w:val="0"/>
          <w:color w:val="333333"/>
          <w:spacing w:val="0"/>
          <w:sz w:val="27"/>
          <w:szCs w:val="27"/>
          <w:highlight w:val="none"/>
          <w:shd w:val="clear" w:color="auto" w:fill="FFFFFF"/>
        </w:rPr>
        <w:t>（本级）</w:t>
      </w:r>
    </w:p>
    <w:p w14:paraId="0CAEC60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right="0" w:rightChars="0" w:firstLine="640" w:firstLineChars="200"/>
        <w:jc w:val="center"/>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第二部分  2023年度部门决算表</w:t>
      </w:r>
    </w:p>
    <w:p w14:paraId="4530BD48">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一、收入支出决算总表</w:t>
      </w:r>
    </w:p>
    <w:p w14:paraId="08AE19F6">
      <w:pPr>
        <w:keepNext w:val="0"/>
        <w:keepLines w:val="0"/>
        <w:pageBreakBefore w:val="0"/>
        <w:widowControl w:val="0"/>
        <w:kinsoku/>
        <w:wordWrap/>
        <w:overflowPunct/>
        <w:topLinePunct w:val="0"/>
        <w:autoSpaceDE/>
        <w:autoSpaceDN/>
        <w:bidi w:val="0"/>
        <w:adjustRightInd/>
        <w:snapToGrid/>
        <w:spacing w:line="240" w:lineRule="auto"/>
        <w:ind w:leftChars="0" w:right="0" w:rightChars="0" w:firstLine="0" w:firstLineChars="0"/>
        <w:jc w:val="both"/>
        <w:textAlignment w:val="auto"/>
        <w:rPr>
          <w:highlight w:val="none"/>
        </w:rPr>
      </w:pPr>
      <w:r>
        <w:rPr>
          <w:highlight w:val="none"/>
        </w:rPr>
        <w:drawing>
          <wp:inline distT="0" distB="0" distL="114300" distR="114300">
            <wp:extent cx="5536565" cy="4605020"/>
            <wp:effectExtent l="0" t="0" r="698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36565" cy="4605020"/>
                    </a:xfrm>
                    <a:prstGeom prst="rect">
                      <a:avLst/>
                    </a:prstGeom>
                    <a:noFill/>
                    <a:ln>
                      <a:noFill/>
                    </a:ln>
                  </pic:spPr>
                </pic:pic>
              </a:graphicData>
            </a:graphic>
          </wp:inline>
        </w:drawing>
      </w:r>
    </w:p>
    <w:p w14:paraId="5E3166C5">
      <w:pPr>
        <w:keepNext w:val="0"/>
        <w:keepLines w:val="0"/>
        <w:pageBreakBefore w:val="0"/>
        <w:widowControl w:val="0"/>
        <w:kinsoku/>
        <w:wordWrap/>
        <w:overflowPunct/>
        <w:topLinePunct w:val="0"/>
        <w:autoSpaceDE/>
        <w:autoSpaceDN/>
        <w:bidi w:val="0"/>
        <w:adjustRightInd/>
        <w:snapToGrid/>
        <w:spacing w:line="240" w:lineRule="auto"/>
        <w:ind w:leftChars="0" w:right="0" w:rightChars="0" w:firstLine="0" w:firstLineChars="0"/>
        <w:jc w:val="both"/>
        <w:textAlignment w:val="auto"/>
        <w:rPr>
          <w:highlight w:val="none"/>
        </w:rPr>
      </w:pPr>
    </w:p>
    <w:p w14:paraId="5B0ED0CD">
      <w:pPr>
        <w:keepNext w:val="0"/>
        <w:keepLines w:val="0"/>
        <w:pageBreakBefore w:val="0"/>
        <w:widowControl w:val="0"/>
        <w:kinsoku/>
        <w:wordWrap/>
        <w:overflowPunct/>
        <w:topLinePunct w:val="0"/>
        <w:autoSpaceDE/>
        <w:autoSpaceDN/>
        <w:bidi w:val="0"/>
        <w:adjustRightInd/>
        <w:snapToGrid/>
        <w:spacing w:line="240" w:lineRule="auto"/>
        <w:ind w:leftChars="0" w:right="0" w:rightChars="0" w:firstLine="0" w:firstLineChars="0"/>
        <w:jc w:val="both"/>
        <w:textAlignment w:val="auto"/>
        <w:rPr>
          <w:rFonts w:hint="default"/>
          <w:highlight w:val="none"/>
        </w:rPr>
      </w:pPr>
    </w:p>
    <w:p w14:paraId="3CE810C4">
      <w:pPr>
        <w:keepNext w:val="0"/>
        <w:keepLines w:val="0"/>
        <w:pageBreakBefore w:val="0"/>
        <w:widowControl w:val="0"/>
        <w:kinsoku/>
        <w:wordWrap/>
        <w:overflowPunct/>
        <w:topLinePunct w:val="0"/>
        <w:autoSpaceDE/>
        <w:autoSpaceDN/>
        <w:bidi w:val="0"/>
        <w:adjustRightInd/>
        <w:snapToGrid/>
        <w:spacing w:line="620" w:lineRule="exact"/>
        <w:ind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二、收入决算表</w:t>
      </w:r>
    </w:p>
    <w:p w14:paraId="323569A4">
      <w:pPr>
        <w:keepNext w:val="0"/>
        <w:keepLines w:val="0"/>
        <w:pageBreakBefore w:val="0"/>
        <w:widowControl w:val="0"/>
        <w:kinsoku/>
        <w:wordWrap/>
        <w:overflowPunct/>
        <w:topLinePunct w:val="0"/>
        <w:autoSpaceDE/>
        <w:autoSpaceDN/>
        <w:bidi w:val="0"/>
        <w:adjustRightInd/>
        <w:snapToGrid/>
        <w:spacing w:afterAutospacing="0" w:line="240" w:lineRule="auto"/>
        <w:ind w:right="0" w:rightChars="0"/>
        <w:jc w:val="distribute"/>
        <w:textAlignment w:val="auto"/>
        <w:rPr>
          <w:highlight w:val="none"/>
        </w:rPr>
      </w:pPr>
      <w:r>
        <w:rPr>
          <w:highlight w:val="none"/>
        </w:rPr>
        <w:drawing>
          <wp:inline distT="0" distB="0" distL="114300" distR="114300">
            <wp:extent cx="5534025" cy="2940050"/>
            <wp:effectExtent l="0" t="0" r="952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534025" cy="2940050"/>
                    </a:xfrm>
                    <a:prstGeom prst="rect">
                      <a:avLst/>
                    </a:prstGeom>
                    <a:noFill/>
                    <a:ln>
                      <a:noFill/>
                    </a:ln>
                  </pic:spPr>
                </pic:pic>
              </a:graphicData>
            </a:graphic>
          </wp:inline>
        </w:drawing>
      </w:r>
    </w:p>
    <w:p w14:paraId="73CB02C3">
      <w:pPr>
        <w:keepNext w:val="0"/>
        <w:keepLines w:val="0"/>
        <w:pageBreakBefore w:val="0"/>
        <w:widowControl w:val="0"/>
        <w:kinsoku/>
        <w:wordWrap/>
        <w:overflowPunct/>
        <w:topLinePunct w:val="0"/>
        <w:autoSpaceDE/>
        <w:autoSpaceDN/>
        <w:bidi w:val="0"/>
        <w:adjustRightInd/>
        <w:snapToGrid/>
        <w:spacing w:afterAutospacing="0" w:line="240" w:lineRule="auto"/>
        <w:ind w:right="0" w:rightChars="0"/>
        <w:jc w:val="distribute"/>
        <w:textAlignment w:val="auto"/>
        <w:rPr>
          <w:rFonts w:hint="default"/>
          <w:highlight w:val="none"/>
        </w:rPr>
      </w:pPr>
    </w:p>
    <w:p w14:paraId="0F933403">
      <w:pPr>
        <w:keepNext w:val="0"/>
        <w:keepLines w:val="0"/>
        <w:pageBreakBefore w:val="0"/>
        <w:widowControl w:val="0"/>
        <w:numPr>
          <w:ilvl w:val="0"/>
          <w:numId w:val="2"/>
        </w:numPr>
        <w:kinsoku/>
        <w:wordWrap/>
        <w:overflowPunct/>
        <w:topLinePunct w:val="0"/>
        <w:autoSpaceDE/>
        <w:autoSpaceDN/>
        <w:bidi w:val="0"/>
        <w:adjustRightInd/>
        <w:snapToGrid/>
        <w:spacing w:beforeAutospacing="0" w:line="620" w:lineRule="exact"/>
        <w:ind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支出决算表</w:t>
      </w:r>
    </w:p>
    <w:p w14:paraId="4E7FA6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both"/>
        <w:textAlignment w:val="auto"/>
        <w:rPr>
          <w:highlight w:val="none"/>
        </w:rPr>
      </w:pPr>
      <w:r>
        <w:rPr>
          <w:highlight w:val="none"/>
        </w:rPr>
        <w:drawing>
          <wp:inline distT="0" distB="0" distL="114300" distR="114300">
            <wp:extent cx="5535295" cy="3277235"/>
            <wp:effectExtent l="0" t="0" r="825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535295" cy="3277235"/>
                    </a:xfrm>
                    <a:prstGeom prst="rect">
                      <a:avLst/>
                    </a:prstGeom>
                    <a:noFill/>
                    <a:ln>
                      <a:noFill/>
                    </a:ln>
                  </pic:spPr>
                </pic:pic>
              </a:graphicData>
            </a:graphic>
          </wp:inline>
        </w:drawing>
      </w:r>
    </w:p>
    <w:p w14:paraId="37BE7C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both"/>
        <w:textAlignment w:val="auto"/>
        <w:rPr>
          <w:rFonts w:hint="default"/>
          <w:highlight w:val="none"/>
        </w:rPr>
      </w:pPr>
    </w:p>
    <w:p w14:paraId="0B559F15">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财政拨款收入支出决算总表</w:t>
      </w:r>
    </w:p>
    <w:p w14:paraId="1A553C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r>
        <w:rPr>
          <w:highlight w:val="none"/>
        </w:rPr>
        <w:drawing>
          <wp:inline distT="0" distB="0" distL="114300" distR="114300">
            <wp:extent cx="5535930" cy="4105275"/>
            <wp:effectExtent l="0" t="0" r="762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535930" cy="4105275"/>
                    </a:xfrm>
                    <a:prstGeom prst="rect">
                      <a:avLst/>
                    </a:prstGeom>
                    <a:noFill/>
                    <a:ln>
                      <a:noFill/>
                    </a:ln>
                  </pic:spPr>
                </pic:pic>
              </a:graphicData>
            </a:graphic>
          </wp:inline>
        </w:drawing>
      </w:r>
    </w:p>
    <w:p w14:paraId="185AF8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483622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1EAB8C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38E14E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2394F04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17D43B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0BFC86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50BC0C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p>
    <w:p w14:paraId="037761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highlight w:val="none"/>
        </w:rPr>
      </w:pPr>
    </w:p>
    <w:p w14:paraId="4E02A9E5">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一般公共预算财政拨款支出决算表</w:t>
      </w:r>
    </w:p>
    <w:p w14:paraId="1C8CD5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ascii="Times New Roman" w:hAnsi="Times New Roman" w:eastAsia="黑体" w:cs="Times New Roman"/>
          <w:bCs/>
          <w:sz w:val="32"/>
          <w:szCs w:val="32"/>
          <w:highlight w:val="none"/>
        </w:rPr>
      </w:pPr>
      <w:r>
        <w:rPr>
          <w:highlight w:val="none"/>
        </w:rPr>
        <w:drawing>
          <wp:inline distT="0" distB="0" distL="114300" distR="114300">
            <wp:extent cx="5542915" cy="3977640"/>
            <wp:effectExtent l="0" t="0" r="63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542915" cy="3977640"/>
                    </a:xfrm>
                    <a:prstGeom prst="rect">
                      <a:avLst/>
                    </a:prstGeom>
                    <a:noFill/>
                    <a:ln>
                      <a:noFill/>
                    </a:ln>
                  </pic:spPr>
                </pic:pic>
              </a:graphicData>
            </a:graphic>
          </wp:inline>
        </w:drawing>
      </w:r>
    </w:p>
    <w:p w14:paraId="5BFE02A1">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一般公共预算财政拨款基本支出决算</w:t>
      </w:r>
      <w:r>
        <w:rPr>
          <w:rFonts w:hint="default" w:ascii="Times New Roman" w:hAnsi="Times New Roman" w:eastAsia="黑体" w:cs="Times New Roman"/>
          <w:bCs/>
          <w:sz w:val="32"/>
          <w:szCs w:val="32"/>
          <w:highlight w:val="none"/>
          <w:lang w:eastAsia="zh-CN"/>
        </w:rPr>
        <w:t>明细</w:t>
      </w:r>
      <w:r>
        <w:rPr>
          <w:rFonts w:hint="default" w:ascii="Times New Roman" w:hAnsi="Times New Roman" w:eastAsia="黑体" w:cs="Times New Roman"/>
          <w:bCs/>
          <w:sz w:val="32"/>
          <w:szCs w:val="32"/>
          <w:highlight w:val="none"/>
        </w:rPr>
        <w:t>表</w:t>
      </w:r>
    </w:p>
    <w:p w14:paraId="3CC9D2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ascii="Times New Roman" w:hAnsi="Times New Roman" w:eastAsia="黑体" w:cs="Times New Roman"/>
          <w:bCs/>
          <w:sz w:val="32"/>
          <w:szCs w:val="32"/>
          <w:highlight w:val="none"/>
        </w:rPr>
      </w:pPr>
      <w:r>
        <w:rPr>
          <w:highlight w:val="none"/>
        </w:rPr>
        <w:drawing>
          <wp:inline distT="0" distB="0" distL="114300" distR="114300">
            <wp:extent cx="5537200" cy="3248025"/>
            <wp:effectExtent l="0" t="0" r="635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537200" cy="3248025"/>
                    </a:xfrm>
                    <a:prstGeom prst="rect">
                      <a:avLst/>
                    </a:prstGeom>
                    <a:noFill/>
                    <a:ln>
                      <a:noFill/>
                    </a:ln>
                  </pic:spPr>
                </pic:pic>
              </a:graphicData>
            </a:graphic>
          </wp:inline>
        </w:drawing>
      </w:r>
    </w:p>
    <w:p w14:paraId="0F0CA15E">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政府性基金预算财政拨款收入支出决算表</w:t>
      </w:r>
    </w:p>
    <w:p w14:paraId="5006FA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r>
        <w:rPr>
          <w:highlight w:val="none"/>
        </w:rPr>
        <w:drawing>
          <wp:inline distT="0" distB="0" distL="114300" distR="114300">
            <wp:extent cx="5539740" cy="1776730"/>
            <wp:effectExtent l="0" t="0" r="3810"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5539740" cy="1776730"/>
                    </a:xfrm>
                    <a:prstGeom prst="rect">
                      <a:avLst/>
                    </a:prstGeom>
                    <a:noFill/>
                    <a:ln>
                      <a:noFill/>
                    </a:ln>
                  </pic:spPr>
                </pic:pic>
              </a:graphicData>
            </a:graphic>
          </wp:inline>
        </w:drawing>
      </w:r>
    </w:p>
    <w:p w14:paraId="7C7A07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highlight w:val="none"/>
        </w:rPr>
      </w:pPr>
      <w:r>
        <w:rPr>
          <w:rFonts w:ascii="仿宋" w:hAnsi="仿宋" w:eastAsia="仿宋" w:cs="仿宋"/>
          <w:spacing w:val="9"/>
          <w:sz w:val="31"/>
          <w:szCs w:val="31"/>
          <w:highlight w:val="none"/>
        </w:rPr>
        <w:t>本单位本年度无政府性基金预算财政拨款收入支出</w:t>
      </w:r>
    </w:p>
    <w:p w14:paraId="48EFD33E">
      <w:pPr>
        <w:keepNext w:val="0"/>
        <w:keepLines w:val="0"/>
        <w:pageBreakBefore w:val="0"/>
        <w:widowControl w:val="0"/>
        <w:numPr>
          <w:ilvl w:val="0"/>
          <w:numId w:val="2"/>
        </w:numPr>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国有资本经营预算财政拨款支出决算表</w:t>
      </w:r>
    </w:p>
    <w:p w14:paraId="2AB855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highlight w:val="none"/>
        </w:rPr>
      </w:pPr>
      <w:r>
        <w:rPr>
          <w:highlight w:val="none"/>
        </w:rPr>
        <w:drawing>
          <wp:inline distT="0" distB="0" distL="114300" distR="114300">
            <wp:extent cx="5542280" cy="2675255"/>
            <wp:effectExtent l="0" t="0" r="1270"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542280" cy="2675255"/>
                    </a:xfrm>
                    <a:prstGeom prst="rect">
                      <a:avLst/>
                    </a:prstGeom>
                    <a:noFill/>
                    <a:ln>
                      <a:noFill/>
                    </a:ln>
                  </pic:spPr>
                </pic:pic>
              </a:graphicData>
            </a:graphic>
          </wp:inline>
        </w:drawing>
      </w:r>
    </w:p>
    <w:p w14:paraId="25AA2E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default"/>
          <w:highlight w:val="none"/>
        </w:rPr>
      </w:pPr>
      <w:r>
        <w:rPr>
          <w:rFonts w:ascii="仿宋" w:hAnsi="仿宋" w:eastAsia="仿宋" w:cs="仿宋"/>
          <w:spacing w:val="9"/>
          <w:sz w:val="31"/>
          <w:szCs w:val="31"/>
          <w:highlight w:val="none"/>
        </w:rPr>
        <w:t>本单位本年度无政府性基金预算财政拨款收入支出</w:t>
      </w:r>
    </w:p>
    <w:p w14:paraId="200A2E1D">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财政拨款“三公”经费支出决算表</w:t>
      </w:r>
    </w:p>
    <w:p w14:paraId="1A095BF5">
      <w:pPr>
        <w:keepNext w:val="0"/>
        <w:keepLines w:val="0"/>
        <w:pageBreakBefore w:val="0"/>
        <w:widowControl w:val="0"/>
        <w:numPr>
          <w:ilvl w:val="0"/>
          <w:numId w:val="0"/>
        </w:numPr>
        <w:tabs>
          <w:tab w:val="left" w:pos="2206"/>
        </w:tabs>
        <w:kinsoku/>
        <w:wordWrap/>
        <w:overflowPunct/>
        <w:topLinePunct w:val="0"/>
        <w:autoSpaceDE/>
        <w:autoSpaceDN/>
        <w:bidi w:val="0"/>
        <w:adjustRightInd/>
        <w:snapToGrid/>
        <w:spacing w:line="240" w:lineRule="auto"/>
        <w:ind w:right="0" w:rightChars="0"/>
        <w:jc w:val="both"/>
        <w:textAlignment w:val="auto"/>
        <w:rPr>
          <w:highlight w:val="none"/>
        </w:rPr>
      </w:pPr>
      <w:r>
        <w:rPr>
          <w:highlight w:val="none"/>
        </w:rPr>
        <w:drawing>
          <wp:inline distT="0" distB="0" distL="114300" distR="114300">
            <wp:extent cx="5538470" cy="1143000"/>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538470" cy="1143000"/>
                    </a:xfrm>
                    <a:prstGeom prst="rect">
                      <a:avLst/>
                    </a:prstGeom>
                    <a:noFill/>
                    <a:ln>
                      <a:noFill/>
                    </a:ln>
                  </pic:spPr>
                </pic:pic>
              </a:graphicData>
            </a:graphic>
          </wp:inline>
        </w:drawing>
      </w:r>
    </w:p>
    <w:p w14:paraId="120B1B16">
      <w:pPr>
        <w:keepNext w:val="0"/>
        <w:keepLines w:val="0"/>
        <w:pageBreakBefore w:val="0"/>
        <w:widowControl w:val="0"/>
        <w:numPr>
          <w:ilvl w:val="0"/>
          <w:numId w:val="0"/>
        </w:numPr>
        <w:tabs>
          <w:tab w:val="left" w:pos="2206"/>
        </w:tabs>
        <w:kinsoku/>
        <w:wordWrap/>
        <w:overflowPunct/>
        <w:topLinePunct w:val="0"/>
        <w:autoSpaceDE/>
        <w:autoSpaceDN/>
        <w:bidi w:val="0"/>
        <w:adjustRightInd/>
        <w:snapToGrid/>
        <w:spacing w:line="240" w:lineRule="auto"/>
        <w:ind w:right="0" w:rightChars="0"/>
        <w:jc w:val="both"/>
        <w:textAlignment w:val="auto"/>
        <w:rPr>
          <w:rFonts w:hint="eastAsia"/>
          <w:highlight w:val="none"/>
          <w:lang w:eastAsia="zh-CN"/>
        </w:rPr>
      </w:pPr>
    </w:p>
    <w:p w14:paraId="15B0DAE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center"/>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第三部分  2023年度部门决算情况说明</w:t>
      </w:r>
    </w:p>
    <w:p w14:paraId="3D13C076">
      <w:pPr>
        <w:keepNext w:val="0"/>
        <w:keepLines w:val="0"/>
        <w:pageBreakBefore w:val="0"/>
        <w:widowControl w:val="0"/>
        <w:kinsoku/>
        <w:wordWrap/>
        <w:overflowPunct/>
        <w:topLinePunct w:val="0"/>
        <w:autoSpaceDE/>
        <w:autoSpaceDN/>
        <w:bidi w:val="0"/>
        <w:adjustRightInd/>
        <w:snapToGrid/>
        <w:spacing w:line="580" w:lineRule="exact"/>
        <w:ind w:leftChars="0" w:right="0" w:rightChars="0" w:firstLine="640" w:firstLineChars="200"/>
        <w:jc w:val="both"/>
        <w:textAlignment w:val="auto"/>
        <w:rPr>
          <w:rFonts w:hint="default" w:ascii="Times New Roman" w:hAnsi="Times New Roman" w:eastAsia="黑体" w:cs="Times New Roman"/>
          <w:bCs/>
          <w:sz w:val="32"/>
          <w:szCs w:val="32"/>
          <w:highlight w:val="none"/>
          <w:lang w:val="en-US" w:eastAsia="zh-CN"/>
        </w:rPr>
      </w:pPr>
      <w:r>
        <w:rPr>
          <w:rFonts w:hint="default" w:ascii="Times New Roman" w:hAnsi="Times New Roman" w:eastAsia="黑体" w:cs="Times New Roman"/>
          <w:bCs/>
          <w:sz w:val="32"/>
          <w:szCs w:val="32"/>
          <w:highlight w:val="none"/>
          <w:lang w:val="en-US" w:eastAsia="zh-CN"/>
        </w:rPr>
        <w:t>一、收入支出决算总体情况说明</w:t>
      </w:r>
    </w:p>
    <w:p w14:paraId="3A1C3756">
      <w:pPr>
        <w:keepNext w:val="0"/>
        <w:keepLines w:val="0"/>
        <w:pageBreakBefore w:val="0"/>
        <w:widowControl w:val="0"/>
        <w:kinsoku/>
        <w:wordWrap/>
        <w:overflowPunct/>
        <w:topLinePunct w:val="0"/>
        <w:autoSpaceDE/>
        <w:autoSpaceDN/>
        <w:bidi w:val="0"/>
        <w:adjustRightInd/>
        <w:snapToGrid/>
        <w:spacing w:line="580" w:lineRule="exact"/>
        <w:ind w:leftChars="0" w:right="0" w:rightChars="0" w:firstLine="640" w:firstLineChars="200"/>
        <w:jc w:val="both"/>
        <w:textAlignment w:val="auto"/>
        <w:rPr>
          <w:rFonts w:hint="default" w:ascii="Times New Roman" w:hAnsi="Times New Roman" w:eastAsia="仿宋_GB2312" w:cs="Times New Roman"/>
          <w:bCs/>
          <w:sz w:val="32"/>
          <w:szCs w:val="32"/>
          <w:highlight w:val="none"/>
          <w:lang w:val="en-US" w:eastAsia="zh-CN"/>
        </w:rPr>
      </w:pPr>
      <w:r>
        <w:rPr>
          <w:rFonts w:hint="default" w:ascii="Times New Roman" w:hAnsi="Times New Roman" w:cs="Times New Roman"/>
          <w:bCs/>
          <w:sz w:val="32"/>
          <w:szCs w:val="32"/>
          <w:highlight w:val="none"/>
          <w:lang w:val="en-US" w:eastAsia="zh-CN"/>
        </w:rPr>
        <w:t>2023年</w:t>
      </w:r>
      <w:r>
        <w:rPr>
          <w:rFonts w:hint="default" w:ascii="Times New Roman" w:hAnsi="Times New Roman" w:eastAsia="仿宋_GB2312" w:cs="Times New Roman"/>
          <w:bCs/>
          <w:sz w:val="32"/>
          <w:szCs w:val="32"/>
          <w:highlight w:val="none"/>
          <w:lang w:val="en-US" w:eastAsia="zh-CN"/>
        </w:rPr>
        <w:t>度收、支总计</w:t>
      </w:r>
      <w:r>
        <w:rPr>
          <w:rFonts w:hint="default" w:ascii="Times New Roman" w:hAnsi="Times New Roman" w:cs="Times New Roman"/>
          <w:bCs/>
          <w:sz w:val="32"/>
          <w:szCs w:val="32"/>
          <w:highlight w:val="none"/>
          <w:lang w:val="en-US" w:eastAsia="zh-CN"/>
        </w:rPr>
        <w:t>均为</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277.18</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万元。与</w:t>
      </w:r>
      <w:r>
        <w:rPr>
          <w:rFonts w:hint="default" w:ascii="Times New Roman" w:hAnsi="Times New Roman" w:cs="Times New Roman"/>
          <w:bCs/>
          <w:sz w:val="32"/>
          <w:szCs w:val="32"/>
          <w:highlight w:val="none"/>
          <w:lang w:val="en-US" w:eastAsia="zh-CN"/>
        </w:rPr>
        <w:t>2022年</w:t>
      </w:r>
      <w:r>
        <w:rPr>
          <w:rFonts w:hint="default" w:ascii="Times New Roman" w:hAnsi="Times New Roman" w:eastAsia="仿宋_GB2312" w:cs="Times New Roman"/>
          <w:bCs/>
          <w:sz w:val="32"/>
          <w:szCs w:val="32"/>
          <w:highlight w:val="none"/>
          <w:lang w:val="en-US" w:eastAsia="zh-CN"/>
        </w:rPr>
        <w:t>度相比，收、支总计各增加</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21.51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万元，增长</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8.41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 xml:space="preserve"> %，主要原因是</w:t>
      </w:r>
      <w:r>
        <w:rPr>
          <w:rFonts w:hint="eastAsia" w:ascii="仿宋_GB2312" w:hAnsi="宋体"/>
          <w:bCs/>
          <w:color w:val="auto"/>
          <w:sz w:val="32"/>
          <w:szCs w:val="32"/>
          <w:highlight w:val="none"/>
          <w:lang w:val="en-US" w:eastAsia="zh-CN"/>
        </w:rPr>
        <w:t>组织开展培训等活动较多，费用增加。</w:t>
      </w:r>
    </w:p>
    <w:p w14:paraId="532B8355">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center"/>
        <w:textAlignment w:val="auto"/>
        <w:rPr>
          <w:rFonts w:hint="eastAsia" w:ascii="Times New Roman" w:hAnsi="Times New Roman" w:eastAsia="仿宋_GB2312" w:cs="Times New Roman"/>
          <w:b/>
          <w:bCs w:val="0"/>
          <w:sz w:val="32"/>
          <w:szCs w:val="32"/>
          <w:highlight w:val="none"/>
          <w:lang w:val="en-US" w:eastAsia="zh-CN"/>
        </w:rPr>
      </w:pPr>
      <w:r>
        <w:rPr>
          <w:rFonts w:hint="eastAsia" w:ascii="Times New Roman" w:hAnsi="Times New Roman" w:eastAsia="仿宋_GB2312" w:cs="Times New Roman"/>
          <w:b/>
          <w:bCs w:val="0"/>
          <w:sz w:val="32"/>
          <w:szCs w:val="32"/>
          <w:highlight w:val="none"/>
          <w:lang w:val="en-US" w:eastAsia="zh-CN"/>
        </w:rPr>
        <w:t>图1：收、支决算总计变动情况</w:t>
      </w:r>
    </w:p>
    <w:p w14:paraId="5BE24369">
      <w:pPr>
        <w:adjustRightInd w:val="0"/>
        <w:snapToGrid w:val="0"/>
        <w:spacing w:line="580" w:lineRule="atLeast"/>
        <w:jc w:val="center"/>
        <w:rPr>
          <w:rFonts w:hint="default" w:ascii="Times New Roman" w:hAnsi="Times New Roman" w:eastAsia="仿宋_GB2312" w:cs="Times New Roman"/>
          <w:bCs/>
          <w:sz w:val="32"/>
          <w:szCs w:val="32"/>
          <w:highlight w:val="none"/>
          <w:lang w:val="en-US" w:eastAsia="zh-CN"/>
        </w:rPr>
      </w:pPr>
      <w:r>
        <w:rPr>
          <w:highlight w:val="none"/>
        </w:rPr>
        <w:drawing>
          <wp:inline distT="0" distB="0" distL="114300" distR="114300">
            <wp:extent cx="4391025" cy="257175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4391025" cy="2571750"/>
                    </a:xfrm>
                    <a:prstGeom prst="rect">
                      <a:avLst/>
                    </a:prstGeom>
                    <a:noFill/>
                    <a:ln>
                      <a:noFill/>
                    </a:ln>
                  </pic:spPr>
                </pic:pic>
              </a:graphicData>
            </a:graphic>
          </wp:inline>
        </w:drawing>
      </w:r>
    </w:p>
    <w:p w14:paraId="0AAB60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二、收入决算情况说明</w:t>
      </w:r>
    </w:p>
    <w:p w14:paraId="2A8322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highlight w:val="none"/>
          <w:lang w:val="en-US" w:eastAsia="zh-CN"/>
        </w:rPr>
      </w:pPr>
      <w:r>
        <w:rPr>
          <w:rFonts w:hint="default" w:ascii="Times New Roman" w:hAnsi="Times New Roman" w:cs="Times New Roman"/>
          <w:bCs/>
          <w:szCs w:val="32"/>
          <w:highlight w:val="none"/>
          <w:lang w:val="en-US" w:eastAsia="zh-CN"/>
        </w:rPr>
        <w:t>2023年度收入合计</w:t>
      </w:r>
      <w:r>
        <w:rPr>
          <w:rFonts w:hint="default"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277.18</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万元，与2022年度相比，收入合计</w:t>
      </w:r>
      <w:r>
        <w:rPr>
          <w:rFonts w:hint="default" w:ascii="Times New Roman" w:hAnsi="Times New Roman" w:eastAsia="仿宋_GB2312" w:cs="Times New Roman"/>
          <w:bCs/>
          <w:sz w:val="32"/>
          <w:szCs w:val="32"/>
          <w:highlight w:val="none"/>
          <w:lang w:val="en-US" w:eastAsia="zh-CN"/>
        </w:rPr>
        <w:t>增加</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21.51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万元，增长</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8.41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 xml:space="preserve"> %</w:t>
      </w:r>
      <w:r>
        <w:rPr>
          <w:rFonts w:hint="default" w:ascii="Times New Roman" w:hAnsi="Times New Roman" w:cs="Times New Roman"/>
          <w:bCs/>
          <w:szCs w:val="32"/>
          <w:highlight w:val="none"/>
          <w:lang w:val="en-US" w:eastAsia="zh-CN"/>
        </w:rPr>
        <w:t>。其中：财政拨款收入</w:t>
      </w:r>
      <w:r>
        <w:rPr>
          <w:rFonts w:hint="default" w:ascii="Times New Roman" w:hAnsi="Times New Roman" w:cs="Times New Roman"/>
          <w:bCs/>
          <w:szCs w:val="32"/>
          <w:highlight w:val="none"/>
          <w:u w:val="single"/>
          <w:lang w:val="en-US" w:eastAsia="zh-CN"/>
        </w:rPr>
        <w:t xml:space="preserve"> </w:t>
      </w:r>
      <w:r>
        <w:rPr>
          <w:rFonts w:hint="eastAsia"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250.4</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万元，占本年收入</w:t>
      </w:r>
      <w:r>
        <w:rPr>
          <w:rFonts w:hint="default"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90.34</w:t>
      </w:r>
      <w:r>
        <w:rPr>
          <w:rFonts w:hint="eastAsia"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%；上级补助收入</w:t>
      </w:r>
      <w:r>
        <w:rPr>
          <w:rFonts w:hint="default"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0</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万元，占本年收入</w:t>
      </w:r>
      <w:r>
        <w:rPr>
          <w:rFonts w:hint="default" w:ascii="Times New Roman" w:hAnsi="Times New Roman" w:cs="Times New Roman"/>
          <w:bCs/>
          <w:szCs w:val="32"/>
          <w:highlight w:val="none"/>
          <w:u w:val="single"/>
          <w:lang w:val="en-US" w:eastAsia="zh-CN"/>
        </w:rPr>
        <w:t xml:space="preserve"> </w:t>
      </w:r>
      <w:r>
        <w:rPr>
          <w:rFonts w:hint="eastAsia"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0</w:t>
      </w:r>
      <w:r>
        <w:rPr>
          <w:rFonts w:hint="eastAsia"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%；事业收入</w:t>
      </w:r>
      <w:r>
        <w:rPr>
          <w:rFonts w:hint="default" w:ascii="Times New Roman" w:hAnsi="Times New Roman" w:cs="Times New Roman"/>
          <w:bCs/>
          <w:szCs w:val="32"/>
          <w:highlight w:val="none"/>
          <w:u w:val="single"/>
          <w:lang w:val="en-US" w:eastAsia="zh-CN"/>
        </w:rPr>
        <w:t xml:space="preserve"> </w:t>
      </w:r>
      <w:r>
        <w:rPr>
          <w:rFonts w:hint="eastAsia"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0</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万元，占本年收入</w:t>
      </w:r>
      <w:r>
        <w:rPr>
          <w:rFonts w:hint="default"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0</w:t>
      </w:r>
      <w:r>
        <w:rPr>
          <w:rFonts w:hint="eastAsia"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%；经营收入</w:t>
      </w:r>
      <w:r>
        <w:rPr>
          <w:rFonts w:hint="default" w:ascii="Times New Roman" w:hAnsi="Times New Roman" w:cs="Times New Roman"/>
          <w:bCs/>
          <w:szCs w:val="32"/>
          <w:highlight w:val="none"/>
          <w:u w:val="single"/>
          <w:lang w:val="en-US" w:eastAsia="zh-CN"/>
        </w:rPr>
        <w:t xml:space="preserve">  </w:t>
      </w:r>
      <w:r>
        <w:rPr>
          <w:rFonts w:hint="eastAsia" w:cs="Times New Roman"/>
          <w:bCs/>
          <w:szCs w:val="32"/>
          <w:highlight w:val="none"/>
          <w:u w:val="single"/>
          <w:lang w:val="en-US" w:eastAsia="zh-CN"/>
        </w:rPr>
        <w:t>0</w:t>
      </w:r>
      <w:r>
        <w:rPr>
          <w:rFonts w:hint="default" w:ascii="Times New Roman" w:hAnsi="Times New Roman" w:cs="Times New Roman"/>
          <w:bCs/>
          <w:szCs w:val="32"/>
          <w:highlight w:val="none"/>
          <w:u w:val="single"/>
          <w:lang w:val="en-US" w:eastAsia="zh-CN"/>
        </w:rPr>
        <w:t xml:space="preserve"> </w:t>
      </w:r>
      <w:r>
        <w:rPr>
          <w:rFonts w:hint="default" w:ascii="Times New Roman" w:hAnsi="Times New Roman" w:cs="Times New Roman"/>
          <w:bCs/>
          <w:szCs w:val="32"/>
          <w:highlight w:val="none"/>
          <w:lang w:val="en-US" w:eastAsia="zh-CN"/>
        </w:rPr>
        <w:t>万元，占</w:t>
      </w:r>
      <w:r>
        <w:rPr>
          <w:rFonts w:hint="default" w:ascii="Times New Roman" w:hAnsi="Times New Roman" w:cs="Times New Roman"/>
          <w:highlight w:val="none"/>
          <w:lang w:val="en-US" w:eastAsia="zh-CN"/>
        </w:rPr>
        <w:t>本年收入</w:t>
      </w:r>
      <w:r>
        <w:rPr>
          <w:rFonts w:hint="default" w:ascii="Times New Roman" w:hAnsi="Times New Roman" w:cs="Times New Roman"/>
          <w:highlight w:val="none"/>
          <w:u w:val="single"/>
          <w:lang w:val="en-US" w:eastAsia="zh-CN"/>
        </w:rPr>
        <w:t xml:space="preserve"> </w:t>
      </w:r>
      <w:r>
        <w:rPr>
          <w:rFonts w:hint="eastAsia" w:ascii="Times New Roman" w:hAnsi="Times New Roman" w:cs="Times New Roman"/>
          <w:highlight w:val="none"/>
          <w:u w:val="single"/>
          <w:lang w:val="en-US" w:eastAsia="zh-CN"/>
        </w:rPr>
        <w:t xml:space="preserve"> </w:t>
      </w:r>
      <w:r>
        <w:rPr>
          <w:rFonts w:hint="eastAsia" w:cs="Times New Roman"/>
          <w:highlight w:val="none"/>
          <w:u w:val="single"/>
          <w:lang w:val="en-US" w:eastAsia="zh-CN"/>
        </w:rPr>
        <w:t>0</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lang w:val="en-US" w:eastAsia="zh-CN"/>
        </w:rPr>
        <w:t>%；附属单位上缴收入</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0</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u w:val="none"/>
          <w:lang w:val="en-US" w:eastAsia="zh-CN"/>
        </w:rPr>
        <w:t>万元，</w:t>
      </w:r>
      <w:r>
        <w:rPr>
          <w:rFonts w:hint="default" w:ascii="Times New Roman" w:hAnsi="Times New Roman" w:cs="Times New Roman"/>
          <w:bCs/>
          <w:szCs w:val="32"/>
          <w:highlight w:val="none"/>
          <w:lang w:val="en-US" w:eastAsia="zh-CN"/>
        </w:rPr>
        <w:t>占</w:t>
      </w:r>
      <w:r>
        <w:rPr>
          <w:rFonts w:hint="default" w:ascii="Times New Roman" w:hAnsi="Times New Roman" w:cs="Times New Roman"/>
          <w:highlight w:val="none"/>
          <w:lang w:val="en-US" w:eastAsia="zh-CN"/>
        </w:rPr>
        <w:t>本年收入</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0</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lang w:val="en-US" w:eastAsia="zh-CN"/>
        </w:rPr>
        <w:t>%；其他收入</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26.78</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lang w:val="en-US" w:eastAsia="zh-CN"/>
        </w:rPr>
        <w:t>万元，占本年收入</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9.66</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lang w:val="en-US" w:eastAsia="zh-CN"/>
        </w:rPr>
        <w:t>%。</w:t>
      </w:r>
    </w:p>
    <w:p w14:paraId="5DF255BB">
      <w:pPr>
        <w:keepNext w:val="0"/>
        <w:keepLines w:val="0"/>
        <w:pageBreakBefore w:val="0"/>
        <w:widowControl w:val="0"/>
        <w:kinsoku/>
        <w:wordWrap/>
        <w:overflowPunct/>
        <w:topLinePunct w:val="0"/>
        <w:autoSpaceDE/>
        <w:autoSpaceDN/>
        <w:bidi w:val="0"/>
        <w:adjustRightInd w:val="0"/>
        <w:snapToGrid w:val="0"/>
        <w:spacing w:line="580" w:lineRule="exact"/>
        <w:ind w:firstLine="0" w:firstLineChars="0"/>
        <w:jc w:val="center"/>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图2：收入决算结构</w:t>
      </w:r>
    </w:p>
    <w:p w14:paraId="5F4EED40">
      <w:pPr>
        <w:bidi w:val="0"/>
        <w:jc w:val="center"/>
        <w:rPr>
          <w:rFonts w:hint="default" w:ascii="Times New Roman" w:hAnsi="Times New Roman" w:eastAsia="仿宋_GB2312" w:cs="Times New Roman"/>
          <w:highlight w:val="none"/>
          <w:lang w:val="en-US" w:eastAsia="zh-CN"/>
        </w:rPr>
      </w:pPr>
      <w:r>
        <w:rPr>
          <w:highlight w:val="none"/>
        </w:rPr>
        <w:drawing>
          <wp:inline distT="0" distB="0" distL="114300" distR="114300">
            <wp:extent cx="4324350" cy="3381375"/>
            <wp:effectExtent l="0" t="0" r="0" b="952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5"/>
                    <a:stretch>
                      <a:fillRect/>
                    </a:stretch>
                  </pic:blipFill>
                  <pic:spPr>
                    <a:xfrm>
                      <a:off x="0" y="0"/>
                      <a:ext cx="4324350" cy="3381375"/>
                    </a:xfrm>
                    <a:prstGeom prst="rect">
                      <a:avLst/>
                    </a:prstGeom>
                    <a:noFill/>
                    <a:ln>
                      <a:noFill/>
                    </a:ln>
                  </pic:spPr>
                </pic:pic>
              </a:graphicData>
            </a:graphic>
          </wp:inline>
        </w:drawing>
      </w:r>
    </w:p>
    <w:p w14:paraId="4310481E">
      <w:pPr>
        <w:keepNext w:val="0"/>
        <w:keepLines w:val="0"/>
        <w:pageBreakBefore w:val="0"/>
        <w:widowControl w:val="0"/>
        <w:kinsoku/>
        <w:wordWrap/>
        <w:overflowPunct/>
        <w:topLinePunct w:val="0"/>
        <w:autoSpaceDE/>
        <w:autoSpaceDN/>
        <w:bidi w:val="0"/>
        <w:spacing w:line="500" w:lineRule="exact"/>
        <w:ind w:firstLine="640" w:firstLineChars="200"/>
        <w:textAlignment w:val="auto"/>
        <w:rPr>
          <w:rFonts w:hint="default" w:ascii="Times New Roman" w:hAnsi="Times New Roman" w:eastAsia="黑体" w:cs="Times New Roman"/>
          <w:highlight w:val="none"/>
        </w:rPr>
      </w:pPr>
      <w:r>
        <w:rPr>
          <w:rFonts w:hint="default" w:ascii="Times New Roman" w:hAnsi="Times New Roman" w:eastAsia="黑体" w:cs="Times New Roman"/>
          <w:highlight w:val="none"/>
          <w:lang w:val="en-US" w:eastAsia="zh-CN"/>
        </w:rPr>
        <w:t>三、支出决算情况说明</w:t>
      </w:r>
    </w:p>
    <w:p w14:paraId="57FE1AA1">
      <w:pPr>
        <w:keepNext w:val="0"/>
        <w:keepLines w:val="0"/>
        <w:pageBreakBefore w:val="0"/>
        <w:widowControl w:val="0"/>
        <w:kinsoku/>
        <w:wordWrap/>
        <w:overflowPunct/>
        <w:topLinePunct w:val="0"/>
        <w:autoSpaceDE/>
        <w:autoSpaceDN/>
        <w:bidi w:val="0"/>
        <w:spacing w:line="500" w:lineRule="exact"/>
        <w:ind w:firstLine="640" w:firstLineChars="200"/>
        <w:textAlignment w:val="auto"/>
        <w:rPr>
          <w:rFonts w:hint="default" w:ascii="Times New Roman" w:hAnsi="Times New Roman" w:eastAsia="仿宋_GB2312" w:cs="Times New Roman"/>
          <w:sz w:val="30"/>
          <w:szCs w:val="30"/>
          <w:highlight w:val="none"/>
        </w:rPr>
      </w:pPr>
      <w:r>
        <w:rPr>
          <w:rFonts w:hint="default" w:ascii="Times New Roman" w:hAnsi="Times New Roman" w:cs="Times New Roman"/>
          <w:highlight w:val="none"/>
          <w:lang w:eastAsia="zh-CN"/>
        </w:rPr>
        <w:t>202</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eastAsia="zh-CN"/>
        </w:rPr>
        <w:t>年</w:t>
      </w:r>
      <w:r>
        <w:rPr>
          <w:rFonts w:hint="default" w:ascii="Times New Roman" w:hAnsi="Times New Roman" w:cs="Times New Roman"/>
          <w:highlight w:val="none"/>
        </w:rPr>
        <w:t>度支出合计</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277.18</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rPr>
        <w:t>万元</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与2022年度相比，支出合计</w:t>
      </w:r>
      <w:r>
        <w:rPr>
          <w:rFonts w:hint="default" w:ascii="Times New Roman" w:hAnsi="Times New Roman" w:eastAsia="仿宋_GB2312" w:cs="Times New Roman"/>
          <w:bCs/>
          <w:sz w:val="32"/>
          <w:szCs w:val="32"/>
          <w:highlight w:val="none"/>
          <w:lang w:val="en-US" w:eastAsia="zh-CN"/>
        </w:rPr>
        <w:t>增加</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21.51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万元，增长</w:t>
      </w:r>
      <w:r>
        <w:rPr>
          <w:rFonts w:hint="default" w:ascii="Times New Roman" w:hAnsi="Times New Roman" w:cs="Times New Roman"/>
          <w:bCs/>
          <w:sz w:val="32"/>
          <w:szCs w:val="32"/>
          <w:highlight w:val="none"/>
          <w:u w:val="single"/>
          <w:lang w:val="en-US" w:eastAsia="zh-CN"/>
        </w:rPr>
        <w:t xml:space="preserve">  </w:t>
      </w:r>
      <w:r>
        <w:rPr>
          <w:rFonts w:hint="eastAsia" w:cs="Times New Roman"/>
          <w:bCs/>
          <w:sz w:val="32"/>
          <w:szCs w:val="32"/>
          <w:highlight w:val="none"/>
          <w:u w:val="single"/>
          <w:lang w:val="en-US" w:eastAsia="zh-CN"/>
        </w:rPr>
        <w:t>8.41</w:t>
      </w:r>
      <w:r>
        <w:rPr>
          <w:rFonts w:hint="default" w:ascii="Times New Roman" w:hAnsi="Times New Roman" w:cs="Times New Roman"/>
          <w:bCs/>
          <w:sz w:val="32"/>
          <w:szCs w:val="32"/>
          <w:highlight w:val="none"/>
          <w:u w:val="single"/>
          <w:lang w:val="en-US" w:eastAsia="zh-CN"/>
        </w:rPr>
        <w:t xml:space="preserve"> </w:t>
      </w:r>
      <w:r>
        <w:rPr>
          <w:rFonts w:hint="default" w:ascii="Times New Roman" w:hAnsi="Times New Roman" w:eastAsia="仿宋_GB2312" w:cs="Times New Roman"/>
          <w:bCs/>
          <w:sz w:val="32"/>
          <w:szCs w:val="32"/>
          <w:highlight w:val="none"/>
          <w:lang w:val="en-US" w:eastAsia="zh-CN"/>
        </w:rPr>
        <w:t xml:space="preserve"> </w:t>
      </w:r>
      <w:r>
        <w:rPr>
          <w:rFonts w:hint="default" w:ascii="Times New Roman" w:hAnsi="Times New Roman" w:cs="Times New Roman"/>
          <w:highlight w:val="none"/>
          <w:lang w:val="en-US" w:eastAsia="zh-CN"/>
        </w:rPr>
        <w:t>%。</w:t>
      </w:r>
      <w:r>
        <w:rPr>
          <w:rFonts w:hint="default" w:ascii="Times New Roman" w:hAnsi="Times New Roman" w:eastAsia="仿宋_GB2312" w:cs="Times New Roman"/>
          <w:bCs/>
          <w:kern w:val="44"/>
          <w:szCs w:val="32"/>
          <w:highlight w:val="none"/>
        </w:rPr>
        <w:t>其中：基本支出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178.68</w:t>
      </w:r>
      <w:r>
        <w:rPr>
          <w:rFonts w:hint="default" w:ascii="Times New Roman" w:hAnsi="Times New Roman" w:eastAsia="仿宋_GB2312" w:cs="Times New Roman"/>
          <w:bCs/>
          <w:kern w:val="44"/>
          <w:szCs w:val="32"/>
          <w:highlight w:val="none"/>
        </w:rPr>
        <w:t>万元，占本年支出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64.46</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%；项目支出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98.5</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万元，占本年支出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35.54</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%；上缴上级支出</w:t>
      </w:r>
      <w:r>
        <w:rPr>
          <w:rFonts w:hint="default" w:ascii="Times New Roman" w:hAnsi="Times New Roman" w:eastAsia="仿宋_GB2312" w:cs="Times New Roman"/>
          <w:bCs/>
          <w:kern w:val="44"/>
          <w:szCs w:val="32"/>
          <w:highlight w:val="none"/>
          <w:u w:val="single"/>
        </w:rPr>
        <w:t xml:space="preserve">  </w:t>
      </w:r>
      <w:r>
        <w:rPr>
          <w:rFonts w:hint="eastAsia" w:ascii="Times New Roman" w:hAnsi="Times New Roman" w:cs="Times New Roman"/>
          <w:bCs/>
          <w:kern w:val="44"/>
          <w:szCs w:val="32"/>
          <w:highlight w:val="none"/>
          <w:u w:val="single"/>
          <w:lang w:val="en-US" w:eastAsia="zh-CN"/>
        </w:rPr>
        <w:t xml:space="preserve"> </w:t>
      </w:r>
      <w:r>
        <w:rPr>
          <w:rFonts w:hint="eastAsia" w:cs="Times New Roman"/>
          <w:bCs/>
          <w:kern w:val="44"/>
          <w:szCs w:val="32"/>
          <w:highlight w:val="none"/>
          <w:u w:val="single"/>
          <w:lang w:val="en-US" w:eastAsia="zh-CN"/>
        </w:rPr>
        <w:t>0</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万元，占本年支出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0</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%；经营支出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0</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万元，占本年支出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0</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w:t>
      </w:r>
      <w:r>
        <w:rPr>
          <w:rFonts w:hint="default" w:ascii="Times New Roman" w:hAnsi="Times New Roman" w:cs="Times New Roman"/>
          <w:bCs/>
          <w:kern w:val="44"/>
          <w:szCs w:val="32"/>
          <w:highlight w:val="none"/>
          <w:lang w:eastAsia="zh-CN"/>
        </w:rPr>
        <w:t>；对附属单位补助支出</w:t>
      </w:r>
      <w:r>
        <w:rPr>
          <w:rFonts w:hint="default" w:ascii="Times New Roman" w:hAnsi="Times New Roman" w:cs="Times New Roman"/>
          <w:bCs/>
          <w:kern w:val="44"/>
          <w:szCs w:val="32"/>
          <w:highlight w:val="none"/>
          <w:u w:val="single"/>
          <w:lang w:val="en-US" w:eastAsia="zh-CN"/>
        </w:rPr>
        <w:t xml:space="preserve">   </w:t>
      </w:r>
      <w:r>
        <w:rPr>
          <w:rFonts w:hint="eastAsia" w:cs="Times New Roman"/>
          <w:bCs/>
          <w:kern w:val="44"/>
          <w:szCs w:val="32"/>
          <w:highlight w:val="none"/>
          <w:u w:val="single"/>
          <w:lang w:val="en-US" w:eastAsia="zh-CN"/>
        </w:rPr>
        <w:t>0</w:t>
      </w:r>
      <w:r>
        <w:rPr>
          <w:rFonts w:hint="default" w:ascii="Times New Roman" w:hAnsi="Times New Roman" w:cs="Times New Roman"/>
          <w:bCs/>
          <w:kern w:val="44"/>
          <w:szCs w:val="32"/>
          <w:highlight w:val="none"/>
          <w:u w:val="single"/>
          <w:lang w:val="en-US" w:eastAsia="zh-CN"/>
        </w:rPr>
        <w:t xml:space="preserve"> </w:t>
      </w:r>
      <w:r>
        <w:rPr>
          <w:rFonts w:hint="default" w:ascii="Times New Roman" w:hAnsi="Times New Roman" w:cs="Times New Roman"/>
          <w:bCs/>
          <w:kern w:val="44"/>
          <w:szCs w:val="32"/>
          <w:highlight w:val="none"/>
          <w:u w:val="none"/>
          <w:lang w:val="en-US" w:eastAsia="zh-CN"/>
        </w:rPr>
        <w:t>万元，</w:t>
      </w:r>
      <w:r>
        <w:rPr>
          <w:rFonts w:hint="default" w:ascii="Times New Roman" w:hAnsi="Times New Roman" w:eastAsia="仿宋_GB2312" w:cs="Times New Roman"/>
          <w:bCs/>
          <w:kern w:val="44"/>
          <w:szCs w:val="32"/>
          <w:highlight w:val="none"/>
        </w:rPr>
        <w:t>占本年支出</w:t>
      </w:r>
      <w:r>
        <w:rPr>
          <w:rFonts w:hint="default" w:ascii="Times New Roman" w:hAnsi="Times New Roman" w:eastAsia="仿宋_GB2312" w:cs="Times New Roman"/>
          <w:bCs/>
          <w:kern w:val="44"/>
          <w:szCs w:val="32"/>
          <w:highlight w:val="none"/>
          <w:u w:val="single"/>
        </w:rPr>
        <w:t xml:space="preserve"> </w:t>
      </w:r>
      <w:r>
        <w:rPr>
          <w:rFonts w:hint="eastAsia" w:cs="Times New Roman"/>
          <w:bCs/>
          <w:kern w:val="44"/>
          <w:szCs w:val="32"/>
          <w:highlight w:val="none"/>
          <w:u w:val="single"/>
          <w:lang w:val="en-US" w:eastAsia="zh-CN"/>
        </w:rPr>
        <w:t>0</w:t>
      </w:r>
      <w:r>
        <w:rPr>
          <w:rFonts w:hint="default" w:ascii="Times New Roman" w:hAnsi="Times New Roman" w:eastAsia="仿宋_GB2312" w:cs="Times New Roman"/>
          <w:bCs/>
          <w:kern w:val="44"/>
          <w:szCs w:val="32"/>
          <w:highlight w:val="none"/>
          <w:u w:val="single"/>
        </w:rPr>
        <w:t xml:space="preserve">   </w:t>
      </w:r>
      <w:r>
        <w:rPr>
          <w:rFonts w:hint="default" w:ascii="Times New Roman" w:hAnsi="Times New Roman" w:eastAsia="仿宋_GB2312" w:cs="Times New Roman"/>
          <w:bCs/>
          <w:kern w:val="44"/>
          <w:szCs w:val="32"/>
          <w:highlight w:val="none"/>
        </w:rPr>
        <w:t>%。</w:t>
      </w:r>
    </w:p>
    <w:p w14:paraId="0441526D">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图3：支出决算结构</w:t>
      </w:r>
    </w:p>
    <w:p w14:paraId="6A60CB1F">
      <w:pPr>
        <w:bidi w:val="0"/>
        <w:jc w:val="center"/>
        <w:rPr>
          <w:rFonts w:hint="default" w:ascii="Times New Roman" w:hAnsi="Times New Roman" w:eastAsia="黑体" w:cs="Times New Roman"/>
          <w:highlight w:val="none"/>
          <w:lang w:val="en-US" w:eastAsia="zh-CN"/>
        </w:rPr>
      </w:pPr>
      <w:r>
        <w:rPr>
          <w:highlight w:val="none"/>
        </w:rPr>
        <w:drawing>
          <wp:inline distT="0" distB="0" distL="114300" distR="114300">
            <wp:extent cx="4581525" cy="2752725"/>
            <wp:effectExtent l="0" t="0" r="9525" b="952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6"/>
                    <a:stretch>
                      <a:fillRect/>
                    </a:stretch>
                  </pic:blipFill>
                  <pic:spPr>
                    <a:xfrm>
                      <a:off x="0" y="0"/>
                      <a:ext cx="4581525" cy="2752725"/>
                    </a:xfrm>
                    <a:prstGeom prst="rect">
                      <a:avLst/>
                    </a:prstGeom>
                    <a:noFill/>
                    <a:ln>
                      <a:noFill/>
                    </a:ln>
                  </pic:spPr>
                </pic:pic>
              </a:graphicData>
            </a:graphic>
          </wp:inline>
        </w:drawing>
      </w:r>
    </w:p>
    <w:p w14:paraId="151DAB11">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黑体" w:cs="Times New Roman"/>
          <w:highlight w:val="none"/>
          <w:lang w:val="en-US" w:eastAsia="zh-CN"/>
        </w:rPr>
      </w:pPr>
      <w:r>
        <w:rPr>
          <w:rFonts w:hint="default" w:ascii="Times New Roman" w:hAnsi="Times New Roman" w:eastAsia="黑体" w:cs="Times New Roman"/>
          <w:highlight w:val="none"/>
          <w:lang w:val="en-US" w:eastAsia="zh-CN"/>
        </w:rPr>
        <w:t>四、财政拨款收入支出决算总体情况说明</w:t>
      </w:r>
    </w:p>
    <w:p w14:paraId="5C33E4ED">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cs="Times New Roman"/>
          <w:highlight w:val="none"/>
        </w:rPr>
      </w:pPr>
      <w:r>
        <w:rPr>
          <w:rFonts w:hint="default" w:ascii="Times New Roman" w:hAnsi="Times New Roman" w:cs="Times New Roman"/>
          <w:highlight w:val="none"/>
          <w:lang w:eastAsia="zh-CN"/>
        </w:rPr>
        <w:t>202</w:t>
      </w:r>
      <w:r>
        <w:rPr>
          <w:rFonts w:hint="default" w:ascii="Times New Roman" w:hAnsi="Times New Roman" w:cs="Times New Roman"/>
          <w:highlight w:val="none"/>
          <w:lang w:val="en-US" w:eastAsia="zh-CN"/>
        </w:rPr>
        <w:t>3</w:t>
      </w:r>
      <w:r>
        <w:rPr>
          <w:rFonts w:hint="default" w:ascii="Times New Roman" w:hAnsi="Times New Roman" w:cs="Times New Roman"/>
          <w:highlight w:val="none"/>
          <w:lang w:eastAsia="zh-CN"/>
        </w:rPr>
        <w:t>年</w:t>
      </w:r>
      <w:r>
        <w:rPr>
          <w:rFonts w:hint="default" w:ascii="Times New Roman" w:hAnsi="Times New Roman" w:cs="Times New Roman"/>
          <w:highlight w:val="none"/>
        </w:rPr>
        <w:t>度财政拨款收、支总计</w:t>
      </w:r>
      <w:r>
        <w:rPr>
          <w:rFonts w:hint="default" w:ascii="Times New Roman" w:hAnsi="Times New Roman" w:cs="Times New Roman"/>
          <w:highlight w:val="none"/>
          <w:lang w:val="en-US" w:eastAsia="zh-CN"/>
        </w:rPr>
        <w:t>均为</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250.4</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rPr>
        <w:t>万元。与</w:t>
      </w:r>
      <w:r>
        <w:rPr>
          <w:rFonts w:hint="default" w:ascii="Times New Roman" w:hAnsi="Times New Roman" w:cs="Times New Roman"/>
          <w:highlight w:val="none"/>
          <w:lang w:eastAsia="zh-CN"/>
        </w:rPr>
        <w:t>202</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eastAsia="zh-CN"/>
        </w:rPr>
        <w:t>年度</w:t>
      </w:r>
      <w:r>
        <w:rPr>
          <w:rFonts w:hint="default" w:ascii="Times New Roman" w:hAnsi="Times New Roman" w:cs="Times New Roman"/>
          <w:highlight w:val="none"/>
        </w:rPr>
        <w:t>相比，财政拨款收、支总计各减少</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5.27</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rPr>
        <w:t>万元，</w:t>
      </w:r>
      <w:r>
        <w:rPr>
          <w:rFonts w:hint="default" w:ascii="Times New Roman" w:hAnsi="Times New Roman" w:cs="Times New Roman"/>
          <w:highlight w:val="none"/>
          <w:lang w:eastAsia="zh-CN"/>
        </w:rPr>
        <w:t>下降</w:t>
      </w:r>
      <w:r>
        <w:rPr>
          <w:rFonts w:hint="default" w:ascii="Times New Roman" w:hAnsi="Times New Roman" w:cs="Times New Roman"/>
          <w:highlight w:val="none"/>
        </w:rPr>
        <w:t xml:space="preserve"> </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2.06</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rPr>
        <w:t>%。主要原因是严格控制，节约开支。</w:t>
      </w:r>
    </w:p>
    <w:p w14:paraId="5CE7B329">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sz w:val="30"/>
          <w:szCs w:val="30"/>
          <w:highlight w:val="none"/>
          <w:lang w:eastAsia="zh-CN"/>
        </w:rPr>
      </w:pPr>
      <w:r>
        <w:rPr>
          <w:rFonts w:hint="default" w:ascii="Times New Roman" w:hAnsi="Times New Roman" w:cs="Times New Roman"/>
          <w:highlight w:val="none"/>
          <w:lang w:val="en-US" w:eastAsia="zh-CN"/>
        </w:rPr>
        <w:t>2023年度财政拨款收入中，一般公共预算财政拨款收入</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250.4</w:t>
      </w:r>
      <w:r>
        <w:rPr>
          <w:rFonts w:hint="default" w:ascii="Times New Roman" w:hAnsi="Times New Roman" w:cs="Times New Roman"/>
          <w:highlight w:val="none"/>
        </w:rPr>
        <w:t>万元</w:t>
      </w:r>
      <w:r>
        <w:rPr>
          <w:rFonts w:hint="default" w:ascii="Times New Roman" w:hAnsi="Times New Roman" w:cs="Times New Roman"/>
          <w:highlight w:val="none"/>
          <w:lang w:eastAsia="zh-CN"/>
        </w:rPr>
        <w:t>，比</w:t>
      </w:r>
      <w:r>
        <w:rPr>
          <w:rFonts w:hint="default" w:ascii="Times New Roman" w:hAnsi="Times New Roman" w:cs="Times New Roman"/>
          <w:highlight w:val="none"/>
          <w:lang w:val="en-US" w:eastAsia="zh-CN"/>
        </w:rPr>
        <w:t>2022年度决算数</w:t>
      </w:r>
      <w:r>
        <w:rPr>
          <w:rFonts w:hint="default" w:ascii="Times New Roman" w:hAnsi="Times New Roman" w:cs="Times New Roman"/>
          <w:highlight w:val="none"/>
        </w:rPr>
        <w:t>减少</w:t>
      </w:r>
      <w:r>
        <w:rPr>
          <w:rFonts w:hint="default" w:ascii="Times New Roman" w:hAnsi="Times New Roman" w:cs="Times New Roman"/>
          <w:highlight w:val="none"/>
          <w:u w:val="single"/>
          <w:lang w:val="en-US" w:eastAsia="zh-CN"/>
        </w:rPr>
        <w:t xml:space="preserve">  </w:t>
      </w:r>
      <w:r>
        <w:rPr>
          <w:rFonts w:hint="eastAsia" w:cs="Times New Roman"/>
          <w:highlight w:val="none"/>
          <w:u w:val="single"/>
          <w:lang w:val="en-US" w:eastAsia="zh-CN"/>
        </w:rPr>
        <w:t>5.27</w:t>
      </w:r>
      <w:r>
        <w:rPr>
          <w:rFonts w:hint="default" w:ascii="Times New Roman" w:hAnsi="Times New Roman" w:cs="Times New Roman"/>
          <w:highlight w:val="none"/>
          <w:u w:val="single"/>
          <w:lang w:val="en-US" w:eastAsia="zh-CN"/>
        </w:rPr>
        <w:t xml:space="preserve">   </w:t>
      </w:r>
      <w:r>
        <w:rPr>
          <w:rFonts w:hint="default" w:ascii="Times New Roman" w:hAnsi="Times New Roman" w:cs="Times New Roman"/>
          <w:highlight w:val="none"/>
          <w:u w:val="none"/>
          <w:lang w:val="en-US" w:eastAsia="zh-CN"/>
        </w:rPr>
        <w:t>万元</w:t>
      </w:r>
      <w:r>
        <w:rPr>
          <w:rFonts w:hint="default" w:ascii="Times New Roman" w:hAnsi="Times New Roman" w:cs="Times New Roman"/>
          <w:bCs/>
          <w:szCs w:val="32"/>
          <w:highlight w:val="none"/>
          <w:lang w:val="en-US" w:eastAsia="zh-CN"/>
        </w:rPr>
        <w:t>。</w:t>
      </w:r>
      <w:r>
        <w:rPr>
          <w:rFonts w:hint="default" w:ascii="Times New Roman" w:hAnsi="Times New Roman" w:cs="Times New Roman"/>
          <w:highlight w:val="none"/>
          <w:lang w:eastAsia="zh-CN"/>
        </w:rPr>
        <w:t>减少</w:t>
      </w:r>
      <w:r>
        <w:rPr>
          <w:rFonts w:hint="default" w:ascii="Times New Roman" w:hAnsi="Times New Roman" w:cs="Times New Roman"/>
          <w:highlight w:val="none"/>
        </w:rPr>
        <w:t>主要原因是严格控制，节约开支。</w:t>
      </w:r>
      <w:r>
        <w:rPr>
          <w:rFonts w:hint="default" w:ascii="Times New Roman" w:hAnsi="Times New Roman" w:cs="Times New Roman"/>
          <w:highlight w:val="none"/>
          <w:lang w:eastAsia="zh-CN"/>
        </w:rPr>
        <w:t>政府性基金预算财政拨款收入0万元，比202</w:t>
      </w:r>
      <w:r>
        <w:rPr>
          <w:rFonts w:hint="eastAsia" w:cs="Times New Roman"/>
          <w:highlight w:val="none"/>
          <w:lang w:val="en-US" w:eastAsia="zh-CN"/>
        </w:rPr>
        <w:t>2</w:t>
      </w:r>
      <w:r>
        <w:rPr>
          <w:rFonts w:hint="default" w:ascii="Times New Roman" w:hAnsi="Times New Roman" w:cs="Times New Roman"/>
          <w:highlight w:val="none"/>
          <w:lang w:eastAsia="zh-CN"/>
        </w:rPr>
        <w:t>年度决算数无变化。国有资本经营预算财政拨款收入0万元，比202</w:t>
      </w:r>
      <w:r>
        <w:rPr>
          <w:rFonts w:hint="eastAsia" w:cs="Times New Roman"/>
          <w:highlight w:val="none"/>
          <w:lang w:val="en-US" w:eastAsia="zh-CN"/>
        </w:rPr>
        <w:t>2</w:t>
      </w:r>
      <w:r>
        <w:rPr>
          <w:rFonts w:hint="default" w:ascii="Times New Roman" w:hAnsi="Times New Roman" w:cs="Times New Roman"/>
          <w:highlight w:val="none"/>
          <w:lang w:eastAsia="zh-CN"/>
        </w:rPr>
        <w:t>年度决算数无变化。</w:t>
      </w:r>
    </w:p>
    <w:p w14:paraId="6F9A0D56">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图4：财政拨款收、支决算总计变动情况</w:t>
      </w:r>
    </w:p>
    <w:p w14:paraId="050EF988">
      <w:pPr>
        <w:bidi w:val="0"/>
        <w:jc w:val="center"/>
        <w:rPr>
          <w:rFonts w:hint="default" w:ascii="Times New Roman" w:hAnsi="Times New Roman" w:cs="Times New Roman"/>
          <w:highlight w:val="none"/>
          <w:lang w:val="en-US" w:eastAsia="zh-CN"/>
        </w:rPr>
      </w:pPr>
      <w:r>
        <w:rPr>
          <w:highlight w:val="none"/>
        </w:rPr>
        <w:drawing>
          <wp:inline distT="0" distB="0" distL="114300" distR="114300">
            <wp:extent cx="4572000" cy="2828925"/>
            <wp:effectExtent l="4445" t="4445" r="14605" b="5080"/>
            <wp:docPr id="111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3DFBE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五、一般公共预算财政拨款支出决算情况说明</w:t>
      </w:r>
    </w:p>
    <w:p w14:paraId="45E1C88F">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Cs/>
          <w:spacing w:val="0"/>
          <w:kern w:val="44"/>
          <w:sz w:val="32"/>
          <w:szCs w:val="32"/>
          <w:highlight w:val="none"/>
        </w:rPr>
      </w:pPr>
      <w:r>
        <w:rPr>
          <w:rFonts w:hint="default" w:ascii="Times New Roman" w:hAnsi="Times New Roman" w:eastAsia="楷体_GB2312" w:cs="Times New Roman"/>
          <w:b/>
          <w:bCs w:val="0"/>
          <w:spacing w:val="0"/>
          <w:kern w:val="44"/>
          <w:sz w:val="32"/>
          <w:szCs w:val="32"/>
          <w:highlight w:val="none"/>
        </w:rPr>
        <w:t>（一）</w:t>
      </w:r>
      <w:r>
        <w:rPr>
          <w:rFonts w:hint="default" w:ascii="Times New Roman" w:hAnsi="Times New Roman" w:eastAsia="楷体_GB2312" w:cs="Times New Roman"/>
          <w:b/>
          <w:bCs w:val="0"/>
          <w:spacing w:val="0"/>
          <w:kern w:val="44"/>
          <w:sz w:val="32"/>
          <w:szCs w:val="32"/>
          <w:highlight w:val="none"/>
          <w:lang w:eastAsia="zh-CN"/>
        </w:rPr>
        <w:t>一般公共预算</w:t>
      </w:r>
      <w:r>
        <w:rPr>
          <w:rFonts w:hint="default" w:ascii="Times New Roman" w:hAnsi="Times New Roman" w:eastAsia="楷体_GB2312" w:cs="Times New Roman"/>
          <w:b/>
          <w:bCs w:val="0"/>
          <w:spacing w:val="0"/>
          <w:kern w:val="44"/>
          <w:sz w:val="32"/>
          <w:szCs w:val="32"/>
          <w:highlight w:val="none"/>
        </w:rPr>
        <w:t>财政拨款支出决算总体情况</w:t>
      </w:r>
    </w:p>
    <w:p w14:paraId="62B26E2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spacing w:val="0"/>
          <w:kern w:val="44"/>
          <w:sz w:val="32"/>
          <w:szCs w:val="32"/>
          <w:highlight w:val="none"/>
        </w:rPr>
      </w:pPr>
      <w:r>
        <w:rPr>
          <w:rFonts w:hint="default" w:cs="Times New Roman" w:asciiTheme="minorAscii" w:hAnsiTheme="minorAscii"/>
          <w:bCs/>
          <w:spacing w:val="0"/>
          <w:kern w:val="44"/>
          <w:sz w:val="32"/>
          <w:szCs w:val="32"/>
          <w:highlight w:val="none"/>
          <w:lang w:eastAsia="zh-CN"/>
        </w:rPr>
        <w:t>202</w:t>
      </w:r>
      <w:r>
        <w:rPr>
          <w:rFonts w:hint="default" w:cs="Times New Roman" w:asciiTheme="minorAscii" w:hAnsiTheme="minorAscii"/>
          <w:bCs/>
          <w:spacing w:val="0"/>
          <w:kern w:val="44"/>
          <w:sz w:val="32"/>
          <w:szCs w:val="32"/>
          <w:highlight w:val="none"/>
          <w:lang w:val="en-US" w:eastAsia="zh-CN"/>
        </w:rPr>
        <w:t>3</w:t>
      </w:r>
      <w:r>
        <w:rPr>
          <w:rFonts w:hint="default" w:eastAsia="仿宋_GB2312" w:cs="Times New Roman" w:asciiTheme="minorAscii" w:hAnsiTheme="minorAscii"/>
          <w:bCs/>
          <w:spacing w:val="0"/>
          <w:kern w:val="44"/>
          <w:sz w:val="32"/>
          <w:szCs w:val="32"/>
          <w:highlight w:val="none"/>
          <w:lang w:eastAsia="zh-CN"/>
        </w:rPr>
        <w:t>年</w:t>
      </w:r>
      <w:r>
        <w:rPr>
          <w:rFonts w:hint="default" w:eastAsia="仿宋_GB2312" w:cs="Times New Roman" w:asciiTheme="minorAscii" w:hAnsiTheme="minorAscii"/>
          <w:bCs/>
          <w:spacing w:val="0"/>
          <w:kern w:val="44"/>
          <w:sz w:val="32"/>
          <w:szCs w:val="32"/>
          <w:highlight w:val="none"/>
        </w:rPr>
        <w:t>度</w:t>
      </w:r>
      <w:r>
        <w:rPr>
          <w:rFonts w:hint="default" w:eastAsia="仿宋_GB2312" w:cs="Times New Roman" w:asciiTheme="minorAscii" w:hAnsiTheme="minorAscii"/>
          <w:bCs/>
          <w:spacing w:val="0"/>
          <w:kern w:val="44"/>
          <w:sz w:val="32"/>
          <w:szCs w:val="32"/>
          <w:highlight w:val="none"/>
          <w:lang w:eastAsia="zh-CN"/>
        </w:rPr>
        <w:t>一般公共预算</w:t>
      </w:r>
      <w:r>
        <w:rPr>
          <w:rFonts w:hint="default" w:eastAsia="仿宋_GB2312" w:cs="Times New Roman" w:asciiTheme="minorAscii" w:hAnsiTheme="minorAscii"/>
          <w:bCs/>
          <w:spacing w:val="0"/>
          <w:kern w:val="44"/>
          <w:sz w:val="32"/>
          <w:szCs w:val="32"/>
          <w:highlight w:val="none"/>
        </w:rPr>
        <w:t>财政拨款支出</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250.4</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万元，占本年</w:t>
      </w:r>
      <w:r>
        <w:rPr>
          <w:rFonts w:hint="default" w:eastAsia="仿宋_GB2312" w:cs="Times New Roman" w:asciiTheme="minorAscii" w:hAnsiTheme="minorAscii"/>
          <w:b w:val="0"/>
          <w:bCs/>
          <w:color w:val="auto"/>
          <w:spacing w:val="0"/>
          <w:kern w:val="44"/>
          <w:sz w:val="32"/>
          <w:szCs w:val="32"/>
          <w:highlight w:val="none"/>
        </w:rPr>
        <w:t>支出合计的</w:t>
      </w:r>
      <w:r>
        <w:rPr>
          <w:rFonts w:hint="default" w:eastAsia="仿宋_GB2312" w:cs="Times New Roman" w:asciiTheme="minorAscii" w:hAnsiTheme="minorAscii"/>
          <w:b w:val="0"/>
          <w:bCs/>
          <w:color w:val="auto"/>
          <w:spacing w:val="0"/>
          <w:kern w:val="44"/>
          <w:sz w:val="32"/>
          <w:szCs w:val="32"/>
          <w:highlight w:val="none"/>
          <w:u w:val="single"/>
        </w:rPr>
        <w:t xml:space="preserve">  </w:t>
      </w:r>
      <w:r>
        <w:rPr>
          <w:rFonts w:hint="default" w:cs="Times New Roman" w:asciiTheme="minorAscii" w:hAnsiTheme="minorAscii"/>
          <w:b w:val="0"/>
          <w:bCs/>
          <w:color w:val="auto"/>
          <w:spacing w:val="0"/>
          <w:kern w:val="44"/>
          <w:sz w:val="32"/>
          <w:szCs w:val="32"/>
          <w:highlight w:val="none"/>
          <w:u w:val="single"/>
          <w:lang w:val="en-US" w:eastAsia="zh-CN"/>
        </w:rPr>
        <w:t>90.</w:t>
      </w:r>
      <w:r>
        <w:rPr>
          <w:rFonts w:hint="default" w:cs="Times New Roman" w:asciiTheme="minorAscii" w:hAnsiTheme="minorAscii"/>
          <w:bCs/>
          <w:spacing w:val="0"/>
          <w:kern w:val="44"/>
          <w:sz w:val="32"/>
          <w:szCs w:val="32"/>
          <w:highlight w:val="none"/>
          <w:u w:val="single"/>
          <w:lang w:val="en-US" w:eastAsia="zh-CN"/>
        </w:rPr>
        <w:t>34</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 xml:space="preserve"> %。与</w:t>
      </w:r>
      <w:r>
        <w:rPr>
          <w:rFonts w:hint="default" w:cs="Times New Roman" w:asciiTheme="minorAscii" w:hAnsiTheme="minorAscii"/>
          <w:bCs/>
          <w:spacing w:val="0"/>
          <w:kern w:val="44"/>
          <w:sz w:val="32"/>
          <w:szCs w:val="32"/>
          <w:highlight w:val="none"/>
          <w:lang w:eastAsia="zh-CN"/>
        </w:rPr>
        <w:t>202</w:t>
      </w:r>
      <w:r>
        <w:rPr>
          <w:rFonts w:hint="default" w:cs="Times New Roman" w:asciiTheme="minorAscii" w:hAnsiTheme="minorAscii"/>
          <w:bCs/>
          <w:spacing w:val="0"/>
          <w:kern w:val="44"/>
          <w:sz w:val="32"/>
          <w:szCs w:val="32"/>
          <w:highlight w:val="none"/>
          <w:lang w:val="en-US" w:eastAsia="zh-CN"/>
        </w:rPr>
        <w:t>2</w:t>
      </w:r>
      <w:r>
        <w:rPr>
          <w:rFonts w:hint="default" w:cs="Times New Roman" w:asciiTheme="minorAscii" w:hAnsiTheme="minorAscii"/>
          <w:bCs/>
          <w:spacing w:val="0"/>
          <w:kern w:val="44"/>
          <w:sz w:val="32"/>
          <w:szCs w:val="32"/>
          <w:highlight w:val="none"/>
          <w:lang w:eastAsia="zh-CN"/>
        </w:rPr>
        <w:t>年</w:t>
      </w:r>
      <w:r>
        <w:rPr>
          <w:rFonts w:hint="default" w:eastAsia="仿宋_GB2312" w:cs="Times New Roman" w:asciiTheme="minorAscii" w:hAnsiTheme="minorAscii"/>
          <w:bCs/>
          <w:spacing w:val="0"/>
          <w:kern w:val="44"/>
          <w:sz w:val="32"/>
          <w:szCs w:val="32"/>
          <w:highlight w:val="none"/>
          <w:lang w:eastAsia="zh-CN"/>
        </w:rPr>
        <w:t>度</w:t>
      </w:r>
      <w:r>
        <w:rPr>
          <w:rFonts w:hint="default" w:eastAsia="仿宋_GB2312" w:cs="Times New Roman" w:asciiTheme="minorAscii" w:hAnsiTheme="minorAscii"/>
          <w:bCs/>
          <w:spacing w:val="0"/>
          <w:kern w:val="44"/>
          <w:sz w:val="32"/>
          <w:szCs w:val="32"/>
          <w:highlight w:val="none"/>
        </w:rPr>
        <w:t>相比，</w:t>
      </w:r>
      <w:r>
        <w:rPr>
          <w:rFonts w:hint="default" w:eastAsia="仿宋_GB2312" w:cs="Times New Roman" w:asciiTheme="minorAscii" w:hAnsiTheme="minorAscii"/>
          <w:bCs/>
          <w:spacing w:val="0"/>
          <w:kern w:val="44"/>
          <w:sz w:val="32"/>
          <w:szCs w:val="32"/>
          <w:highlight w:val="none"/>
          <w:lang w:eastAsia="zh-CN"/>
        </w:rPr>
        <w:t>一般公共预算</w:t>
      </w:r>
      <w:r>
        <w:rPr>
          <w:rFonts w:hint="default" w:eastAsia="仿宋_GB2312" w:cs="Times New Roman" w:asciiTheme="minorAscii" w:hAnsiTheme="minorAscii"/>
          <w:bCs/>
          <w:spacing w:val="0"/>
          <w:kern w:val="44"/>
          <w:sz w:val="32"/>
          <w:szCs w:val="32"/>
          <w:highlight w:val="none"/>
        </w:rPr>
        <w:t>财政拨款支出</w:t>
      </w:r>
      <w:r>
        <w:rPr>
          <w:rFonts w:hint="default" w:cs="Times New Roman" w:asciiTheme="minorAscii" w:hAnsiTheme="minorAscii"/>
          <w:highlight w:val="none"/>
        </w:rPr>
        <w:t>减少</w:t>
      </w:r>
      <w:r>
        <w:rPr>
          <w:rFonts w:hint="default" w:cs="Times New Roman" w:asciiTheme="minorAscii" w:hAnsiTheme="minorAscii"/>
          <w:highlight w:val="none"/>
          <w:u w:val="single"/>
          <w:lang w:val="en-US" w:eastAsia="zh-CN"/>
        </w:rPr>
        <w:t xml:space="preserve">  5.27  </w:t>
      </w:r>
      <w:r>
        <w:rPr>
          <w:rFonts w:hint="default" w:cs="Times New Roman" w:asciiTheme="minorAscii" w:hAnsiTheme="minorAscii"/>
          <w:highlight w:val="none"/>
        </w:rPr>
        <w:t>万元，</w:t>
      </w:r>
      <w:r>
        <w:rPr>
          <w:rFonts w:hint="default" w:cs="Times New Roman" w:asciiTheme="minorAscii" w:hAnsiTheme="minorAscii"/>
          <w:highlight w:val="none"/>
          <w:lang w:eastAsia="zh-CN"/>
        </w:rPr>
        <w:t>下降</w:t>
      </w:r>
      <w:r>
        <w:rPr>
          <w:rFonts w:hint="default" w:cs="Times New Roman" w:asciiTheme="minorAscii" w:hAnsiTheme="minorAscii"/>
          <w:highlight w:val="none"/>
        </w:rPr>
        <w:t xml:space="preserve"> </w:t>
      </w:r>
      <w:r>
        <w:rPr>
          <w:rFonts w:hint="default" w:cs="Times New Roman" w:asciiTheme="minorAscii" w:hAnsiTheme="minorAscii"/>
          <w:highlight w:val="none"/>
          <w:u w:val="single"/>
          <w:lang w:val="en-US" w:eastAsia="zh-CN"/>
        </w:rPr>
        <w:t xml:space="preserve">  2.06 </w:t>
      </w:r>
      <w:r>
        <w:rPr>
          <w:rFonts w:hint="default" w:eastAsia="仿宋_GB2312" w:cs="Times New Roman" w:asciiTheme="minorAscii" w:hAnsiTheme="minorAscii"/>
          <w:bCs/>
          <w:spacing w:val="0"/>
          <w:kern w:val="44"/>
          <w:sz w:val="32"/>
          <w:szCs w:val="32"/>
          <w:highlight w:val="none"/>
        </w:rPr>
        <w:t>%。主要原因是严格控制，节约开支。</w:t>
      </w:r>
    </w:p>
    <w:p w14:paraId="585CAE1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3" w:firstLineChars="200"/>
        <w:textAlignment w:val="auto"/>
        <w:rPr>
          <w:rFonts w:hint="default" w:eastAsia="楷体_GB2312" w:cs="Times New Roman" w:asciiTheme="minorAscii" w:hAnsiTheme="minorAscii"/>
          <w:bCs/>
          <w:spacing w:val="0"/>
          <w:kern w:val="44"/>
          <w:sz w:val="32"/>
          <w:szCs w:val="32"/>
          <w:highlight w:val="none"/>
        </w:rPr>
      </w:pPr>
      <w:r>
        <w:rPr>
          <w:rFonts w:hint="default" w:eastAsia="楷体_GB2312" w:cs="Times New Roman" w:asciiTheme="minorAscii" w:hAnsiTheme="minorAscii"/>
          <w:b/>
          <w:bCs w:val="0"/>
          <w:spacing w:val="0"/>
          <w:kern w:val="44"/>
          <w:sz w:val="32"/>
          <w:szCs w:val="32"/>
          <w:highlight w:val="none"/>
          <w:lang w:eastAsia="zh-CN"/>
        </w:rPr>
        <w:t>（二）一般公共预算</w:t>
      </w:r>
      <w:r>
        <w:rPr>
          <w:rFonts w:hint="default" w:eastAsia="楷体_GB2312" w:cs="Times New Roman" w:asciiTheme="minorAscii" w:hAnsiTheme="minorAscii"/>
          <w:b/>
          <w:bCs w:val="0"/>
          <w:spacing w:val="0"/>
          <w:kern w:val="44"/>
          <w:sz w:val="32"/>
          <w:szCs w:val="32"/>
          <w:highlight w:val="none"/>
        </w:rPr>
        <w:t>财政拨款支出决算结构情况</w:t>
      </w:r>
    </w:p>
    <w:p w14:paraId="7698917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spacing w:val="0"/>
          <w:kern w:val="44"/>
          <w:sz w:val="32"/>
          <w:szCs w:val="32"/>
          <w:highlight w:val="none"/>
        </w:rPr>
      </w:pPr>
      <w:r>
        <w:rPr>
          <w:rFonts w:hint="default" w:cs="Times New Roman" w:asciiTheme="minorAscii" w:hAnsiTheme="minorAscii"/>
          <w:bCs/>
          <w:spacing w:val="0"/>
          <w:kern w:val="44"/>
          <w:sz w:val="32"/>
          <w:szCs w:val="32"/>
          <w:highlight w:val="none"/>
          <w:lang w:eastAsia="zh-CN"/>
        </w:rPr>
        <w:t>202</w:t>
      </w:r>
      <w:r>
        <w:rPr>
          <w:rFonts w:hint="default" w:cs="Times New Roman" w:asciiTheme="minorAscii" w:hAnsiTheme="minorAscii"/>
          <w:bCs/>
          <w:spacing w:val="0"/>
          <w:kern w:val="44"/>
          <w:sz w:val="32"/>
          <w:szCs w:val="32"/>
          <w:highlight w:val="none"/>
          <w:lang w:val="en-US" w:eastAsia="zh-CN"/>
        </w:rPr>
        <w:t>3</w:t>
      </w:r>
      <w:r>
        <w:rPr>
          <w:rFonts w:hint="default" w:cs="Times New Roman" w:asciiTheme="minorAscii" w:hAnsiTheme="minorAscii"/>
          <w:bCs/>
          <w:spacing w:val="0"/>
          <w:kern w:val="44"/>
          <w:sz w:val="32"/>
          <w:szCs w:val="32"/>
          <w:highlight w:val="none"/>
          <w:lang w:eastAsia="zh-CN"/>
        </w:rPr>
        <w:t>年</w:t>
      </w:r>
      <w:r>
        <w:rPr>
          <w:rFonts w:hint="default" w:eastAsia="仿宋_GB2312" w:cs="Times New Roman" w:asciiTheme="minorAscii" w:hAnsiTheme="minorAscii"/>
          <w:bCs/>
          <w:spacing w:val="0"/>
          <w:kern w:val="44"/>
          <w:sz w:val="32"/>
          <w:szCs w:val="32"/>
          <w:highlight w:val="none"/>
        </w:rPr>
        <w:t>度</w:t>
      </w:r>
      <w:r>
        <w:rPr>
          <w:rFonts w:hint="default" w:eastAsia="仿宋_GB2312" w:cs="Times New Roman" w:asciiTheme="minorAscii" w:hAnsiTheme="minorAscii"/>
          <w:bCs/>
          <w:spacing w:val="0"/>
          <w:kern w:val="44"/>
          <w:sz w:val="32"/>
          <w:szCs w:val="32"/>
          <w:highlight w:val="none"/>
          <w:lang w:eastAsia="zh-CN"/>
        </w:rPr>
        <w:t>一般公共预算</w:t>
      </w:r>
      <w:r>
        <w:rPr>
          <w:rFonts w:hint="default" w:eastAsia="仿宋_GB2312" w:cs="Times New Roman" w:asciiTheme="minorAscii" w:hAnsiTheme="minorAscii"/>
          <w:bCs/>
          <w:spacing w:val="0"/>
          <w:kern w:val="44"/>
          <w:sz w:val="32"/>
          <w:szCs w:val="32"/>
          <w:highlight w:val="none"/>
        </w:rPr>
        <w:t>财政拨款支出</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250.4</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万元，主要用于以下方面：</w:t>
      </w:r>
    </w:p>
    <w:p w14:paraId="4CD1D20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default" w:eastAsia="仿宋_GB2312" w:cs="Times New Roman" w:asciiTheme="minorAscii" w:hAnsiTheme="minorAscii"/>
          <w:bCs/>
          <w:spacing w:val="0"/>
          <w:kern w:val="44"/>
          <w:sz w:val="32"/>
          <w:szCs w:val="32"/>
          <w:highlight w:val="none"/>
        </w:rPr>
      </w:pPr>
      <w:r>
        <w:rPr>
          <w:rFonts w:hint="default" w:cs="Times New Roman" w:asciiTheme="minorAscii" w:hAnsiTheme="minorAscii"/>
          <w:bCs/>
          <w:spacing w:val="0"/>
          <w:kern w:val="44"/>
          <w:sz w:val="32"/>
          <w:szCs w:val="32"/>
          <w:highlight w:val="none"/>
          <w:lang w:val="en-US" w:eastAsia="zh-CN"/>
        </w:rPr>
        <w:t>1.</w:t>
      </w:r>
      <w:r>
        <w:rPr>
          <w:rFonts w:hint="default" w:eastAsia="仿宋_GB2312" w:cs="Times New Roman" w:asciiTheme="minorAscii" w:hAnsiTheme="minorAscii"/>
          <w:bCs/>
          <w:spacing w:val="0"/>
          <w:kern w:val="44"/>
          <w:sz w:val="32"/>
          <w:szCs w:val="32"/>
          <w:highlight w:val="none"/>
        </w:rPr>
        <w:t>一般公共服务支出（类）</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215.38</w:t>
      </w:r>
      <w:r>
        <w:rPr>
          <w:rFonts w:hint="default" w:eastAsia="仿宋_GB2312" w:cs="Times New Roman" w:asciiTheme="minorAscii" w:hAnsiTheme="minorAscii"/>
          <w:bCs/>
          <w:spacing w:val="0"/>
          <w:kern w:val="44"/>
          <w:sz w:val="32"/>
          <w:szCs w:val="32"/>
          <w:highlight w:val="none"/>
          <w:u w:val="single"/>
          <w:lang w:val="en-US" w:eastAsia="zh-CN"/>
        </w:rPr>
        <w:t xml:space="preserve">  </w:t>
      </w:r>
      <w:r>
        <w:rPr>
          <w:rFonts w:hint="default" w:eastAsia="仿宋_GB2312" w:cs="Times New Roman" w:asciiTheme="minorAscii" w:hAnsiTheme="minorAscii"/>
          <w:bCs/>
          <w:spacing w:val="0"/>
          <w:kern w:val="44"/>
          <w:sz w:val="32"/>
          <w:szCs w:val="32"/>
          <w:highlight w:val="none"/>
        </w:rPr>
        <w:t>万元，占</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86.01</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w:t>
      </w:r>
      <w:r>
        <w:rPr>
          <w:rFonts w:hint="default" w:cs="Times New Roman" w:asciiTheme="minorAscii" w:hAnsiTheme="minorAscii"/>
          <w:bCs/>
          <w:spacing w:val="0"/>
          <w:kern w:val="44"/>
          <w:sz w:val="32"/>
          <w:szCs w:val="32"/>
          <w:highlight w:val="none"/>
          <w:lang w:eastAsia="zh-CN"/>
        </w:rPr>
        <w:t>。主要是用于</w:t>
      </w:r>
      <w:r>
        <w:rPr>
          <w:rFonts w:hint="default" w:eastAsia="仿宋_GB2312" w:cs="Times New Roman" w:asciiTheme="minorAscii" w:hAnsiTheme="minorAscii"/>
          <w:bCs/>
          <w:spacing w:val="0"/>
          <w:kern w:val="44"/>
          <w:sz w:val="32"/>
          <w:szCs w:val="32"/>
          <w:highlight w:val="none"/>
        </w:rPr>
        <w:t>人员、日常支出及项目支出。</w:t>
      </w:r>
    </w:p>
    <w:p w14:paraId="501BEA7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left"/>
        <w:textAlignment w:val="auto"/>
        <w:rPr>
          <w:rFonts w:hint="default" w:eastAsia="仿宋_GB2312" w:cs="Times New Roman" w:asciiTheme="minorAscii" w:hAnsiTheme="minorAscii"/>
          <w:bCs/>
          <w:spacing w:val="0"/>
          <w:kern w:val="44"/>
          <w:sz w:val="32"/>
          <w:szCs w:val="32"/>
          <w:highlight w:val="none"/>
          <w:lang w:val="en-US" w:eastAsia="zh-CN"/>
        </w:rPr>
      </w:pPr>
      <w:r>
        <w:rPr>
          <w:rFonts w:hint="default" w:cs="Times New Roman" w:asciiTheme="minorAscii" w:hAnsiTheme="minorAscii"/>
          <w:bCs/>
          <w:spacing w:val="0"/>
          <w:kern w:val="44"/>
          <w:sz w:val="32"/>
          <w:szCs w:val="32"/>
          <w:highlight w:val="none"/>
          <w:lang w:val="en-US" w:eastAsia="zh-CN"/>
        </w:rPr>
        <w:t>2.社会保障和就业支出（类）</w:t>
      </w:r>
      <w:r>
        <w:rPr>
          <w:rFonts w:hint="default" w:cs="Times New Roman" w:asciiTheme="minorAscii" w:hAnsiTheme="minorAscii"/>
          <w:bCs/>
          <w:spacing w:val="0"/>
          <w:kern w:val="44"/>
          <w:sz w:val="32"/>
          <w:szCs w:val="32"/>
          <w:highlight w:val="none"/>
          <w:u w:val="single"/>
          <w:lang w:val="en-US" w:eastAsia="zh-CN"/>
        </w:rPr>
        <w:t>17.81</w:t>
      </w:r>
      <w:r>
        <w:rPr>
          <w:rFonts w:hint="default" w:cs="Times New Roman" w:asciiTheme="minorAscii" w:hAnsiTheme="minorAscii"/>
          <w:bCs/>
          <w:spacing w:val="0"/>
          <w:kern w:val="44"/>
          <w:sz w:val="32"/>
          <w:szCs w:val="32"/>
          <w:highlight w:val="none"/>
          <w:lang w:val="en-US" w:eastAsia="zh-CN"/>
        </w:rPr>
        <w:t>万元，占</w:t>
      </w:r>
      <w:r>
        <w:rPr>
          <w:rFonts w:hint="default" w:cs="Times New Roman" w:asciiTheme="minorAscii" w:hAnsiTheme="minorAscii"/>
          <w:bCs/>
          <w:spacing w:val="0"/>
          <w:kern w:val="44"/>
          <w:sz w:val="32"/>
          <w:szCs w:val="32"/>
          <w:highlight w:val="none"/>
          <w:u w:val="single"/>
          <w:lang w:val="en-US" w:eastAsia="zh-CN"/>
        </w:rPr>
        <w:t>7.11</w:t>
      </w:r>
      <w:r>
        <w:rPr>
          <w:rFonts w:hint="default" w:cs="Times New Roman" w:asciiTheme="minorAscii" w:hAnsiTheme="minorAscii"/>
          <w:bCs/>
          <w:spacing w:val="0"/>
          <w:kern w:val="44"/>
          <w:sz w:val="32"/>
          <w:szCs w:val="32"/>
          <w:highlight w:val="none"/>
          <w:lang w:val="en-US" w:eastAsia="zh-CN"/>
        </w:rPr>
        <w:t>％。主要是用于养老保险及职业年金。</w:t>
      </w:r>
    </w:p>
    <w:p w14:paraId="1A8F21A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spacing w:val="0"/>
          <w:kern w:val="44"/>
          <w:sz w:val="32"/>
          <w:szCs w:val="32"/>
          <w:highlight w:val="none"/>
          <w:lang w:val="en-US" w:eastAsia="zh-CN"/>
        </w:rPr>
        <w:t>3.卫生健康支出（类</w:t>
      </w:r>
      <w:r>
        <w:rPr>
          <w:rFonts w:hint="default" w:cs="Times New Roman" w:asciiTheme="minorAscii" w:hAnsiTheme="minorAscii"/>
          <w:bCs/>
          <w:spacing w:val="0"/>
          <w:kern w:val="44"/>
          <w:sz w:val="32"/>
          <w:szCs w:val="32"/>
          <w:highlight w:val="none"/>
          <w:u w:val="single"/>
          <w:lang w:val="en-US" w:eastAsia="zh-CN"/>
        </w:rPr>
        <w:t>）6.25</w:t>
      </w:r>
      <w:r>
        <w:rPr>
          <w:rFonts w:hint="default" w:cs="Times New Roman" w:asciiTheme="minorAscii" w:hAnsiTheme="minorAscii"/>
          <w:bCs/>
          <w:spacing w:val="0"/>
          <w:kern w:val="44"/>
          <w:sz w:val="32"/>
          <w:szCs w:val="32"/>
          <w:highlight w:val="none"/>
          <w:lang w:val="en-US" w:eastAsia="zh-CN"/>
        </w:rPr>
        <w:t>万元，占</w:t>
      </w:r>
      <w:r>
        <w:rPr>
          <w:rFonts w:hint="default" w:cs="Times New Roman" w:asciiTheme="minorAscii" w:hAnsiTheme="minorAscii"/>
          <w:bCs/>
          <w:spacing w:val="0"/>
          <w:kern w:val="44"/>
          <w:sz w:val="32"/>
          <w:szCs w:val="32"/>
          <w:highlight w:val="none"/>
          <w:u w:val="single"/>
          <w:lang w:val="en-US" w:eastAsia="zh-CN"/>
        </w:rPr>
        <w:t>2.5</w:t>
      </w:r>
      <w:r>
        <w:rPr>
          <w:rFonts w:hint="default" w:cs="Times New Roman" w:asciiTheme="minorAscii" w:hAnsiTheme="minorAscii"/>
          <w:bCs/>
          <w:spacing w:val="0"/>
          <w:kern w:val="44"/>
          <w:sz w:val="32"/>
          <w:szCs w:val="32"/>
          <w:highlight w:val="none"/>
          <w:lang w:val="en-US" w:eastAsia="zh-CN"/>
        </w:rPr>
        <w:t>％。主要是用于医疗保险。</w:t>
      </w:r>
    </w:p>
    <w:p w14:paraId="26B90BA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spacing w:val="0"/>
          <w:kern w:val="44"/>
          <w:sz w:val="32"/>
          <w:szCs w:val="32"/>
          <w:highlight w:val="none"/>
          <w:lang w:val="en-US" w:eastAsia="zh-CN"/>
        </w:rPr>
        <w:t>4．住房保障支出（类）</w:t>
      </w:r>
      <w:r>
        <w:rPr>
          <w:rFonts w:hint="default" w:cs="Times New Roman" w:asciiTheme="minorAscii" w:hAnsiTheme="minorAscii"/>
          <w:bCs/>
          <w:spacing w:val="0"/>
          <w:kern w:val="44"/>
          <w:sz w:val="32"/>
          <w:szCs w:val="32"/>
          <w:highlight w:val="none"/>
          <w:u w:val="single"/>
          <w:lang w:val="en-US" w:eastAsia="zh-CN"/>
        </w:rPr>
        <w:t>10.96</w:t>
      </w:r>
      <w:r>
        <w:rPr>
          <w:rFonts w:hint="default" w:cs="Times New Roman" w:asciiTheme="minorAscii" w:hAnsiTheme="minorAscii"/>
          <w:bCs/>
          <w:spacing w:val="0"/>
          <w:kern w:val="44"/>
          <w:sz w:val="32"/>
          <w:szCs w:val="32"/>
          <w:highlight w:val="none"/>
          <w:lang w:val="en-US" w:eastAsia="zh-CN"/>
        </w:rPr>
        <w:t>万元，占</w:t>
      </w:r>
      <w:r>
        <w:rPr>
          <w:rFonts w:hint="default" w:cs="Times New Roman" w:asciiTheme="minorAscii" w:hAnsiTheme="minorAscii"/>
          <w:bCs/>
          <w:spacing w:val="0"/>
          <w:kern w:val="44"/>
          <w:sz w:val="32"/>
          <w:szCs w:val="32"/>
          <w:highlight w:val="none"/>
          <w:u w:val="single"/>
          <w:lang w:val="en-US" w:eastAsia="zh-CN"/>
        </w:rPr>
        <w:t>4.38</w:t>
      </w:r>
      <w:r>
        <w:rPr>
          <w:rFonts w:hint="default" w:cs="Times New Roman" w:asciiTheme="minorAscii" w:hAnsiTheme="minorAscii"/>
          <w:bCs/>
          <w:spacing w:val="0"/>
          <w:kern w:val="44"/>
          <w:sz w:val="32"/>
          <w:szCs w:val="32"/>
          <w:highlight w:val="none"/>
          <w:lang w:val="en-US" w:eastAsia="zh-CN"/>
        </w:rPr>
        <w:t>％。主要是用于住房公积金。</w:t>
      </w:r>
    </w:p>
    <w:p w14:paraId="3AF271C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3" w:firstLineChars="200"/>
        <w:textAlignment w:val="auto"/>
        <w:rPr>
          <w:rFonts w:hint="default" w:eastAsia="楷体_GB2312" w:cs="Times New Roman" w:asciiTheme="minorAscii" w:hAnsiTheme="minorAscii"/>
          <w:bCs/>
          <w:spacing w:val="0"/>
          <w:kern w:val="44"/>
          <w:sz w:val="32"/>
          <w:szCs w:val="32"/>
          <w:highlight w:val="none"/>
        </w:rPr>
      </w:pPr>
      <w:r>
        <w:rPr>
          <w:rFonts w:hint="default" w:eastAsia="楷体_GB2312" w:cs="Times New Roman" w:asciiTheme="minorAscii" w:hAnsiTheme="minorAscii"/>
          <w:b/>
          <w:bCs w:val="0"/>
          <w:spacing w:val="0"/>
          <w:kern w:val="44"/>
          <w:sz w:val="32"/>
          <w:szCs w:val="32"/>
          <w:highlight w:val="none"/>
        </w:rPr>
        <w:t>（三）</w:t>
      </w:r>
      <w:r>
        <w:rPr>
          <w:rFonts w:hint="default" w:eastAsia="楷体_GB2312" w:cs="Times New Roman" w:asciiTheme="minorAscii" w:hAnsiTheme="minorAscii"/>
          <w:b/>
          <w:bCs w:val="0"/>
          <w:spacing w:val="0"/>
          <w:kern w:val="44"/>
          <w:sz w:val="32"/>
          <w:szCs w:val="32"/>
          <w:highlight w:val="none"/>
          <w:lang w:eastAsia="zh-CN"/>
        </w:rPr>
        <w:t>一般公共预算</w:t>
      </w:r>
      <w:r>
        <w:rPr>
          <w:rFonts w:hint="default" w:eastAsia="楷体_GB2312" w:cs="Times New Roman" w:asciiTheme="minorAscii" w:hAnsiTheme="minorAscii"/>
          <w:b/>
          <w:bCs w:val="0"/>
          <w:spacing w:val="0"/>
          <w:kern w:val="44"/>
          <w:sz w:val="32"/>
          <w:szCs w:val="32"/>
          <w:highlight w:val="none"/>
        </w:rPr>
        <w:t>财政拨款支出决算具体情况</w:t>
      </w:r>
    </w:p>
    <w:p w14:paraId="1E7B84A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spacing w:val="0"/>
          <w:kern w:val="44"/>
          <w:sz w:val="32"/>
          <w:szCs w:val="32"/>
          <w:highlight w:val="none"/>
        </w:rPr>
      </w:pPr>
      <w:r>
        <w:rPr>
          <w:rFonts w:hint="default" w:eastAsia="仿宋_GB2312" w:cs="Times New Roman" w:asciiTheme="minorAscii" w:hAnsiTheme="minorAscii"/>
          <w:bCs/>
          <w:spacing w:val="0"/>
          <w:kern w:val="44"/>
          <w:sz w:val="32"/>
          <w:szCs w:val="32"/>
          <w:highlight w:val="none"/>
          <w:lang w:eastAsia="zh-CN"/>
        </w:rPr>
        <w:t>202</w:t>
      </w:r>
      <w:r>
        <w:rPr>
          <w:rFonts w:hint="default" w:cs="Times New Roman" w:asciiTheme="minorAscii" w:hAnsiTheme="minorAscii"/>
          <w:bCs/>
          <w:spacing w:val="0"/>
          <w:kern w:val="44"/>
          <w:sz w:val="32"/>
          <w:szCs w:val="32"/>
          <w:highlight w:val="none"/>
          <w:lang w:val="en-US" w:eastAsia="zh-CN"/>
        </w:rPr>
        <w:t>3</w:t>
      </w:r>
      <w:r>
        <w:rPr>
          <w:rFonts w:hint="default" w:eastAsia="仿宋_GB2312" w:cs="Times New Roman" w:asciiTheme="minorAscii" w:hAnsiTheme="minorAscii"/>
          <w:bCs/>
          <w:spacing w:val="0"/>
          <w:kern w:val="44"/>
          <w:sz w:val="32"/>
          <w:szCs w:val="32"/>
          <w:highlight w:val="none"/>
          <w:lang w:eastAsia="zh-CN"/>
        </w:rPr>
        <w:t>年度</w:t>
      </w:r>
      <w:r>
        <w:rPr>
          <w:rFonts w:hint="default" w:eastAsia="仿宋_GB2312" w:cs="Times New Roman" w:asciiTheme="minorAscii" w:hAnsiTheme="minorAscii"/>
          <w:bCs/>
          <w:spacing w:val="0"/>
          <w:kern w:val="44"/>
          <w:sz w:val="32"/>
          <w:szCs w:val="32"/>
          <w:highlight w:val="none"/>
        </w:rPr>
        <w:t>一般公共预算财政拨款支出年</w:t>
      </w:r>
      <w:r>
        <w:rPr>
          <w:rFonts w:hint="default" w:eastAsia="仿宋_GB2312" w:cs="Times New Roman" w:asciiTheme="minorAscii" w:hAnsiTheme="minorAscii"/>
          <w:bCs/>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预算为</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250.4</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万元</w:t>
      </w:r>
      <w:r>
        <w:rPr>
          <w:rFonts w:hint="default" w:eastAsia="仿宋_GB2312" w:cs="Times New Roman" w:asciiTheme="minorAscii" w:hAnsiTheme="minorAscii"/>
          <w:spacing w:val="0"/>
          <w:sz w:val="32"/>
          <w:szCs w:val="32"/>
          <w:highlight w:val="none"/>
        </w:rPr>
        <w:t>，</w:t>
      </w:r>
      <w:r>
        <w:rPr>
          <w:rFonts w:hint="default" w:eastAsia="仿宋_GB2312" w:cs="Times New Roman" w:asciiTheme="minorAscii" w:hAnsiTheme="minorAscii"/>
          <w:bCs/>
          <w:spacing w:val="0"/>
          <w:kern w:val="44"/>
          <w:sz w:val="32"/>
          <w:szCs w:val="32"/>
          <w:highlight w:val="none"/>
        </w:rPr>
        <w:t>支出决算为</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250.4</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万元，完成年</w:t>
      </w:r>
      <w:r>
        <w:rPr>
          <w:rFonts w:hint="default" w:eastAsia="仿宋_GB2312" w:cs="Times New Roman" w:asciiTheme="minorAscii" w:hAnsiTheme="minorAscii"/>
          <w:bCs/>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预算的</w:t>
      </w:r>
      <w:r>
        <w:rPr>
          <w:rFonts w:hint="default" w:eastAsia="仿宋_GB2312" w:cs="Times New Roman" w:asciiTheme="minorAscii" w:hAnsiTheme="minorAscii"/>
          <w:bCs/>
          <w:spacing w:val="0"/>
          <w:kern w:val="44"/>
          <w:sz w:val="32"/>
          <w:szCs w:val="32"/>
          <w:highlight w:val="none"/>
          <w:u w:val="single"/>
        </w:rPr>
        <w:t xml:space="preserve">  </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spacing w:val="0"/>
          <w:kern w:val="44"/>
          <w:sz w:val="32"/>
          <w:szCs w:val="32"/>
          <w:highlight w:val="none"/>
          <w:u w:val="single"/>
        </w:rPr>
        <w:t xml:space="preserve">  </w:t>
      </w:r>
      <w:r>
        <w:rPr>
          <w:rFonts w:hint="default" w:eastAsia="仿宋_GB2312" w:cs="Times New Roman" w:asciiTheme="minorAscii" w:hAnsiTheme="minorAscii"/>
          <w:bCs/>
          <w:spacing w:val="0"/>
          <w:kern w:val="44"/>
          <w:sz w:val="32"/>
          <w:szCs w:val="32"/>
          <w:highlight w:val="none"/>
        </w:rPr>
        <w:t>%。其中：</w:t>
      </w:r>
    </w:p>
    <w:p w14:paraId="20A2B3D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spacing w:val="0"/>
          <w:kern w:val="44"/>
          <w:sz w:val="32"/>
          <w:szCs w:val="32"/>
          <w:highlight w:val="none"/>
          <w:lang w:val="en-US"/>
        </w:rPr>
      </w:pPr>
      <w:r>
        <w:rPr>
          <w:rFonts w:hint="default" w:eastAsia="仿宋_GB2312" w:cs="Times New Roman" w:asciiTheme="minorAscii" w:hAnsiTheme="minorAscii"/>
          <w:bCs/>
          <w:spacing w:val="0"/>
          <w:kern w:val="44"/>
          <w:sz w:val="32"/>
          <w:szCs w:val="32"/>
          <w:highlight w:val="none"/>
        </w:rPr>
        <w:t>1.一般公共服务支出（类）群众团体事务（款）行政运行（项）。年初预算为</w:t>
      </w:r>
      <w:r>
        <w:rPr>
          <w:rFonts w:hint="default" w:cs="Times New Roman" w:asciiTheme="minorAscii" w:hAnsiTheme="minorAscii"/>
          <w:bCs/>
          <w:spacing w:val="0"/>
          <w:kern w:val="44"/>
          <w:sz w:val="32"/>
          <w:szCs w:val="32"/>
          <w:highlight w:val="none"/>
          <w:u w:val="single"/>
          <w:lang w:val="en-US" w:eastAsia="zh-CN"/>
        </w:rPr>
        <w:t>116.88</w:t>
      </w:r>
      <w:r>
        <w:rPr>
          <w:rFonts w:hint="default" w:eastAsia="仿宋_GB2312" w:cs="Times New Roman" w:asciiTheme="minorAscii" w:hAnsiTheme="minorAscii"/>
          <w:bCs/>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116.88</w:t>
      </w:r>
      <w:r>
        <w:rPr>
          <w:rFonts w:hint="default" w:eastAsia="仿宋_GB2312" w:cs="Times New Roman" w:asciiTheme="minorAscii" w:hAnsiTheme="minorAscii"/>
          <w:bCs/>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spacing w:val="0"/>
          <w:kern w:val="44"/>
          <w:sz w:val="32"/>
          <w:szCs w:val="32"/>
          <w:highlight w:val="none"/>
        </w:rPr>
        <w:t>％</w:t>
      </w:r>
      <w:r>
        <w:rPr>
          <w:rFonts w:hint="default" w:cs="Times New Roman" w:asciiTheme="minorAscii" w:hAnsiTheme="minorAscii"/>
          <w:bCs/>
          <w:spacing w:val="0"/>
          <w:kern w:val="44"/>
          <w:sz w:val="32"/>
          <w:szCs w:val="32"/>
          <w:highlight w:val="none"/>
          <w:lang w:eastAsia="zh-CN"/>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5A5B2F5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eastAsia="仿宋_GB2312" w:cs="Times New Roman" w:asciiTheme="minorAscii" w:hAnsiTheme="minorAscii"/>
          <w:bCs/>
          <w:color w:val="auto"/>
          <w:spacing w:val="0"/>
          <w:kern w:val="44"/>
          <w:sz w:val="32"/>
          <w:szCs w:val="32"/>
          <w:highlight w:val="none"/>
        </w:rPr>
        <w:t>2．一般公共服务支出（类）群众团体事务（款）一般行政管理事务（项）。年初预算为</w:t>
      </w:r>
      <w:r>
        <w:rPr>
          <w:rFonts w:hint="default" w:cs="Times New Roman" w:asciiTheme="minorAscii" w:hAnsiTheme="minorAscii"/>
          <w:bCs/>
          <w:spacing w:val="0"/>
          <w:kern w:val="44"/>
          <w:sz w:val="32"/>
          <w:szCs w:val="32"/>
          <w:highlight w:val="none"/>
          <w:u w:val="single"/>
          <w:lang w:val="en-US" w:eastAsia="zh-CN"/>
        </w:rPr>
        <w:t>90.5</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90.5</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6003A18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spacing w:val="0"/>
          <w:kern w:val="44"/>
          <w:sz w:val="32"/>
          <w:szCs w:val="32"/>
          <w:highlight w:val="none"/>
          <w:lang w:val="en-US" w:eastAsia="zh-CN"/>
        </w:rPr>
        <w:t>3．一般公共服务支出（类）其他一般公共服务支出（款）其他一般公共服务支出（项）。年初预算为</w:t>
      </w:r>
      <w:r>
        <w:rPr>
          <w:rFonts w:hint="default" w:cs="Times New Roman" w:asciiTheme="minorAscii" w:hAnsiTheme="minorAscii"/>
          <w:bCs/>
          <w:spacing w:val="0"/>
          <w:kern w:val="44"/>
          <w:sz w:val="32"/>
          <w:szCs w:val="32"/>
          <w:highlight w:val="none"/>
          <w:u w:val="single"/>
          <w:lang w:val="en-US" w:eastAsia="zh-CN"/>
        </w:rPr>
        <w:t>8</w:t>
      </w:r>
      <w:r>
        <w:rPr>
          <w:rFonts w:hint="default" w:cs="Times New Roman" w:asciiTheme="minorAscii" w:hAnsiTheme="minorAscii"/>
          <w:bCs/>
          <w:spacing w:val="0"/>
          <w:kern w:val="44"/>
          <w:sz w:val="32"/>
          <w:szCs w:val="32"/>
          <w:highlight w:val="none"/>
          <w:lang w:val="en-US" w:eastAsia="zh-CN"/>
        </w:rPr>
        <w:t>万元，支出决算为</w:t>
      </w:r>
      <w:r>
        <w:rPr>
          <w:rFonts w:hint="default" w:cs="Times New Roman" w:asciiTheme="minorAscii" w:hAnsiTheme="minorAscii"/>
          <w:bCs/>
          <w:spacing w:val="0"/>
          <w:kern w:val="44"/>
          <w:sz w:val="32"/>
          <w:szCs w:val="32"/>
          <w:highlight w:val="none"/>
          <w:u w:val="single"/>
          <w:lang w:val="en-US" w:eastAsia="zh-CN"/>
        </w:rPr>
        <w:t>8</w:t>
      </w:r>
      <w:r>
        <w:rPr>
          <w:rFonts w:hint="default" w:cs="Times New Roman" w:asciiTheme="minorAscii" w:hAnsiTheme="minorAscii"/>
          <w:bCs/>
          <w:spacing w:val="0"/>
          <w:kern w:val="44"/>
          <w:sz w:val="32"/>
          <w:szCs w:val="32"/>
          <w:highlight w:val="none"/>
          <w:lang w:val="en-US" w:eastAsia="zh-CN"/>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cs="Times New Roman" w:asciiTheme="minorAscii" w:hAnsiTheme="minorAscii"/>
          <w:bCs/>
          <w:spacing w:val="0"/>
          <w:kern w:val="44"/>
          <w:sz w:val="32"/>
          <w:szCs w:val="32"/>
          <w:highlight w:val="none"/>
          <w:lang w:val="en-US" w:eastAsia="zh-CN"/>
        </w:rPr>
        <w:t>％。支出决算数和年初预算数一致。</w:t>
      </w:r>
    </w:p>
    <w:p w14:paraId="38F775F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color w:val="auto"/>
          <w:spacing w:val="0"/>
          <w:kern w:val="44"/>
          <w:sz w:val="32"/>
          <w:szCs w:val="32"/>
          <w:highlight w:val="none"/>
        </w:rPr>
      </w:pPr>
      <w:r>
        <w:rPr>
          <w:rFonts w:hint="default" w:cs="Times New Roman" w:asciiTheme="minorAscii" w:hAnsiTheme="minorAscii"/>
          <w:bCs/>
          <w:color w:val="auto"/>
          <w:spacing w:val="0"/>
          <w:kern w:val="44"/>
          <w:sz w:val="32"/>
          <w:szCs w:val="32"/>
          <w:highlight w:val="none"/>
          <w:lang w:val="en-US" w:eastAsia="zh-CN"/>
        </w:rPr>
        <w:t>4</w:t>
      </w:r>
      <w:r>
        <w:rPr>
          <w:rFonts w:hint="default" w:eastAsia="仿宋_GB2312" w:cs="Times New Roman" w:asciiTheme="minorAscii" w:hAnsiTheme="minorAscii"/>
          <w:bCs/>
          <w:color w:val="auto"/>
          <w:spacing w:val="0"/>
          <w:kern w:val="44"/>
          <w:sz w:val="32"/>
          <w:szCs w:val="32"/>
          <w:highlight w:val="none"/>
        </w:rPr>
        <w:t>．社会保障和就业支出（类）行政事业单位养老支出（款）机关事业单位基本养老保险缴费支出（项）。年初预算为</w:t>
      </w:r>
      <w:r>
        <w:rPr>
          <w:rFonts w:hint="default" w:cs="Times New Roman" w:asciiTheme="minorAscii" w:hAnsiTheme="minorAscii"/>
          <w:bCs/>
          <w:spacing w:val="0"/>
          <w:kern w:val="44"/>
          <w:sz w:val="32"/>
          <w:szCs w:val="32"/>
          <w:highlight w:val="none"/>
          <w:u w:val="single"/>
          <w:lang w:val="en-US" w:eastAsia="zh-CN"/>
        </w:rPr>
        <w:t>14.05</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14.05</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0D37BB2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eastAsia="仿宋_GB2312" w:cs="Times New Roman" w:asciiTheme="minorAscii" w:hAnsiTheme="minorAscii"/>
          <w:bCs/>
          <w:color w:val="auto"/>
          <w:spacing w:val="0"/>
          <w:kern w:val="44"/>
          <w:sz w:val="32"/>
          <w:szCs w:val="32"/>
          <w:highlight w:val="none"/>
        </w:rPr>
      </w:pPr>
      <w:r>
        <w:rPr>
          <w:rFonts w:hint="default" w:cs="Times New Roman" w:asciiTheme="minorAscii" w:hAnsiTheme="minorAscii"/>
          <w:bCs/>
          <w:color w:val="auto"/>
          <w:spacing w:val="0"/>
          <w:kern w:val="44"/>
          <w:sz w:val="32"/>
          <w:szCs w:val="32"/>
          <w:highlight w:val="none"/>
          <w:lang w:val="en-US" w:eastAsia="zh-CN"/>
        </w:rPr>
        <w:t>5</w:t>
      </w:r>
      <w:r>
        <w:rPr>
          <w:rFonts w:hint="default" w:eastAsia="仿宋_GB2312" w:cs="Times New Roman" w:asciiTheme="minorAscii" w:hAnsiTheme="minorAscii"/>
          <w:bCs/>
          <w:color w:val="auto"/>
          <w:spacing w:val="0"/>
          <w:kern w:val="44"/>
          <w:sz w:val="32"/>
          <w:szCs w:val="32"/>
          <w:highlight w:val="none"/>
        </w:rPr>
        <w:t>．社会保障和就业支出（类）行政事业单位养老支出（款）机关事业单位职业年金缴费支出（项）。年初预算为</w:t>
      </w:r>
      <w:r>
        <w:rPr>
          <w:rFonts w:hint="default" w:cs="Times New Roman" w:asciiTheme="minorAscii" w:hAnsiTheme="minorAscii"/>
          <w:bCs/>
          <w:spacing w:val="0"/>
          <w:kern w:val="44"/>
          <w:sz w:val="32"/>
          <w:szCs w:val="32"/>
          <w:highlight w:val="none"/>
          <w:u w:val="single"/>
          <w:lang w:val="en-US" w:eastAsia="zh-CN"/>
        </w:rPr>
        <w:t>3.76</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3.76</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520B28C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color w:val="auto"/>
          <w:spacing w:val="0"/>
          <w:kern w:val="44"/>
          <w:sz w:val="32"/>
          <w:szCs w:val="32"/>
          <w:highlight w:val="none"/>
          <w:lang w:val="en-US" w:eastAsia="zh-CN"/>
        </w:rPr>
        <w:t>6</w:t>
      </w:r>
      <w:r>
        <w:rPr>
          <w:rFonts w:hint="default" w:eastAsia="仿宋_GB2312" w:cs="Times New Roman" w:asciiTheme="minorAscii" w:hAnsiTheme="minorAscii"/>
          <w:bCs/>
          <w:color w:val="auto"/>
          <w:spacing w:val="0"/>
          <w:kern w:val="44"/>
          <w:sz w:val="32"/>
          <w:szCs w:val="32"/>
          <w:highlight w:val="none"/>
        </w:rPr>
        <w:t>．卫生健康支出（类）行政事业单位医疗（款）行政单位医疗（项）。年初预算为</w:t>
      </w:r>
      <w:r>
        <w:rPr>
          <w:rFonts w:hint="default" w:cs="Times New Roman" w:asciiTheme="minorAscii" w:hAnsiTheme="minorAscii"/>
          <w:bCs/>
          <w:spacing w:val="0"/>
          <w:kern w:val="44"/>
          <w:sz w:val="32"/>
          <w:szCs w:val="32"/>
          <w:highlight w:val="none"/>
          <w:u w:val="single"/>
          <w:lang w:val="en-US" w:eastAsia="zh-CN"/>
        </w:rPr>
        <w:t>4</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4</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1B1628C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color w:val="auto"/>
          <w:spacing w:val="0"/>
          <w:kern w:val="44"/>
          <w:sz w:val="32"/>
          <w:szCs w:val="32"/>
          <w:highlight w:val="none"/>
          <w:lang w:val="en-US" w:eastAsia="zh-CN"/>
        </w:rPr>
        <w:t>7</w:t>
      </w:r>
      <w:r>
        <w:rPr>
          <w:rFonts w:hint="default" w:eastAsia="仿宋_GB2312" w:cs="Times New Roman" w:asciiTheme="minorAscii" w:hAnsiTheme="minorAscii"/>
          <w:bCs/>
          <w:color w:val="auto"/>
          <w:spacing w:val="0"/>
          <w:kern w:val="44"/>
          <w:sz w:val="32"/>
          <w:szCs w:val="32"/>
          <w:highlight w:val="none"/>
        </w:rPr>
        <w:t>．卫生健康支出（类）行政事业单位医疗（款）公务员医疗补助（项）。年初预算为</w:t>
      </w:r>
      <w:r>
        <w:rPr>
          <w:rFonts w:hint="default" w:cs="Times New Roman" w:asciiTheme="minorAscii" w:hAnsiTheme="minorAscii"/>
          <w:bCs/>
          <w:spacing w:val="0"/>
          <w:kern w:val="44"/>
          <w:sz w:val="32"/>
          <w:szCs w:val="32"/>
          <w:highlight w:val="none"/>
          <w:u w:val="single"/>
          <w:lang w:val="en-US" w:eastAsia="zh-CN"/>
        </w:rPr>
        <w:t>2.25</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2.25</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2CB227E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color w:val="auto"/>
          <w:spacing w:val="0"/>
          <w:kern w:val="44"/>
          <w:sz w:val="32"/>
          <w:szCs w:val="32"/>
          <w:highlight w:val="none"/>
          <w:lang w:val="en-US" w:eastAsia="zh-CN"/>
        </w:rPr>
        <w:t>8</w:t>
      </w:r>
      <w:r>
        <w:rPr>
          <w:rFonts w:hint="default" w:eastAsia="仿宋_GB2312" w:cs="Times New Roman" w:asciiTheme="minorAscii" w:hAnsiTheme="minorAscii"/>
          <w:bCs/>
          <w:color w:val="auto"/>
          <w:spacing w:val="0"/>
          <w:kern w:val="44"/>
          <w:sz w:val="32"/>
          <w:szCs w:val="32"/>
          <w:highlight w:val="none"/>
        </w:rPr>
        <w:t>．住房保障支出（类）住房改革支出（款）住房公积金（项）。年初预算为</w:t>
      </w:r>
      <w:r>
        <w:rPr>
          <w:rFonts w:hint="default" w:cs="Times New Roman" w:asciiTheme="minorAscii" w:hAnsiTheme="minorAscii"/>
          <w:bCs/>
          <w:spacing w:val="0"/>
          <w:kern w:val="44"/>
          <w:sz w:val="32"/>
          <w:szCs w:val="32"/>
          <w:highlight w:val="none"/>
          <w:u w:val="single"/>
          <w:lang w:val="en-US" w:eastAsia="zh-CN"/>
        </w:rPr>
        <w:t>9.86</w:t>
      </w:r>
      <w:r>
        <w:rPr>
          <w:rFonts w:hint="default" w:eastAsia="仿宋_GB2312" w:cs="Times New Roman" w:asciiTheme="minorAscii" w:hAnsiTheme="minorAscii"/>
          <w:bCs/>
          <w:color w:val="auto"/>
          <w:spacing w:val="0"/>
          <w:kern w:val="44"/>
          <w:sz w:val="32"/>
          <w:szCs w:val="32"/>
          <w:highlight w:val="none"/>
        </w:rPr>
        <w:t>万元，支出决算为</w:t>
      </w:r>
      <w:r>
        <w:rPr>
          <w:rFonts w:hint="default" w:cs="Times New Roman" w:asciiTheme="minorAscii" w:hAnsiTheme="minorAscii"/>
          <w:bCs/>
          <w:spacing w:val="0"/>
          <w:kern w:val="44"/>
          <w:sz w:val="32"/>
          <w:szCs w:val="32"/>
          <w:highlight w:val="none"/>
          <w:u w:val="single"/>
          <w:lang w:val="en-US" w:eastAsia="zh-CN"/>
        </w:rPr>
        <w:t>9.86</w:t>
      </w:r>
      <w:r>
        <w:rPr>
          <w:rFonts w:hint="default" w:eastAsia="仿宋_GB2312" w:cs="Times New Roman" w:asciiTheme="minorAscii" w:hAnsiTheme="minorAscii"/>
          <w:bCs/>
          <w:color w:val="auto"/>
          <w:spacing w:val="0"/>
          <w:kern w:val="44"/>
          <w:sz w:val="32"/>
          <w:szCs w:val="32"/>
          <w:highlight w:val="none"/>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eastAsia="仿宋_GB2312" w:cs="Times New Roman" w:asciiTheme="minorAscii" w:hAnsiTheme="minorAscii"/>
          <w:bCs/>
          <w:color w:val="auto"/>
          <w:spacing w:val="0"/>
          <w:kern w:val="44"/>
          <w:sz w:val="32"/>
          <w:szCs w:val="32"/>
          <w:highlight w:val="none"/>
        </w:rPr>
        <w:t>％</w:t>
      </w:r>
      <w:r>
        <w:rPr>
          <w:rFonts w:hint="default" w:cs="Times New Roman" w:asciiTheme="minorAscii" w:hAnsiTheme="minorAscii"/>
          <w:bCs/>
          <w:color w:val="auto"/>
          <w:spacing w:val="0"/>
          <w:kern w:val="44"/>
          <w:sz w:val="32"/>
          <w:szCs w:val="32"/>
          <w:highlight w:val="none"/>
          <w:lang w:eastAsia="zh-CN"/>
        </w:rPr>
        <w:t>。</w:t>
      </w:r>
      <w:r>
        <w:rPr>
          <w:rFonts w:hint="default" w:eastAsia="仿宋_GB2312" w:cs="Times New Roman" w:asciiTheme="minorAscii" w:hAnsiTheme="minorAscii"/>
          <w:bCs/>
          <w:spacing w:val="0"/>
          <w:kern w:val="44"/>
          <w:sz w:val="32"/>
          <w:szCs w:val="32"/>
          <w:highlight w:val="none"/>
        </w:rPr>
        <w:t>支出决算数</w:t>
      </w:r>
      <w:r>
        <w:rPr>
          <w:rFonts w:hint="default" w:cs="Times New Roman" w:asciiTheme="minorAscii" w:hAnsiTheme="minorAscii"/>
          <w:bCs/>
          <w:spacing w:val="0"/>
          <w:kern w:val="44"/>
          <w:sz w:val="32"/>
          <w:szCs w:val="32"/>
          <w:highlight w:val="none"/>
          <w:lang w:val="en-US" w:eastAsia="zh-CN"/>
        </w:rPr>
        <w:t>和</w:t>
      </w:r>
      <w:r>
        <w:rPr>
          <w:rFonts w:hint="default" w:eastAsia="仿宋_GB2312" w:cs="Times New Roman" w:asciiTheme="minorAscii" w:hAnsiTheme="minorAscii"/>
          <w:bCs/>
          <w:spacing w:val="0"/>
          <w:kern w:val="44"/>
          <w:sz w:val="32"/>
          <w:szCs w:val="32"/>
          <w:highlight w:val="none"/>
        </w:rPr>
        <w:t>年</w:t>
      </w:r>
      <w:r>
        <w:rPr>
          <w:rFonts w:hint="default" w:eastAsia="仿宋_GB2312" w:cs="Times New Roman" w:asciiTheme="minorAscii" w:hAnsiTheme="minorAscii"/>
          <w:bCs/>
          <w:color w:val="auto"/>
          <w:spacing w:val="0"/>
          <w:kern w:val="44"/>
          <w:sz w:val="32"/>
          <w:szCs w:val="32"/>
          <w:highlight w:val="none"/>
          <w:lang w:eastAsia="zh-CN"/>
        </w:rPr>
        <w:t>初</w:t>
      </w:r>
      <w:r>
        <w:rPr>
          <w:rFonts w:hint="default" w:eastAsia="仿宋_GB2312" w:cs="Times New Roman" w:asciiTheme="minorAscii" w:hAnsiTheme="minorAscii"/>
          <w:bCs/>
          <w:spacing w:val="0"/>
          <w:kern w:val="44"/>
          <w:sz w:val="32"/>
          <w:szCs w:val="32"/>
          <w:highlight w:val="none"/>
        </w:rPr>
        <w:t>预算数</w:t>
      </w:r>
      <w:r>
        <w:rPr>
          <w:rFonts w:hint="default" w:cs="Times New Roman" w:asciiTheme="minorAscii" w:hAnsiTheme="minorAscii"/>
          <w:bCs/>
          <w:spacing w:val="0"/>
          <w:kern w:val="44"/>
          <w:sz w:val="32"/>
          <w:szCs w:val="32"/>
          <w:highlight w:val="none"/>
          <w:lang w:val="en-US" w:eastAsia="zh-CN"/>
        </w:rPr>
        <w:t>一致。</w:t>
      </w:r>
    </w:p>
    <w:p w14:paraId="0445D87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cs="Times New Roman" w:asciiTheme="minorAscii" w:hAnsiTheme="minorAscii"/>
          <w:bCs/>
          <w:spacing w:val="0"/>
          <w:kern w:val="44"/>
          <w:sz w:val="32"/>
          <w:szCs w:val="32"/>
          <w:highlight w:val="none"/>
          <w:lang w:val="en-US" w:eastAsia="zh-CN"/>
        </w:rPr>
      </w:pPr>
      <w:r>
        <w:rPr>
          <w:rFonts w:hint="default" w:cs="Times New Roman" w:asciiTheme="minorAscii" w:hAnsiTheme="minorAscii"/>
          <w:bCs/>
          <w:spacing w:val="0"/>
          <w:kern w:val="44"/>
          <w:sz w:val="32"/>
          <w:szCs w:val="32"/>
          <w:highlight w:val="none"/>
          <w:lang w:val="en-US" w:eastAsia="zh-CN"/>
        </w:rPr>
        <w:t>9．住房保障支出（类）住房改革支出（款）提租补贴（项）。年初预算为</w:t>
      </w:r>
      <w:r>
        <w:rPr>
          <w:rFonts w:hint="default" w:cs="Times New Roman" w:asciiTheme="minorAscii" w:hAnsiTheme="minorAscii"/>
          <w:bCs/>
          <w:spacing w:val="0"/>
          <w:kern w:val="44"/>
          <w:sz w:val="32"/>
          <w:szCs w:val="32"/>
          <w:highlight w:val="none"/>
          <w:u w:val="single"/>
          <w:lang w:val="en-US" w:eastAsia="zh-CN"/>
        </w:rPr>
        <w:t>1.1</w:t>
      </w:r>
      <w:r>
        <w:rPr>
          <w:rFonts w:hint="default" w:cs="Times New Roman" w:asciiTheme="minorAscii" w:hAnsiTheme="minorAscii"/>
          <w:bCs/>
          <w:spacing w:val="0"/>
          <w:kern w:val="44"/>
          <w:sz w:val="32"/>
          <w:szCs w:val="32"/>
          <w:highlight w:val="none"/>
          <w:lang w:val="en-US" w:eastAsia="zh-CN"/>
        </w:rPr>
        <w:t>万元，支出决算为</w:t>
      </w:r>
      <w:r>
        <w:rPr>
          <w:rFonts w:hint="default" w:cs="Times New Roman" w:asciiTheme="minorAscii" w:hAnsiTheme="minorAscii"/>
          <w:bCs/>
          <w:spacing w:val="0"/>
          <w:kern w:val="44"/>
          <w:sz w:val="32"/>
          <w:szCs w:val="32"/>
          <w:highlight w:val="none"/>
          <w:u w:val="single"/>
          <w:lang w:val="en-US" w:eastAsia="zh-CN"/>
        </w:rPr>
        <w:t>1.1</w:t>
      </w:r>
      <w:r>
        <w:rPr>
          <w:rFonts w:hint="default" w:cs="Times New Roman" w:asciiTheme="minorAscii" w:hAnsiTheme="minorAscii"/>
          <w:bCs/>
          <w:spacing w:val="0"/>
          <w:kern w:val="44"/>
          <w:sz w:val="32"/>
          <w:szCs w:val="32"/>
          <w:highlight w:val="none"/>
          <w:lang w:val="en-US" w:eastAsia="zh-CN"/>
        </w:rPr>
        <w:t>万元，完成年初预算的</w:t>
      </w:r>
      <w:r>
        <w:rPr>
          <w:rFonts w:hint="default" w:cs="Times New Roman" w:asciiTheme="minorAscii" w:hAnsiTheme="minorAscii"/>
          <w:bCs/>
          <w:spacing w:val="0"/>
          <w:kern w:val="44"/>
          <w:sz w:val="32"/>
          <w:szCs w:val="32"/>
          <w:highlight w:val="none"/>
          <w:u w:val="single"/>
          <w:lang w:val="en-US" w:eastAsia="zh-CN"/>
        </w:rPr>
        <w:t>100</w:t>
      </w:r>
      <w:r>
        <w:rPr>
          <w:rFonts w:hint="default" w:cs="Times New Roman" w:asciiTheme="minorAscii" w:hAnsiTheme="minorAscii"/>
          <w:bCs/>
          <w:spacing w:val="0"/>
          <w:kern w:val="44"/>
          <w:sz w:val="32"/>
          <w:szCs w:val="32"/>
          <w:highlight w:val="none"/>
          <w:lang w:val="en-US" w:eastAsia="zh-CN"/>
        </w:rPr>
        <w:t>％。支出决算数和年初预算数一致。</w:t>
      </w:r>
    </w:p>
    <w:p w14:paraId="3283F88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六、一般公共预算财政拨款基本支出决算情况说明</w:t>
      </w:r>
    </w:p>
    <w:p w14:paraId="7D74442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highlight w:val="none"/>
          <w:lang w:val="en-US" w:eastAsia="zh-CN"/>
        </w:rPr>
      </w:pPr>
      <w:r>
        <w:rPr>
          <w:rFonts w:hint="default" w:ascii="Times New Roman" w:hAnsi="Times New Roman" w:eastAsia="仿宋_GB2312" w:cs="Times New Roman"/>
          <w:spacing w:val="0"/>
          <w:sz w:val="32"/>
          <w:highlight w:val="none"/>
          <w:lang w:val="en-US" w:eastAsia="zh-CN"/>
        </w:rPr>
        <w:t>202</w:t>
      </w:r>
      <w:r>
        <w:rPr>
          <w:rFonts w:hint="default" w:ascii="Times New Roman" w:hAnsi="Times New Roman" w:cs="Times New Roman"/>
          <w:spacing w:val="0"/>
          <w:sz w:val="32"/>
          <w:highlight w:val="none"/>
          <w:lang w:val="en-US" w:eastAsia="zh-CN"/>
        </w:rPr>
        <w:t>3</w:t>
      </w:r>
      <w:r>
        <w:rPr>
          <w:rFonts w:hint="default" w:ascii="Times New Roman" w:hAnsi="Times New Roman" w:eastAsia="仿宋_GB2312" w:cs="Times New Roman"/>
          <w:spacing w:val="0"/>
          <w:sz w:val="32"/>
          <w:highlight w:val="none"/>
          <w:lang w:val="en-US" w:eastAsia="zh-CN"/>
        </w:rPr>
        <w:t>年度一般公共预算财政拨款基本支出</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151.9</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万元，其中：</w:t>
      </w:r>
    </w:p>
    <w:p w14:paraId="098AE42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highlight w:val="none"/>
          <w:lang w:val="en-US" w:eastAsia="zh-CN"/>
        </w:rPr>
      </w:pPr>
      <w:r>
        <w:rPr>
          <w:rFonts w:hint="default" w:ascii="Times New Roman" w:hAnsi="Times New Roman" w:eastAsia="仿宋_GB2312" w:cs="Times New Roman"/>
          <w:spacing w:val="0"/>
          <w:sz w:val="32"/>
          <w:highlight w:val="none"/>
          <w:lang w:val="en-US" w:eastAsia="zh-CN"/>
        </w:rPr>
        <w:t>人员经费</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139.71</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万元，主要包括：基本工资</w:t>
      </w:r>
      <w:r>
        <w:rPr>
          <w:rFonts w:hint="eastAsia" w:cs="Times New Roman"/>
          <w:spacing w:val="0"/>
          <w:sz w:val="32"/>
          <w:highlight w:val="none"/>
          <w:lang w:val="en-US" w:eastAsia="zh-CN"/>
        </w:rPr>
        <w:t>39.14</w:t>
      </w:r>
      <w:r>
        <w:rPr>
          <w:rFonts w:hint="default" w:ascii="Times New Roman" w:hAnsi="Times New Roman" w:eastAsia="仿宋_GB2312" w:cs="Times New Roman"/>
          <w:spacing w:val="0"/>
          <w:sz w:val="32"/>
          <w:highlight w:val="none"/>
          <w:lang w:val="en-US" w:eastAsia="zh-CN"/>
        </w:rPr>
        <w:t>万元、津贴补贴</w:t>
      </w:r>
      <w:r>
        <w:rPr>
          <w:rFonts w:hint="eastAsia" w:cs="Times New Roman"/>
          <w:spacing w:val="0"/>
          <w:sz w:val="32"/>
          <w:highlight w:val="none"/>
          <w:lang w:val="en-US" w:eastAsia="zh-CN"/>
        </w:rPr>
        <w:t>31.15</w:t>
      </w:r>
      <w:r>
        <w:rPr>
          <w:rFonts w:hint="default" w:ascii="Times New Roman" w:hAnsi="Times New Roman" w:eastAsia="仿宋_GB2312" w:cs="Times New Roman"/>
          <w:spacing w:val="0"/>
          <w:sz w:val="32"/>
          <w:highlight w:val="none"/>
          <w:lang w:val="en-US" w:eastAsia="zh-CN"/>
        </w:rPr>
        <w:t>万元、奖金</w:t>
      </w:r>
      <w:r>
        <w:rPr>
          <w:rFonts w:hint="eastAsia" w:cs="Times New Roman"/>
          <w:spacing w:val="0"/>
          <w:sz w:val="32"/>
          <w:highlight w:val="none"/>
          <w:lang w:val="en-US" w:eastAsia="zh-CN"/>
        </w:rPr>
        <w:t>21.68</w:t>
      </w:r>
      <w:r>
        <w:rPr>
          <w:rFonts w:hint="default" w:ascii="Times New Roman" w:hAnsi="Times New Roman" w:eastAsia="仿宋_GB2312" w:cs="Times New Roman"/>
          <w:spacing w:val="0"/>
          <w:sz w:val="32"/>
          <w:highlight w:val="none"/>
          <w:lang w:val="en-US" w:eastAsia="zh-CN"/>
        </w:rPr>
        <w:t>万元、机关事业单位基本养老保险缴费</w:t>
      </w:r>
      <w:r>
        <w:rPr>
          <w:rFonts w:hint="eastAsia" w:cs="Times New Roman"/>
          <w:spacing w:val="0"/>
          <w:sz w:val="32"/>
          <w:highlight w:val="none"/>
          <w:lang w:val="en-US" w:eastAsia="zh-CN"/>
        </w:rPr>
        <w:t>16.95</w:t>
      </w:r>
      <w:r>
        <w:rPr>
          <w:rFonts w:hint="default" w:ascii="Times New Roman" w:hAnsi="Times New Roman" w:eastAsia="仿宋_GB2312" w:cs="Times New Roman"/>
          <w:spacing w:val="0"/>
          <w:sz w:val="32"/>
          <w:highlight w:val="none"/>
          <w:lang w:val="en-US" w:eastAsia="zh-CN"/>
        </w:rPr>
        <w:t>万元、职业年金缴费</w:t>
      </w:r>
      <w:r>
        <w:rPr>
          <w:rFonts w:hint="eastAsia" w:cs="Times New Roman"/>
          <w:spacing w:val="0"/>
          <w:sz w:val="32"/>
          <w:highlight w:val="none"/>
          <w:lang w:val="en-US" w:eastAsia="zh-CN"/>
        </w:rPr>
        <w:t>10</w:t>
      </w:r>
      <w:r>
        <w:rPr>
          <w:rFonts w:hint="default" w:ascii="Times New Roman" w:hAnsi="Times New Roman" w:eastAsia="仿宋_GB2312" w:cs="Times New Roman"/>
          <w:spacing w:val="0"/>
          <w:sz w:val="32"/>
          <w:highlight w:val="none"/>
          <w:lang w:val="en-US" w:eastAsia="zh-CN"/>
        </w:rPr>
        <w:t>万元、职工基本医疗保险缴费</w:t>
      </w:r>
      <w:r>
        <w:rPr>
          <w:rFonts w:hint="eastAsia" w:cs="Times New Roman"/>
          <w:spacing w:val="0"/>
          <w:sz w:val="32"/>
          <w:highlight w:val="none"/>
          <w:lang w:val="en-US" w:eastAsia="zh-CN"/>
        </w:rPr>
        <w:t>6.66</w:t>
      </w:r>
      <w:r>
        <w:rPr>
          <w:rFonts w:hint="default" w:ascii="Times New Roman" w:hAnsi="Times New Roman" w:eastAsia="仿宋_GB2312" w:cs="Times New Roman"/>
          <w:spacing w:val="0"/>
          <w:sz w:val="32"/>
          <w:highlight w:val="none"/>
          <w:lang w:val="en-US" w:eastAsia="zh-CN"/>
        </w:rPr>
        <w:t>万元、住房公积金</w:t>
      </w:r>
      <w:r>
        <w:rPr>
          <w:rFonts w:hint="eastAsia" w:cs="Times New Roman"/>
          <w:spacing w:val="0"/>
          <w:sz w:val="32"/>
          <w:highlight w:val="none"/>
          <w:lang w:val="en-US" w:eastAsia="zh-CN"/>
        </w:rPr>
        <w:t>14.14</w:t>
      </w:r>
      <w:r>
        <w:rPr>
          <w:rFonts w:hint="default" w:ascii="Times New Roman" w:hAnsi="Times New Roman" w:eastAsia="仿宋_GB2312" w:cs="Times New Roman"/>
          <w:spacing w:val="0"/>
          <w:sz w:val="32"/>
          <w:highlight w:val="none"/>
          <w:lang w:val="en-US" w:eastAsia="zh-CN"/>
        </w:rPr>
        <w:t>万元。</w:t>
      </w:r>
    </w:p>
    <w:p w14:paraId="286EF97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highlight w:val="none"/>
          <w:lang w:val="en-US" w:eastAsia="zh-CN"/>
        </w:rPr>
      </w:pPr>
      <w:r>
        <w:rPr>
          <w:rFonts w:hint="default" w:ascii="Times New Roman" w:hAnsi="Times New Roman" w:eastAsia="仿宋_GB2312" w:cs="Times New Roman"/>
          <w:spacing w:val="0"/>
          <w:sz w:val="32"/>
          <w:highlight w:val="none"/>
          <w:lang w:val="en-US" w:eastAsia="zh-CN"/>
        </w:rPr>
        <w:t>公用经费</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12.18</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万元，主要包括：办公费</w:t>
      </w:r>
      <w:r>
        <w:rPr>
          <w:rFonts w:hint="eastAsia" w:cs="Times New Roman"/>
          <w:spacing w:val="0"/>
          <w:sz w:val="32"/>
          <w:highlight w:val="none"/>
          <w:lang w:val="en-US" w:eastAsia="zh-CN"/>
        </w:rPr>
        <w:t>0.62</w:t>
      </w:r>
      <w:r>
        <w:rPr>
          <w:rFonts w:hint="default" w:ascii="Times New Roman" w:hAnsi="Times New Roman" w:eastAsia="仿宋_GB2312" w:cs="Times New Roman"/>
          <w:spacing w:val="0"/>
          <w:sz w:val="32"/>
          <w:highlight w:val="none"/>
          <w:lang w:val="en-US" w:eastAsia="zh-CN"/>
        </w:rPr>
        <w:t>万元、印刷费</w:t>
      </w:r>
      <w:r>
        <w:rPr>
          <w:rFonts w:hint="eastAsia" w:cs="Times New Roman"/>
          <w:spacing w:val="0"/>
          <w:sz w:val="32"/>
          <w:highlight w:val="none"/>
          <w:lang w:val="en-US" w:eastAsia="zh-CN"/>
        </w:rPr>
        <w:t>0.05</w:t>
      </w:r>
      <w:r>
        <w:rPr>
          <w:rFonts w:hint="default" w:ascii="Times New Roman" w:hAnsi="Times New Roman" w:eastAsia="仿宋_GB2312" w:cs="Times New Roman"/>
          <w:spacing w:val="0"/>
          <w:sz w:val="32"/>
          <w:highlight w:val="none"/>
          <w:lang w:val="en-US" w:eastAsia="zh-CN"/>
        </w:rPr>
        <w:t>万元、电费</w:t>
      </w:r>
      <w:r>
        <w:rPr>
          <w:rFonts w:hint="eastAsia" w:cs="Times New Roman"/>
          <w:spacing w:val="0"/>
          <w:sz w:val="32"/>
          <w:highlight w:val="none"/>
          <w:lang w:val="en-US" w:eastAsia="zh-CN"/>
        </w:rPr>
        <w:t>0.19</w:t>
      </w:r>
      <w:r>
        <w:rPr>
          <w:rFonts w:hint="default" w:ascii="Times New Roman" w:hAnsi="Times New Roman" w:eastAsia="仿宋_GB2312" w:cs="Times New Roman"/>
          <w:spacing w:val="0"/>
          <w:sz w:val="32"/>
          <w:highlight w:val="none"/>
          <w:lang w:val="en-US" w:eastAsia="zh-CN"/>
        </w:rPr>
        <w:t>万元、邮电费</w:t>
      </w:r>
      <w:r>
        <w:rPr>
          <w:rFonts w:hint="eastAsia" w:cs="Times New Roman"/>
          <w:spacing w:val="0"/>
          <w:sz w:val="32"/>
          <w:highlight w:val="none"/>
          <w:lang w:val="en-US" w:eastAsia="zh-CN"/>
        </w:rPr>
        <w:t>0.47</w:t>
      </w:r>
      <w:r>
        <w:rPr>
          <w:rFonts w:hint="default" w:ascii="Times New Roman" w:hAnsi="Times New Roman" w:eastAsia="仿宋_GB2312" w:cs="Times New Roman"/>
          <w:spacing w:val="0"/>
          <w:sz w:val="32"/>
          <w:highlight w:val="none"/>
          <w:lang w:val="en-US" w:eastAsia="zh-CN"/>
        </w:rPr>
        <w:t>万元、差旅费</w:t>
      </w:r>
      <w:r>
        <w:rPr>
          <w:rFonts w:hint="eastAsia" w:cs="Times New Roman"/>
          <w:spacing w:val="0"/>
          <w:sz w:val="32"/>
          <w:highlight w:val="none"/>
          <w:lang w:val="en-US" w:eastAsia="zh-CN"/>
        </w:rPr>
        <w:t>0.79</w:t>
      </w:r>
      <w:r>
        <w:rPr>
          <w:rFonts w:hint="default" w:ascii="Times New Roman" w:hAnsi="Times New Roman" w:eastAsia="仿宋_GB2312" w:cs="Times New Roman"/>
          <w:spacing w:val="0"/>
          <w:sz w:val="32"/>
          <w:highlight w:val="none"/>
          <w:lang w:val="en-US" w:eastAsia="zh-CN"/>
        </w:rPr>
        <w:t>万元、公务接待费</w:t>
      </w:r>
      <w:r>
        <w:rPr>
          <w:rFonts w:hint="eastAsia" w:cs="Times New Roman"/>
          <w:spacing w:val="0"/>
          <w:sz w:val="32"/>
          <w:highlight w:val="none"/>
          <w:lang w:val="en-US" w:eastAsia="zh-CN"/>
        </w:rPr>
        <w:t>0.44</w:t>
      </w:r>
      <w:r>
        <w:rPr>
          <w:rFonts w:hint="default" w:ascii="Times New Roman" w:hAnsi="Times New Roman" w:eastAsia="仿宋_GB2312" w:cs="Times New Roman"/>
          <w:spacing w:val="0"/>
          <w:sz w:val="32"/>
          <w:highlight w:val="none"/>
          <w:lang w:val="en-US" w:eastAsia="zh-CN"/>
        </w:rPr>
        <w:t>万元、劳务费</w:t>
      </w:r>
      <w:r>
        <w:rPr>
          <w:rFonts w:hint="eastAsia" w:cs="Times New Roman"/>
          <w:spacing w:val="0"/>
          <w:sz w:val="32"/>
          <w:highlight w:val="none"/>
          <w:lang w:val="en-US" w:eastAsia="zh-CN"/>
        </w:rPr>
        <w:t>4.59</w:t>
      </w:r>
      <w:r>
        <w:rPr>
          <w:rFonts w:hint="default" w:ascii="Times New Roman" w:hAnsi="Times New Roman" w:eastAsia="仿宋_GB2312" w:cs="Times New Roman"/>
          <w:spacing w:val="0"/>
          <w:sz w:val="32"/>
          <w:highlight w:val="none"/>
          <w:lang w:val="en-US" w:eastAsia="zh-CN"/>
        </w:rPr>
        <w:t>万元、委托业务费</w:t>
      </w:r>
      <w:r>
        <w:rPr>
          <w:rFonts w:hint="eastAsia" w:cs="Times New Roman"/>
          <w:spacing w:val="0"/>
          <w:sz w:val="32"/>
          <w:highlight w:val="none"/>
          <w:lang w:val="en-US" w:eastAsia="zh-CN"/>
        </w:rPr>
        <w:t>2.31</w:t>
      </w:r>
      <w:r>
        <w:rPr>
          <w:rFonts w:hint="default" w:ascii="Times New Roman" w:hAnsi="Times New Roman" w:eastAsia="仿宋_GB2312" w:cs="Times New Roman"/>
          <w:spacing w:val="0"/>
          <w:sz w:val="32"/>
          <w:highlight w:val="none"/>
          <w:lang w:val="en-US" w:eastAsia="zh-CN"/>
        </w:rPr>
        <w:t>万元、工会经费</w:t>
      </w:r>
      <w:r>
        <w:rPr>
          <w:rFonts w:hint="eastAsia" w:cs="Times New Roman"/>
          <w:spacing w:val="0"/>
          <w:sz w:val="32"/>
          <w:highlight w:val="none"/>
          <w:lang w:val="en-US" w:eastAsia="zh-CN"/>
        </w:rPr>
        <w:t>0.66</w:t>
      </w:r>
      <w:r>
        <w:rPr>
          <w:rFonts w:hint="default" w:ascii="Times New Roman" w:hAnsi="Times New Roman" w:eastAsia="仿宋_GB2312" w:cs="Times New Roman"/>
          <w:spacing w:val="0"/>
          <w:sz w:val="32"/>
          <w:highlight w:val="none"/>
          <w:lang w:val="en-US" w:eastAsia="zh-CN"/>
        </w:rPr>
        <w:t>万元、福利费</w:t>
      </w:r>
      <w:r>
        <w:rPr>
          <w:rFonts w:hint="eastAsia" w:cs="Times New Roman"/>
          <w:spacing w:val="0"/>
          <w:sz w:val="32"/>
          <w:highlight w:val="none"/>
          <w:lang w:val="en-US" w:eastAsia="zh-CN"/>
        </w:rPr>
        <w:t>0.34</w:t>
      </w:r>
      <w:r>
        <w:rPr>
          <w:rFonts w:hint="default" w:ascii="Times New Roman" w:hAnsi="Times New Roman" w:eastAsia="仿宋_GB2312" w:cs="Times New Roman"/>
          <w:spacing w:val="0"/>
          <w:sz w:val="32"/>
          <w:highlight w:val="none"/>
          <w:lang w:val="en-US" w:eastAsia="zh-CN"/>
        </w:rPr>
        <w:t>万元、其他交通费用</w:t>
      </w:r>
      <w:r>
        <w:rPr>
          <w:rFonts w:hint="eastAsia" w:cs="Times New Roman"/>
          <w:spacing w:val="0"/>
          <w:sz w:val="32"/>
          <w:highlight w:val="none"/>
          <w:lang w:val="en-US" w:eastAsia="zh-CN"/>
        </w:rPr>
        <w:t>1.72</w:t>
      </w:r>
      <w:r>
        <w:rPr>
          <w:rFonts w:hint="default" w:ascii="Times New Roman" w:hAnsi="Times New Roman" w:eastAsia="仿宋_GB2312" w:cs="Times New Roman"/>
          <w:spacing w:val="0"/>
          <w:sz w:val="32"/>
          <w:highlight w:val="none"/>
          <w:lang w:val="en-US" w:eastAsia="zh-CN"/>
        </w:rPr>
        <w:t>万元。</w:t>
      </w:r>
    </w:p>
    <w:p w14:paraId="11241B8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pacing w:val="0"/>
          <w:sz w:val="32"/>
          <w:highlight w:val="none"/>
          <w:lang w:val="en-US" w:eastAsia="zh-CN"/>
        </w:rPr>
        <w:t xml:space="preserve">七、政府性基金预算财政拨款收入支出决算情况说明 </w:t>
      </w:r>
    </w:p>
    <w:p w14:paraId="23E48635">
      <w:pPr>
        <w:ind w:firstLine="640" w:firstLineChars="200"/>
        <w:rPr>
          <w:rFonts w:hint="eastAsia" w:ascii="仿宋_GB2312" w:hAnsi="仿宋_GB2312" w:eastAsia="仿宋_GB2312" w:cs="仿宋_GB2312"/>
          <w:szCs w:val="32"/>
          <w:highlight w:val="none"/>
          <w:lang w:eastAsia="zh-CN"/>
        </w:rPr>
      </w:pPr>
      <w:r>
        <w:rPr>
          <w:rFonts w:hint="eastAsia" w:ascii="仿宋_GB2312" w:hAnsi="仿宋_GB2312" w:cs="仿宋_GB2312"/>
          <w:szCs w:val="32"/>
          <w:highlight w:val="none"/>
        </w:rPr>
        <w:t>2023年度政府性基金预算财政拨款年初结转和结余</w:t>
      </w:r>
      <w:r>
        <w:rPr>
          <w:rFonts w:hint="eastAsia" w:ascii="仿宋_GB2312" w:hAnsi="仿宋_GB2312" w:cs="仿宋_GB2312"/>
          <w:szCs w:val="32"/>
          <w:highlight w:val="none"/>
          <w:u w:val="single"/>
        </w:rPr>
        <w:t xml:space="preserve"> 0    </w:t>
      </w:r>
      <w:r>
        <w:rPr>
          <w:rFonts w:hint="eastAsia" w:ascii="仿宋_GB2312" w:hAnsi="仿宋_GB2312" w:cs="仿宋_GB2312"/>
          <w:szCs w:val="32"/>
          <w:highlight w:val="none"/>
        </w:rPr>
        <w:t>万元，本年收入</w:t>
      </w:r>
      <w:r>
        <w:rPr>
          <w:rFonts w:hint="eastAsia" w:ascii="仿宋_GB2312" w:hAnsi="仿宋_GB2312" w:cs="仿宋_GB2312"/>
          <w:szCs w:val="32"/>
          <w:highlight w:val="none"/>
          <w:u w:val="single"/>
        </w:rPr>
        <w:t xml:space="preserve">  0  </w:t>
      </w:r>
      <w:r>
        <w:rPr>
          <w:rFonts w:hint="eastAsia" w:ascii="仿宋_GB2312" w:hAnsi="仿宋_GB2312" w:cs="仿宋_GB2312"/>
          <w:szCs w:val="32"/>
          <w:highlight w:val="none"/>
        </w:rPr>
        <w:t>万元，本年支出</w:t>
      </w:r>
      <w:r>
        <w:rPr>
          <w:rFonts w:hint="eastAsia" w:ascii="仿宋_GB2312" w:hAnsi="仿宋_GB2312" w:cs="仿宋_GB2312"/>
          <w:szCs w:val="32"/>
          <w:highlight w:val="none"/>
          <w:u w:val="single"/>
        </w:rPr>
        <w:t xml:space="preserve">  0  </w:t>
      </w:r>
      <w:r>
        <w:rPr>
          <w:rFonts w:hint="eastAsia" w:ascii="仿宋_GB2312" w:hAnsi="仿宋_GB2312" w:cs="仿宋_GB2312"/>
          <w:szCs w:val="32"/>
          <w:highlight w:val="none"/>
        </w:rPr>
        <w:t>万元，年末结转和结余</w:t>
      </w:r>
      <w:r>
        <w:rPr>
          <w:rFonts w:hint="eastAsia" w:ascii="仿宋_GB2312" w:hAnsi="仿宋_GB2312" w:cs="仿宋_GB2312"/>
          <w:szCs w:val="32"/>
          <w:highlight w:val="none"/>
          <w:u w:val="single"/>
        </w:rPr>
        <w:t xml:space="preserve">  0  </w:t>
      </w:r>
      <w:r>
        <w:rPr>
          <w:rFonts w:hint="eastAsia" w:ascii="仿宋_GB2312" w:hAnsi="仿宋_GB2312" w:cs="仿宋_GB2312"/>
          <w:szCs w:val="32"/>
          <w:highlight w:val="none"/>
        </w:rPr>
        <w:t>万元。具体支出情况为：本单位当年无政府性基金预算财政拨款收入支出</w:t>
      </w:r>
      <w:r>
        <w:rPr>
          <w:rFonts w:hint="eastAsia" w:ascii="仿宋_GB2312" w:hAnsi="仿宋_GB2312" w:cs="仿宋_GB2312"/>
          <w:szCs w:val="32"/>
          <w:highlight w:val="none"/>
          <w:lang w:eastAsia="zh-CN"/>
        </w:rPr>
        <w:t>。</w:t>
      </w:r>
    </w:p>
    <w:p w14:paraId="508B3B7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八、国有资本经营预算财政拨款支出决算情况说明</w:t>
      </w:r>
    </w:p>
    <w:p w14:paraId="16A6E716">
      <w:pPr>
        <w:ind w:firstLine="640"/>
        <w:rPr>
          <w:rFonts w:hint="eastAsia" w:ascii="仿宋_GB2312" w:hAnsi="仿宋_GB2312" w:eastAsia="仿宋_GB2312" w:cs="仿宋_GB2312"/>
          <w:szCs w:val="32"/>
          <w:highlight w:val="none"/>
          <w:lang w:eastAsia="zh-CN"/>
        </w:rPr>
      </w:pPr>
      <w:r>
        <w:rPr>
          <w:rFonts w:hint="eastAsia" w:ascii="仿宋_GB2312" w:hAnsi="仿宋_GB2312" w:cs="仿宋_GB2312"/>
          <w:szCs w:val="32"/>
          <w:highlight w:val="none"/>
        </w:rPr>
        <w:t>2023年度国有资本经营预算财政拨款本年支出</w:t>
      </w:r>
      <w:r>
        <w:rPr>
          <w:rFonts w:hint="eastAsia" w:ascii="仿宋_GB2312" w:hAnsi="仿宋_GB2312" w:cs="仿宋_GB2312"/>
          <w:szCs w:val="32"/>
          <w:highlight w:val="none"/>
          <w:u w:val="single"/>
        </w:rPr>
        <w:t xml:space="preserve">  0 </w:t>
      </w:r>
      <w:r>
        <w:rPr>
          <w:rFonts w:hint="eastAsia" w:ascii="仿宋_GB2312" w:hAnsi="仿宋_GB2312" w:cs="仿宋_GB2312"/>
          <w:szCs w:val="32"/>
          <w:highlight w:val="none"/>
        </w:rPr>
        <w:t>万元。具体支出情况为：本单位当年无国有资本经营预算财政拨款支出</w:t>
      </w:r>
      <w:r>
        <w:rPr>
          <w:rFonts w:hint="eastAsia" w:ascii="仿宋_GB2312" w:hAnsi="仿宋_GB2312" w:cs="仿宋_GB2312"/>
          <w:szCs w:val="32"/>
          <w:highlight w:val="none"/>
          <w:lang w:eastAsia="zh-CN"/>
        </w:rPr>
        <w:t>。</w:t>
      </w:r>
    </w:p>
    <w:p w14:paraId="6E7EAD8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 xml:space="preserve">九、财政拨款“三公”经费支出决算情况说明 </w:t>
      </w:r>
    </w:p>
    <w:p w14:paraId="6D67516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r>
        <w:rPr>
          <w:rFonts w:hint="default" w:ascii="Times New Roman" w:hAnsi="Times New Roman" w:eastAsia="楷体_GB2312" w:cs="Times New Roman"/>
          <w:b/>
          <w:bCs/>
          <w:spacing w:val="0"/>
          <w:sz w:val="32"/>
          <w:highlight w:val="none"/>
          <w:lang w:val="en-US" w:eastAsia="zh-CN"/>
        </w:rPr>
        <w:t>（一）“三公”经费财政拨款支出决算总体情况说明</w:t>
      </w:r>
    </w:p>
    <w:p w14:paraId="2683DE9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highlight w:val="none"/>
          <w:lang w:val="en-US" w:eastAsia="zh-CN"/>
        </w:rPr>
      </w:pPr>
      <w:r>
        <w:rPr>
          <w:rFonts w:hint="default" w:ascii="Times New Roman" w:hAnsi="Times New Roman" w:eastAsia="仿宋_GB2312" w:cs="Times New Roman"/>
          <w:spacing w:val="0"/>
          <w:sz w:val="32"/>
          <w:highlight w:val="none"/>
          <w:lang w:val="en-US" w:eastAsia="zh-CN"/>
        </w:rPr>
        <w:t>202</w:t>
      </w:r>
      <w:r>
        <w:rPr>
          <w:rFonts w:hint="default" w:ascii="Times New Roman" w:hAnsi="Times New Roman" w:cs="Times New Roman"/>
          <w:spacing w:val="0"/>
          <w:sz w:val="32"/>
          <w:highlight w:val="none"/>
          <w:lang w:val="en-US" w:eastAsia="zh-CN"/>
        </w:rPr>
        <w:t>3</w:t>
      </w:r>
      <w:r>
        <w:rPr>
          <w:rFonts w:hint="default" w:ascii="Times New Roman" w:hAnsi="Times New Roman" w:eastAsia="仿宋_GB2312" w:cs="Times New Roman"/>
          <w:spacing w:val="0"/>
          <w:sz w:val="32"/>
          <w:highlight w:val="none"/>
          <w:lang w:val="en-US" w:eastAsia="zh-CN"/>
        </w:rPr>
        <w:t>年度“三公”经费财政拨款支出</w:t>
      </w:r>
      <w:r>
        <w:rPr>
          <w:rFonts w:hint="default" w:ascii="Times New Roman" w:hAnsi="Times New Roman" w:cs="Times New Roman"/>
          <w:spacing w:val="0"/>
          <w:sz w:val="32"/>
          <w:highlight w:val="none"/>
          <w:lang w:val="en-US" w:eastAsia="zh-CN"/>
        </w:rPr>
        <w:t>全年</w:t>
      </w:r>
      <w:r>
        <w:rPr>
          <w:rFonts w:hint="default" w:ascii="Times New Roman" w:hAnsi="Times New Roman" w:eastAsia="仿宋_GB2312" w:cs="Times New Roman"/>
          <w:spacing w:val="0"/>
          <w:sz w:val="32"/>
          <w:highlight w:val="none"/>
          <w:lang w:val="en-US" w:eastAsia="zh-CN"/>
        </w:rPr>
        <w:t>预算为</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1.01</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万元，支出决算为</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1.01</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万元，完成</w:t>
      </w:r>
      <w:r>
        <w:rPr>
          <w:rFonts w:hint="default" w:ascii="Times New Roman" w:hAnsi="Times New Roman" w:cs="Times New Roman"/>
          <w:spacing w:val="0"/>
          <w:sz w:val="32"/>
          <w:highlight w:val="none"/>
          <w:lang w:val="en-US" w:eastAsia="zh-CN"/>
        </w:rPr>
        <w:t>全年</w:t>
      </w:r>
      <w:r>
        <w:rPr>
          <w:rFonts w:hint="default" w:ascii="Times New Roman" w:hAnsi="Times New Roman" w:eastAsia="仿宋_GB2312" w:cs="Times New Roman"/>
          <w:spacing w:val="0"/>
          <w:sz w:val="32"/>
          <w:highlight w:val="none"/>
          <w:lang w:val="en-US" w:eastAsia="zh-CN"/>
        </w:rPr>
        <w:t>预算的</w:t>
      </w:r>
      <w:r>
        <w:rPr>
          <w:rFonts w:hint="default" w:ascii="Times New Roman" w:hAnsi="Times New Roman" w:eastAsia="仿宋_GB2312"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1.01</w:t>
      </w:r>
      <w:r>
        <w:rPr>
          <w:rFonts w:hint="default" w:ascii="Times New Roman" w:hAnsi="Times New Roman" w:eastAsia="仿宋_GB2312" w:cs="Times New Roman"/>
          <w:spacing w:val="0"/>
          <w:sz w:val="32"/>
          <w:highlight w:val="none"/>
          <w:u w:val="single"/>
          <w:lang w:val="en-US" w:eastAsia="zh-CN"/>
        </w:rPr>
        <w:t xml:space="preserve"> </w:t>
      </w:r>
      <w:r>
        <w:rPr>
          <w:rFonts w:hint="default" w:ascii="Times New Roman" w:hAnsi="Times New Roman" w:eastAsia="仿宋_GB2312" w:cs="Times New Roman"/>
          <w:spacing w:val="0"/>
          <w:sz w:val="32"/>
          <w:highlight w:val="none"/>
          <w:lang w:val="en-US" w:eastAsia="zh-CN"/>
        </w:rPr>
        <w:t>%。</w:t>
      </w:r>
      <w:r>
        <w:rPr>
          <w:rFonts w:hint="default" w:ascii="Times New Roman" w:hAnsi="Times New Roman" w:cs="Times New Roman"/>
          <w:spacing w:val="0"/>
          <w:sz w:val="32"/>
          <w:highlight w:val="none"/>
          <w:lang w:val="en-US" w:eastAsia="zh-CN"/>
        </w:rPr>
        <w:t>较上年增加</w:t>
      </w:r>
      <w:r>
        <w:rPr>
          <w:rFonts w:hint="default" w:ascii="Times New Roman" w:hAnsi="Times New Roman"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0.26</w:t>
      </w:r>
      <w:r>
        <w:rPr>
          <w:rFonts w:hint="default" w:ascii="Times New Roman" w:hAnsi="Times New Roman" w:cs="Times New Roman"/>
          <w:spacing w:val="0"/>
          <w:sz w:val="32"/>
          <w:highlight w:val="none"/>
          <w:u w:val="single"/>
          <w:lang w:val="en-US" w:eastAsia="zh-CN"/>
        </w:rPr>
        <w:t xml:space="preserve">  </w:t>
      </w:r>
      <w:r>
        <w:rPr>
          <w:rFonts w:hint="default" w:ascii="Times New Roman" w:hAnsi="Times New Roman" w:cs="Times New Roman"/>
          <w:spacing w:val="0"/>
          <w:sz w:val="32"/>
          <w:highlight w:val="none"/>
          <w:u w:val="none"/>
          <w:lang w:val="en-US" w:eastAsia="zh-CN"/>
        </w:rPr>
        <w:t>万元，增长</w:t>
      </w:r>
      <w:r>
        <w:rPr>
          <w:rFonts w:hint="default" w:ascii="Times New Roman" w:hAnsi="Times New Roman"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34.67</w:t>
      </w:r>
      <w:r>
        <w:rPr>
          <w:rFonts w:hint="default" w:ascii="Times New Roman" w:hAnsi="Times New Roman" w:cs="Times New Roman"/>
          <w:spacing w:val="0"/>
          <w:sz w:val="32"/>
          <w:highlight w:val="none"/>
          <w:u w:val="single"/>
          <w:lang w:val="en-US" w:eastAsia="zh-CN"/>
        </w:rPr>
        <w:t xml:space="preserve">  </w:t>
      </w:r>
      <w:r>
        <w:rPr>
          <w:rFonts w:hint="default" w:ascii="Times New Roman" w:hAnsi="Times New Roman" w:cs="Times New Roman"/>
          <w:spacing w:val="0"/>
          <w:sz w:val="32"/>
          <w:highlight w:val="none"/>
          <w:u w:val="none"/>
          <w:lang w:val="en-US" w:eastAsia="zh-CN"/>
        </w:rPr>
        <w:t>%。</w:t>
      </w:r>
      <w:r>
        <w:rPr>
          <w:rFonts w:hint="default" w:ascii="Times New Roman" w:hAnsi="Times New Roman" w:eastAsia="仿宋_GB2312" w:cs="Times New Roman"/>
          <w:spacing w:val="0"/>
          <w:sz w:val="32"/>
          <w:highlight w:val="none"/>
          <w:lang w:val="en-US" w:eastAsia="zh-CN"/>
        </w:rPr>
        <w:t>决算数与全年预算数一致的主要原因：严格按照预算执行。</w:t>
      </w:r>
      <w:r>
        <w:rPr>
          <w:rFonts w:hint="default" w:ascii="Times New Roman" w:hAnsi="Times New Roman" w:cs="Times New Roman"/>
          <w:spacing w:val="0"/>
          <w:sz w:val="32"/>
          <w:highlight w:val="none"/>
          <w:lang w:val="en-US" w:eastAsia="zh-CN"/>
        </w:rPr>
        <w:t>决算数较上年增加的主要原因：</w:t>
      </w:r>
      <w:r>
        <w:rPr>
          <w:rFonts w:hint="default" w:ascii="Times New Roman" w:hAnsi="Times New Roman" w:eastAsia="仿宋_GB2312" w:cs="Times New Roman"/>
          <w:spacing w:val="0"/>
          <w:sz w:val="32"/>
          <w:highlight w:val="none"/>
          <w:lang w:val="en-US" w:eastAsia="zh-CN"/>
        </w:rPr>
        <w:t>接待来随考察学习人员增加</w:t>
      </w:r>
      <w:r>
        <w:rPr>
          <w:rFonts w:hint="eastAsia" w:cs="Times New Roman"/>
          <w:spacing w:val="0"/>
          <w:sz w:val="32"/>
          <w:highlight w:val="none"/>
          <w:lang w:val="en-US" w:eastAsia="zh-CN"/>
        </w:rPr>
        <w:t>。</w:t>
      </w:r>
    </w:p>
    <w:p w14:paraId="2899FA6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spacing w:val="0"/>
          <w:sz w:val="32"/>
          <w:highlight w:val="none"/>
          <w:lang w:val="en-US" w:eastAsia="zh-CN"/>
        </w:rPr>
      </w:pPr>
      <w:r>
        <w:rPr>
          <w:rFonts w:hint="default" w:ascii="Times New Roman" w:hAnsi="Times New Roman" w:eastAsia="楷体_GB2312" w:cs="Times New Roman"/>
          <w:b/>
          <w:bCs/>
          <w:spacing w:val="0"/>
          <w:sz w:val="32"/>
          <w:highlight w:val="none"/>
          <w:lang w:val="en-US" w:eastAsia="zh-CN"/>
        </w:rPr>
        <w:t>（二）“三公”经费</w:t>
      </w:r>
      <w:r>
        <w:rPr>
          <w:rFonts w:hint="default" w:ascii="Times New Roman" w:hAnsi="Times New Roman" w:eastAsia="楷体_GB2312" w:cs="Times New Roman"/>
          <w:b/>
          <w:bCs/>
          <w:spacing w:val="0"/>
          <w:sz w:val="32"/>
          <w:highlight w:val="none"/>
          <w:lang w:val="en-US" w:eastAsia="zh-CN"/>
        </w:rPr>
        <w:t>财政拨款支出决算具体情况说明</w:t>
      </w:r>
    </w:p>
    <w:p w14:paraId="7E5B516E">
      <w:pPr>
        <w:ind w:firstLine="640" w:firstLineChars="200"/>
        <w:rPr>
          <w:rFonts w:hint="eastAsia"/>
          <w:highlight w:val="none"/>
        </w:rPr>
      </w:pPr>
      <w:r>
        <w:rPr>
          <w:rFonts w:hint="default" w:ascii="Times New Roman" w:hAnsi="Times New Roman" w:eastAsia="仿宋_GB2312" w:cs="Times New Roman"/>
          <w:color w:val="000000"/>
          <w:spacing w:val="0"/>
          <w:sz w:val="32"/>
          <w:szCs w:val="32"/>
          <w:highlight w:val="none"/>
        </w:rPr>
        <w:t>1.</w:t>
      </w:r>
      <w:r>
        <w:rPr>
          <w:rFonts w:hint="eastAsia" w:ascii="仿宋_GB2312"/>
          <w:color w:val="000000"/>
          <w:szCs w:val="32"/>
          <w:highlight w:val="none"/>
        </w:rPr>
        <w:t>因公出国(境)费</w:t>
      </w:r>
      <w:r>
        <w:rPr>
          <w:rFonts w:hint="eastAsia" w:ascii="仿宋_GB2312" w:hAnsi="仿宋_GB2312" w:cs="仿宋_GB2312"/>
          <w:highlight w:val="none"/>
        </w:rPr>
        <w:t>全年</w:t>
      </w:r>
      <w:r>
        <w:rPr>
          <w:rFonts w:hint="eastAsia" w:ascii="仿宋_GB2312"/>
          <w:color w:val="000000"/>
          <w:szCs w:val="32"/>
          <w:highlight w:val="none"/>
        </w:rPr>
        <w:t>预算为</w:t>
      </w:r>
      <w:r>
        <w:rPr>
          <w:rFonts w:hint="eastAsia" w:ascii="仿宋_GB2312"/>
          <w:color w:val="000000"/>
          <w:szCs w:val="32"/>
          <w:highlight w:val="none"/>
          <w:u w:val="single"/>
        </w:rPr>
        <w:t xml:space="preserve"> 0 </w:t>
      </w:r>
      <w:r>
        <w:rPr>
          <w:rFonts w:hint="eastAsia" w:ascii="仿宋_GB2312"/>
          <w:color w:val="000000"/>
          <w:szCs w:val="32"/>
          <w:highlight w:val="none"/>
        </w:rPr>
        <w:t>万元，支出决算为</w:t>
      </w:r>
      <w:r>
        <w:rPr>
          <w:rFonts w:hint="eastAsia" w:ascii="仿宋_GB2312"/>
          <w:color w:val="000000"/>
          <w:szCs w:val="32"/>
          <w:highlight w:val="none"/>
          <w:u w:val="single"/>
        </w:rPr>
        <w:t xml:space="preserve"> 0   </w:t>
      </w:r>
      <w:r>
        <w:rPr>
          <w:rFonts w:hint="eastAsia" w:ascii="仿宋_GB2312"/>
          <w:color w:val="000000"/>
          <w:szCs w:val="32"/>
          <w:highlight w:val="none"/>
        </w:rPr>
        <w:t>万元，完成</w:t>
      </w:r>
      <w:r>
        <w:rPr>
          <w:rFonts w:hint="eastAsia" w:ascii="仿宋_GB2312" w:hAnsi="仿宋_GB2312" w:cs="仿宋_GB2312"/>
          <w:highlight w:val="none"/>
        </w:rPr>
        <w:t>全年</w:t>
      </w:r>
      <w:r>
        <w:rPr>
          <w:rFonts w:hint="eastAsia" w:ascii="仿宋_GB2312"/>
          <w:color w:val="000000"/>
          <w:szCs w:val="32"/>
          <w:highlight w:val="none"/>
        </w:rPr>
        <w:t>预算的</w:t>
      </w:r>
      <w:r>
        <w:rPr>
          <w:rFonts w:hint="eastAsia" w:ascii="仿宋_GB2312"/>
          <w:color w:val="000000"/>
          <w:szCs w:val="32"/>
          <w:highlight w:val="none"/>
          <w:u w:val="single"/>
        </w:rPr>
        <w:t xml:space="preserve"> 0 </w:t>
      </w:r>
      <w:r>
        <w:rPr>
          <w:rFonts w:hint="eastAsia" w:ascii="仿宋_GB2312"/>
          <w:color w:val="000000"/>
          <w:szCs w:val="32"/>
          <w:highlight w:val="none"/>
        </w:rPr>
        <w:t>%。</w:t>
      </w:r>
      <w:r>
        <w:rPr>
          <w:rFonts w:hint="eastAsia" w:ascii="仿宋_GB2312" w:hAnsi="仿宋_GB2312" w:cs="仿宋_GB2312"/>
          <w:highlight w:val="none"/>
        </w:rPr>
        <w:t>较上年增加</w:t>
      </w:r>
      <w:r>
        <w:rPr>
          <w:rFonts w:hint="eastAsia" w:ascii="仿宋_GB2312" w:hAnsi="仿宋_GB2312" w:cs="仿宋_GB2312"/>
          <w:highlight w:val="none"/>
          <w:u w:val="single"/>
        </w:rPr>
        <w:t xml:space="preserve"> 0 </w:t>
      </w:r>
      <w:r>
        <w:rPr>
          <w:rFonts w:hint="eastAsia" w:ascii="仿宋_GB2312" w:hAnsi="仿宋_GB2312" w:cs="仿宋_GB2312"/>
          <w:highlight w:val="none"/>
        </w:rPr>
        <w:t>万元，增</w:t>
      </w:r>
      <w:r>
        <w:rPr>
          <w:rFonts w:hint="eastAsia"/>
          <w:highlight w:val="none"/>
        </w:rPr>
        <w:t>长</w:t>
      </w:r>
      <w:r>
        <w:rPr>
          <w:rFonts w:hint="eastAsia"/>
          <w:highlight w:val="none"/>
          <w:u w:val="single"/>
        </w:rPr>
        <w:t xml:space="preserve"> 0 </w:t>
      </w:r>
      <w:r>
        <w:rPr>
          <w:rFonts w:hint="eastAsia"/>
          <w:highlight w:val="none"/>
        </w:rPr>
        <w:t>%。</w:t>
      </w:r>
      <w:r>
        <w:rPr>
          <w:rFonts w:hint="eastAsia" w:ascii="仿宋_GB2312" w:hAnsi="仿宋_GB2312" w:cs="仿宋_GB2312"/>
          <w:highlight w:val="none"/>
        </w:rPr>
        <w:t>决算数与全年预算数一致的主要原因：严格按照预算执行。</w:t>
      </w:r>
      <w:r>
        <w:rPr>
          <w:rFonts w:hint="eastAsia"/>
          <w:highlight w:val="none"/>
        </w:rPr>
        <w:t>决算数较上年无变化。</w:t>
      </w:r>
    </w:p>
    <w:p w14:paraId="67A1825C">
      <w:pPr>
        <w:ind w:firstLine="640" w:firstLineChars="200"/>
        <w:rPr>
          <w:rFonts w:hint="default" w:ascii="Times New Roman" w:hAnsi="Times New Roman" w:eastAsia="仿宋_GB2312" w:cs="Times New Roman"/>
          <w:color w:val="000000"/>
          <w:spacing w:val="0"/>
          <w:sz w:val="32"/>
          <w:szCs w:val="32"/>
          <w:highlight w:val="none"/>
          <w:u w:val="none"/>
          <w:lang w:val="en-US" w:eastAsia="zh-CN"/>
        </w:rPr>
      </w:pPr>
      <w:r>
        <w:rPr>
          <w:rFonts w:hint="eastAsia"/>
          <w:highlight w:val="none"/>
        </w:rPr>
        <w:t>全年支出涉及出国（境）团组</w:t>
      </w:r>
      <w:r>
        <w:rPr>
          <w:rFonts w:hint="eastAsia"/>
          <w:highlight w:val="none"/>
          <w:u w:val="single"/>
        </w:rPr>
        <w:t xml:space="preserve"> 0 </w:t>
      </w:r>
      <w:r>
        <w:rPr>
          <w:rFonts w:hint="eastAsia"/>
          <w:highlight w:val="none"/>
        </w:rPr>
        <w:t>个，累计</w:t>
      </w:r>
      <w:r>
        <w:rPr>
          <w:rFonts w:hint="eastAsia" w:ascii="仿宋_GB2312"/>
          <w:color w:val="000000"/>
          <w:szCs w:val="32"/>
          <w:highlight w:val="none"/>
          <w:u w:val="single"/>
        </w:rPr>
        <w:t xml:space="preserve"> 0 </w:t>
      </w:r>
      <w:r>
        <w:rPr>
          <w:rFonts w:hint="eastAsia" w:ascii="仿宋_GB2312"/>
          <w:color w:val="000000"/>
          <w:szCs w:val="32"/>
          <w:highlight w:val="none"/>
        </w:rPr>
        <w:t>人次，主要用于开展以下工作：无。</w:t>
      </w:r>
    </w:p>
    <w:p w14:paraId="5512352A">
      <w:pPr>
        <w:ind w:firstLine="640" w:firstLineChars="200"/>
        <w:rPr>
          <w:rFonts w:hint="eastAsia" w:ascii="仿宋_GB2312"/>
          <w:color w:val="000000"/>
          <w:szCs w:val="32"/>
          <w:highlight w:val="none"/>
        </w:rPr>
      </w:pPr>
      <w:r>
        <w:rPr>
          <w:rFonts w:hint="default" w:ascii="Times New Roman" w:hAnsi="Times New Roman" w:eastAsia="仿宋_GB2312" w:cs="Times New Roman"/>
          <w:color w:val="000000"/>
          <w:spacing w:val="0"/>
          <w:sz w:val="32"/>
          <w:szCs w:val="32"/>
          <w:highlight w:val="none"/>
        </w:rPr>
        <w:t>2.</w:t>
      </w:r>
      <w:r>
        <w:rPr>
          <w:rFonts w:hint="eastAsia" w:ascii="仿宋_GB2312"/>
          <w:color w:val="000000"/>
          <w:szCs w:val="32"/>
          <w:highlight w:val="none"/>
        </w:rPr>
        <w:t>公务用车购置及运行费</w:t>
      </w:r>
      <w:r>
        <w:rPr>
          <w:rFonts w:hint="eastAsia" w:ascii="仿宋_GB2312" w:hAnsi="仿宋_GB2312" w:cs="仿宋_GB2312"/>
          <w:highlight w:val="none"/>
        </w:rPr>
        <w:t>全年</w:t>
      </w:r>
      <w:r>
        <w:rPr>
          <w:rFonts w:hint="eastAsia" w:ascii="仿宋_GB2312"/>
          <w:color w:val="000000"/>
          <w:szCs w:val="32"/>
          <w:highlight w:val="none"/>
        </w:rPr>
        <w:t>预算为</w:t>
      </w:r>
      <w:r>
        <w:rPr>
          <w:rFonts w:hint="eastAsia" w:ascii="仿宋_GB2312"/>
          <w:color w:val="000000"/>
          <w:szCs w:val="32"/>
          <w:highlight w:val="none"/>
          <w:u w:val="single"/>
        </w:rPr>
        <w:t xml:space="preserve"> 0 </w:t>
      </w:r>
      <w:r>
        <w:rPr>
          <w:rFonts w:hint="eastAsia" w:ascii="仿宋_GB2312"/>
          <w:color w:val="000000"/>
          <w:szCs w:val="32"/>
          <w:highlight w:val="none"/>
        </w:rPr>
        <w:t>万元，支出决算为</w:t>
      </w:r>
      <w:r>
        <w:rPr>
          <w:rFonts w:hint="eastAsia" w:ascii="仿宋_GB2312"/>
          <w:color w:val="000000"/>
          <w:szCs w:val="32"/>
          <w:highlight w:val="none"/>
          <w:u w:val="single"/>
        </w:rPr>
        <w:t xml:space="preserve"> 0 </w:t>
      </w:r>
      <w:r>
        <w:rPr>
          <w:rFonts w:hint="eastAsia" w:ascii="仿宋_GB2312"/>
          <w:color w:val="000000"/>
          <w:szCs w:val="32"/>
          <w:highlight w:val="none"/>
        </w:rPr>
        <w:t>万元，完成</w:t>
      </w:r>
      <w:r>
        <w:rPr>
          <w:rFonts w:hint="eastAsia" w:ascii="仿宋_GB2312" w:hAnsi="仿宋_GB2312" w:cs="仿宋_GB2312"/>
          <w:highlight w:val="none"/>
        </w:rPr>
        <w:t>全年</w:t>
      </w:r>
      <w:r>
        <w:rPr>
          <w:rFonts w:hint="eastAsia" w:ascii="仿宋_GB2312"/>
          <w:color w:val="000000"/>
          <w:szCs w:val="32"/>
          <w:highlight w:val="none"/>
        </w:rPr>
        <w:t>预算的</w:t>
      </w:r>
      <w:r>
        <w:rPr>
          <w:rFonts w:hint="eastAsia" w:ascii="仿宋_GB2312"/>
          <w:color w:val="000000"/>
          <w:szCs w:val="32"/>
          <w:highlight w:val="none"/>
          <w:u w:val="single"/>
        </w:rPr>
        <w:t xml:space="preserve"> 0 </w:t>
      </w:r>
      <w:r>
        <w:rPr>
          <w:rFonts w:hint="eastAsia" w:ascii="仿宋_GB2312"/>
          <w:color w:val="000000"/>
          <w:szCs w:val="32"/>
          <w:highlight w:val="none"/>
        </w:rPr>
        <w:t>%；</w:t>
      </w:r>
      <w:r>
        <w:rPr>
          <w:rFonts w:hint="eastAsia" w:ascii="仿宋_GB2312" w:hAnsi="仿宋_GB2312" w:cs="仿宋_GB2312"/>
          <w:highlight w:val="none"/>
        </w:rPr>
        <w:t>较上年增加</w:t>
      </w:r>
      <w:r>
        <w:rPr>
          <w:rFonts w:hint="eastAsia" w:ascii="仿宋_GB2312" w:hAnsi="仿宋_GB2312" w:cs="仿宋_GB2312"/>
          <w:highlight w:val="none"/>
          <w:u w:val="single"/>
        </w:rPr>
        <w:t xml:space="preserve"> 0 </w:t>
      </w:r>
      <w:r>
        <w:rPr>
          <w:rFonts w:hint="eastAsia" w:ascii="仿宋_GB2312" w:hAnsi="仿宋_GB2312" w:cs="仿宋_GB2312"/>
          <w:highlight w:val="none"/>
        </w:rPr>
        <w:t>万元，增长</w:t>
      </w:r>
      <w:r>
        <w:rPr>
          <w:rFonts w:hint="eastAsia" w:ascii="仿宋_GB2312" w:hAnsi="仿宋_GB2312" w:cs="仿宋_GB2312"/>
          <w:highlight w:val="none"/>
          <w:u w:val="single"/>
        </w:rPr>
        <w:t xml:space="preserve"> 0 </w:t>
      </w:r>
      <w:r>
        <w:rPr>
          <w:rFonts w:hint="eastAsia" w:ascii="仿宋_GB2312" w:hAnsi="仿宋_GB2312" w:cs="仿宋_GB2312"/>
          <w:highlight w:val="none"/>
        </w:rPr>
        <w:t>%。决算数与全年预算数一致的主要原因：严格按照预算执行。</w:t>
      </w:r>
      <w:r>
        <w:rPr>
          <w:rFonts w:hint="eastAsia"/>
          <w:highlight w:val="none"/>
        </w:rPr>
        <w:t>决算数较上年无变化。</w:t>
      </w:r>
      <w:r>
        <w:rPr>
          <w:rFonts w:hint="eastAsia" w:ascii="仿宋_GB2312"/>
          <w:color w:val="000000"/>
          <w:szCs w:val="32"/>
          <w:highlight w:val="none"/>
        </w:rPr>
        <w:t>其中：</w:t>
      </w:r>
    </w:p>
    <w:p w14:paraId="6E18CC37">
      <w:pPr>
        <w:adjustRightInd w:val="0"/>
        <w:snapToGrid w:val="0"/>
        <w:spacing w:line="360" w:lineRule="auto"/>
        <w:ind w:firstLine="640" w:firstLineChars="200"/>
        <w:rPr>
          <w:rFonts w:hint="eastAsia" w:ascii="仿宋_GB2312"/>
          <w:color w:val="000000"/>
          <w:szCs w:val="32"/>
          <w:highlight w:val="none"/>
        </w:rPr>
      </w:pPr>
      <w:r>
        <w:rPr>
          <w:rFonts w:hint="eastAsia" w:ascii="仿宋_GB2312"/>
          <w:color w:val="000000"/>
          <w:szCs w:val="32"/>
          <w:highlight w:val="none"/>
        </w:rPr>
        <w:t>(1)公务用车购置费支出</w:t>
      </w:r>
      <w:r>
        <w:rPr>
          <w:rFonts w:hint="eastAsia" w:ascii="仿宋_GB2312"/>
          <w:color w:val="000000"/>
          <w:szCs w:val="32"/>
          <w:highlight w:val="none"/>
          <w:u w:val="single"/>
        </w:rPr>
        <w:t xml:space="preserve"> 0 </w:t>
      </w:r>
      <w:r>
        <w:rPr>
          <w:rFonts w:hint="eastAsia" w:ascii="仿宋_GB2312"/>
          <w:color w:val="000000"/>
          <w:szCs w:val="32"/>
          <w:highlight w:val="none"/>
        </w:rPr>
        <w:t>万元，主要是无公务用车购置需求。本年度购置(更新)公务用车</w:t>
      </w:r>
      <w:r>
        <w:rPr>
          <w:rFonts w:hint="eastAsia" w:ascii="仿宋_GB2312"/>
          <w:color w:val="000000"/>
          <w:szCs w:val="32"/>
          <w:highlight w:val="none"/>
          <w:u w:val="single"/>
        </w:rPr>
        <w:t xml:space="preserve">  0  </w:t>
      </w:r>
      <w:r>
        <w:rPr>
          <w:rFonts w:hint="eastAsia" w:ascii="仿宋_GB2312"/>
          <w:color w:val="000000"/>
          <w:szCs w:val="32"/>
          <w:highlight w:val="none"/>
        </w:rPr>
        <w:t>辆。</w:t>
      </w:r>
    </w:p>
    <w:p w14:paraId="1F6B7187">
      <w:pPr>
        <w:adjustRightInd w:val="0"/>
        <w:snapToGrid w:val="0"/>
        <w:spacing w:line="360" w:lineRule="auto"/>
        <w:ind w:firstLine="640" w:firstLineChars="200"/>
        <w:rPr>
          <w:rFonts w:hint="default" w:ascii="Times New Roman" w:hAnsi="Times New Roman" w:eastAsia="仿宋_GB2312" w:cs="Times New Roman"/>
          <w:color w:val="000000"/>
          <w:spacing w:val="0"/>
          <w:sz w:val="32"/>
          <w:szCs w:val="32"/>
          <w:highlight w:val="none"/>
          <w:lang w:val="en-US" w:eastAsia="zh-CN"/>
        </w:rPr>
      </w:pPr>
      <w:r>
        <w:rPr>
          <w:rFonts w:hint="eastAsia" w:ascii="仿宋_GB2312"/>
          <w:color w:val="000000"/>
          <w:szCs w:val="32"/>
          <w:highlight w:val="none"/>
        </w:rPr>
        <w:t>(2)公务用车运行费支出</w:t>
      </w:r>
      <w:r>
        <w:rPr>
          <w:rFonts w:hint="eastAsia" w:ascii="仿宋_GB2312"/>
          <w:color w:val="000000"/>
          <w:szCs w:val="32"/>
          <w:highlight w:val="none"/>
          <w:u w:val="single"/>
        </w:rPr>
        <w:t xml:space="preserve"> 0 </w:t>
      </w:r>
      <w:r>
        <w:rPr>
          <w:rFonts w:hint="eastAsia" w:ascii="仿宋_GB2312"/>
          <w:color w:val="000000"/>
          <w:szCs w:val="32"/>
          <w:highlight w:val="none"/>
        </w:rPr>
        <w:t>万元，主要原因是无公务用车。截至2023年12月31日，开支财政拨款的公务用车保有</w:t>
      </w:r>
      <w:r>
        <w:rPr>
          <w:rFonts w:hint="eastAsia" w:ascii="仿宋_GB2312"/>
          <w:color w:val="auto"/>
          <w:szCs w:val="32"/>
          <w:highlight w:val="none"/>
        </w:rPr>
        <w:t>量为</w:t>
      </w:r>
      <w:r>
        <w:rPr>
          <w:rFonts w:hint="eastAsia" w:ascii="仿宋_GB2312"/>
          <w:color w:val="auto"/>
          <w:szCs w:val="32"/>
          <w:highlight w:val="none"/>
          <w:u w:val="single"/>
        </w:rPr>
        <w:t xml:space="preserve"> 0 </w:t>
      </w:r>
      <w:r>
        <w:rPr>
          <w:rFonts w:hint="eastAsia" w:ascii="仿宋_GB2312"/>
          <w:color w:val="000000"/>
          <w:szCs w:val="32"/>
          <w:highlight w:val="none"/>
        </w:rPr>
        <w:t>辆。</w:t>
      </w:r>
    </w:p>
    <w:p w14:paraId="79FE659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仿宋_GB2312" w:cs="Times New Roman"/>
          <w:color w:val="000000"/>
          <w:spacing w:val="0"/>
          <w:sz w:val="32"/>
          <w:szCs w:val="32"/>
          <w:highlight w:val="none"/>
        </w:rPr>
        <w:t>3.公务接待费</w:t>
      </w:r>
      <w:r>
        <w:rPr>
          <w:rFonts w:hint="default" w:ascii="Times New Roman" w:hAnsi="Times New Roman" w:cs="Times New Roman"/>
          <w:spacing w:val="0"/>
          <w:sz w:val="32"/>
          <w:highlight w:val="none"/>
          <w:lang w:val="en-US" w:eastAsia="zh-CN"/>
        </w:rPr>
        <w:t>全年</w:t>
      </w:r>
      <w:r>
        <w:rPr>
          <w:rFonts w:hint="default" w:ascii="Times New Roman" w:hAnsi="Times New Roman" w:cs="Times New Roman"/>
          <w:color w:val="000000"/>
          <w:spacing w:val="0"/>
          <w:sz w:val="32"/>
          <w:szCs w:val="32"/>
          <w:highlight w:val="none"/>
          <w:lang w:eastAsia="zh-CN"/>
        </w:rPr>
        <w:t>预算为</w:t>
      </w:r>
      <w:r>
        <w:rPr>
          <w:rFonts w:hint="default" w:ascii="Times New Roman" w:hAnsi="Times New Roman" w:eastAsia="仿宋_GB2312" w:cs="Times New Roman"/>
          <w:color w:val="000000"/>
          <w:spacing w:val="0"/>
          <w:sz w:val="32"/>
          <w:szCs w:val="32"/>
          <w:highlight w:val="none"/>
          <w:u w:val="single"/>
        </w:rPr>
        <w:t xml:space="preserve">  </w:t>
      </w:r>
      <w:r>
        <w:rPr>
          <w:rFonts w:hint="eastAsia" w:cs="Times New Roman"/>
          <w:color w:val="000000"/>
          <w:spacing w:val="0"/>
          <w:sz w:val="32"/>
          <w:szCs w:val="32"/>
          <w:highlight w:val="none"/>
          <w:u w:val="single"/>
          <w:lang w:val="en-US" w:eastAsia="zh-CN"/>
        </w:rPr>
        <w:t>1.01</w:t>
      </w:r>
      <w:r>
        <w:rPr>
          <w:rFonts w:hint="default" w:ascii="Times New Roman" w:hAnsi="Times New Roman" w:eastAsia="仿宋_GB2312" w:cs="Times New Roman"/>
          <w:color w:val="000000"/>
          <w:spacing w:val="0"/>
          <w:sz w:val="32"/>
          <w:szCs w:val="32"/>
          <w:highlight w:val="none"/>
          <w:u w:val="single"/>
        </w:rPr>
        <w:t xml:space="preserve">  </w:t>
      </w:r>
      <w:r>
        <w:rPr>
          <w:rFonts w:hint="default" w:ascii="Times New Roman" w:hAnsi="Times New Roman" w:eastAsia="仿宋_GB2312" w:cs="Times New Roman"/>
          <w:color w:val="000000"/>
          <w:spacing w:val="0"/>
          <w:sz w:val="32"/>
          <w:szCs w:val="32"/>
          <w:highlight w:val="none"/>
        </w:rPr>
        <w:t>万元</w:t>
      </w:r>
      <w:r>
        <w:rPr>
          <w:rFonts w:hint="default" w:ascii="Times New Roman" w:hAnsi="Times New Roman" w:cs="Times New Roman"/>
          <w:color w:val="000000"/>
          <w:spacing w:val="0"/>
          <w:sz w:val="32"/>
          <w:szCs w:val="32"/>
          <w:highlight w:val="none"/>
          <w:lang w:eastAsia="zh-CN"/>
        </w:rPr>
        <w:t>，</w:t>
      </w:r>
      <w:r>
        <w:rPr>
          <w:rFonts w:hint="default" w:ascii="Times New Roman" w:hAnsi="Times New Roman" w:eastAsia="仿宋_GB2312" w:cs="Times New Roman"/>
          <w:color w:val="000000"/>
          <w:spacing w:val="0"/>
          <w:sz w:val="32"/>
          <w:szCs w:val="32"/>
          <w:highlight w:val="none"/>
        </w:rPr>
        <w:t>支出决算为</w:t>
      </w:r>
      <w:r>
        <w:rPr>
          <w:rFonts w:hint="default" w:ascii="Times New Roman" w:hAnsi="Times New Roman" w:eastAsia="仿宋_GB2312" w:cs="Times New Roman"/>
          <w:color w:val="000000"/>
          <w:spacing w:val="0"/>
          <w:sz w:val="32"/>
          <w:szCs w:val="32"/>
          <w:highlight w:val="none"/>
          <w:u w:val="single"/>
        </w:rPr>
        <w:t xml:space="preserve">  </w:t>
      </w:r>
      <w:r>
        <w:rPr>
          <w:rFonts w:hint="eastAsia" w:cs="Times New Roman"/>
          <w:color w:val="000000"/>
          <w:spacing w:val="0"/>
          <w:sz w:val="32"/>
          <w:szCs w:val="32"/>
          <w:highlight w:val="none"/>
          <w:u w:val="single"/>
          <w:lang w:val="en-US" w:eastAsia="zh-CN"/>
        </w:rPr>
        <w:t>1.01</w:t>
      </w:r>
      <w:r>
        <w:rPr>
          <w:rFonts w:hint="default" w:ascii="Times New Roman" w:hAnsi="Times New Roman" w:eastAsia="仿宋_GB2312" w:cs="Times New Roman"/>
          <w:color w:val="000000"/>
          <w:spacing w:val="0"/>
          <w:sz w:val="32"/>
          <w:szCs w:val="32"/>
          <w:highlight w:val="none"/>
          <w:u w:val="single"/>
        </w:rPr>
        <w:t xml:space="preserve">  </w:t>
      </w:r>
      <w:r>
        <w:rPr>
          <w:rFonts w:hint="default" w:ascii="Times New Roman" w:hAnsi="Times New Roman" w:eastAsia="仿宋_GB2312" w:cs="Times New Roman"/>
          <w:color w:val="000000"/>
          <w:spacing w:val="0"/>
          <w:sz w:val="32"/>
          <w:szCs w:val="32"/>
          <w:highlight w:val="none"/>
        </w:rPr>
        <w:t>万元，</w:t>
      </w:r>
      <w:r>
        <w:rPr>
          <w:rFonts w:hint="default" w:ascii="Times New Roman" w:hAnsi="Times New Roman" w:eastAsia="仿宋_GB2312" w:cs="Times New Roman"/>
          <w:color w:val="000000"/>
          <w:spacing w:val="0"/>
          <w:sz w:val="32"/>
          <w:szCs w:val="32"/>
          <w:highlight w:val="none"/>
          <w:lang w:eastAsia="zh-CN"/>
        </w:rPr>
        <w:t>完成</w:t>
      </w:r>
      <w:r>
        <w:rPr>
          <w:rFonts w:hint="default" w:ascii="Times New Roman" w:hAnsi="Times New Roman" w:cs="Times New Roman"/>
          <w:spacing w:val="0"/>
          <w:sz w:val="32"/>
          <w:highlight w:val="none"/>
          <w:lang w:val="en-US" w:eastAsia="zh-CN"/>
        </w:rPr>
        <w:t>全年</w:t>
      </w:r>
      <w:r>
        <w:rPr>
          <w:rFonts w:hint="default" w:ascii="Times New Roman" w:hAnsi="Times New Roman" w:eastAsia="仿宋_GB2312" w:cs="Times New Roman"/>
          <w:color w:val="000000"/>
          <w:spacing w:val="0"/>
          <w:sz w:val="32"/>
          <w:szCs w:val="32"/>
          <w:highlight w:val="none"/>
        </w:rPr>
        <w:t>预算的</w:t>
      </w:r>
      <w:r>
        <w:rPr>
          <w:rFonts w:hint="default" w:ascii="Times New Roman" w:hAnsi="Times New Roman" w:eastAsia="仿宋_GB2312" w:cs="Times New Roman"/>
          <w:color w:val="000000"/>
          <w:spacing w:val="0"/>
          <w:sz w:val="32"/>
          <w:szCs w:val="32"/>
          <w:highlight w:val="none"/>
          <w:u w:val="single"/>
        </w:rPr>
        <w:t xml:space="preserve">  </w:t>
      </w:r>
      <w:r>
        <w:rPr>
          <w:rFonts w:hint="eastAsia" w:cs="Times New Roman"/>
          <w:color w:val="000000"/>
          <w:spacing w:val="0"/>
          <w:sz w:val="32"/>
          <w:szCs w:val="32"/>
          <w:highlight w:val="none"/>
          <w:u w:val="single"/>
          <w:lang w:val="en-US" w:eastAsia="zh-CN"/>
        </w:rPr>
        <w:t>100</w:t>
      </w:r>
      <w:r>
        <w:rPr>
          <w:rFonts w:hint="default" w:ascii="Times New Roman" w:hAnsi="Times New Roman" w:eastAsia="仿宋_GB2312" w:cs="Times New Roman"/>
          <w:color w:val="000000"/>
          <w:spacing w:val="0"/>
          <w:sz w:val="32"/>
          <w:szCs w:val="32"/>
          <w:highlight w:val="none"/>
          <w:u w:val="single"/>
        </w:rPr>
        <w:t xml:space="preserve">  </w:t>
      </w:r>
      <w:r>
        <w:rPr>
          <w:rFonts w:hint="default" w:ascii="Times New Roman" w:hAnsi="Times New Roman" w:eastAsia="仿宋_GB2312" w:cs="Times New Roman"/>
          <w:color w:val="000000"/>
          <w:spacing w:val="0"/>
          <w:sz w:val="32"/>
          <w:szCs w:val="32"/>
          <w:highlight w:val="none"/>
        </w:rPr>
        <w:t>%</w:t>
      </w:r>
      <w:r>
        <w:rPr>
          <w:rFonts w:hint="default" w:ascii="Times New Roman" w:hAnsi="Times New Roman" w:cs="Times New Roman"/>
          <w:color w:val="000000"/>
          <w:spacing w:val="0"/>
          <w:sz w:val="32"/>
          <w:szCs w:val="32"/>
          <w:highlight w:val="none"/>
          <w:lang w:eastAsia="zh-CN"/>
        </w:rPr>
        <w:t>，</w:t>
      </w:r>
      <w:r>
        <w:rPr>
          <w:rFonts w:hint="default" w:ascii="Times New Roman" w:hAnsi="Times New Roman" w:cs="Times New Roman"/>
          <w:spacing w:val="0"/>
          <w:sz w:val="32"/>
          <w:highlight w:val="none"/>
          <w:lang w:val="en-US" w:eastAsia="zh-CN"/>
        </w:rPr>
        <w:t>较上年增加</w:t>
      </w:r>
      <w:r>
        <w:rPr>
          <w:rFonts w:hint="default" w:ascii="Times New Roman" w:hAnsi="Times New Roman"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0.26</w:t>
      </w:r>
      <w:r>
        <w:rPr>
          <w:rFonts w:hint="default" w:ascii="Times New Roman" w:hAnsi="Times New Roman" w:cs="Times New Roman"/>
          <w:spacing w:val="0"/>
          <w:sz w:val="32"/>
          <w:highlight w:val="none"/>
          <w:u w:val="single"/>
          <w:lang w:val="en-US" w:eastAsia="zh-CN"/>
        </w:rPr>
        <w:t xml:space="preserve"> </w:t>
      </w:r>
      <w:r>
        <w:rPr>
          <w:rFonts w:hint="default" w:ascii="Times New Roman" w:hAnsi="Times New Roman" w:cs="Times New Roman"/>
          <w:spacing w:val="0"/>
          <w:sz w:val="32"/>
          <w:highlight w:val="none"/>
          <w:u w:val="none"/>
          <w:lang w:val="en-US" w:eastAsia="zh-CN"/>
        </w:rPr>
        <w:t>万元，增长</w:t>
      </w:r>
      <w:r>
        <w:rPr>
          <w:rFonts w:hint="default" w:ascii="Times New Roman" w:hAnsi="Times New Roman" w:cs="Times New Roman"/>
          <w:spacing w:val="0"/>
          <w:sz w:val="32"/>
          <w:highlight w:val="none"/>
          <w:u w:val="single"/>
          <w:lang w:val="en-US" w:eastAsia="zh-CN"/>
        </w:rPr>
        <w:t xml:space="preserve">  </w:t>
      </w:r>
      <w:r>
        <w:rPr>
          <w:rFonts w:hint="eastAsia" w:cs="Times New Roman"/>
          <w:spacing w:val="0"/>
          <w:sz w:val="32"/>
          <w:highlight w:val="none"/>
          <w:u w:val="single"/>
          <w:lang w:val="en-US" w:eastAsia="zh-CN"/>
        </w:rPr>
        <w:t>34.67</w:t>
      </w:r>
      <w:r>
        <w:rPr>
          <w:rFonts w:hint="eastAsia" w:ascii="Times New Roman" w:hAnsi="Times New Roman" w:cs="Times New Roman"/>
          <w:spacing w:val="0"/>
          <w:sz w:val="32"/>
          <w:highlight w:val="none"/>
          <w:u w:val="single"/>
          <w:lang w:val="en-US" w:eastAsia="zh-CN"/>
        </w:rPr>
        <w:t xml:space="preserve"> </w:t>
      </w:r>
      <w:r>
        <w:rPr>
          <w:rFonts w:hint="default" w:ascii="Times New Roman" w:hAnsi="Times New Roman" w:cs="Times New Roman"/>
          <w:spacing w:val="0"/>
          <w:sz w:val="32"/>
          <w:highlight w:val="none"/>
          <w:u w:val="single"/>
          <w:lang w:val="en-US" w:eastAsia="zh-CN"/>
        </w:rPr>
        <w:t xml:space="preserve"> </w:t>
      </w:r>
      <w:r>
        <w:rPr>
          <w:rFonts w:hint="default" w:ascii="Times New Roman" w:hAnsi="Times New Roman" w:cs="Times New Roman"/>
          <w:spacing w:val="0"/>
          <w:sz w:val="32"/>
          <w:highlight w:val="none"/>
          <w:u w:val="none"/>
          <w:lang w:val="en-US" w:eastAsia="zh-CN"/>
        </w:rPr>
        <w:t>%。</w:t>
      </w:r>
      <w:r>
        <w:rPr>
          <w:rFonts w:hint="default" w:ascii="Times New Roman" w:hAnsi="Times New Roman" w:eastAsia="仿宋_GB2312" w:cs="Times New Roman"/>
          <w:spacing w:val="0"/>
          <w:sz w:val="32"/>
          <w:highlight w:val="none"/>
          <w:lang w:val="en-US" w:eastAsia="zh-CN"/>
        </w:rPr>
        <w:t>决算数</w:t>
      </w:r>
      <w:r>
        <w:rPr>
          <w:rFonts w:hint="eastAsia" w:cs="Times New Roman"/>
          <w:spacing w:val="0"/>
          <w:sz w:val="32"/>
          <w:highlight w:val="none"/>
          <w:lang w:val="en-US" w:eastAsia="zh-CN"/>
        </w:rPr>
        <w:t>与</w:t>
      </w:r>
      <w:r>
        <w:rPr>
          <w:rFonts w:hint="default" w:ascii="Times New Roman" w:hAnsi="Times New Roman" w:cs="Times New Roman"/>
          <w:spacing w:val="0"/>
          <w:sz w:val="32"/>
          <w:highlight w:val="none"/>
          <w:lang w:val="en-US" w:eastAsia="zh-CN"/>
        </w:rPr>
        <w:t>全年</w:t>
      </w:r>
      <w:r>
        <w:rPr>
          <w:rFonts w:hint="default" w:ascii="Times New Roman" w:hAnsi="Times New Roman" w:eastAsia="仿宋_GB2312" w:cs="Times New Roman"/>
          <w:spacing w:val="0"/>
          <w:sz w:val="32"/>
          <w:highlight w:val="none"/>
          <w:lang w:val="en-US" w:eastAsia="zh-CN"/>
        </w:rPr>
        <w:t>预算数</w:t>
      </w:r>
      <w:r>
        <w:rPr>
          <w:rFonts w:hint="eastAsia" w:cs="Times New Roman"/>
          <w:spacing w:val="0"/>
          <w:sz w:val="32"/>
          <w:highlight w:val="none"/>
          <w:lang w:val="en-US" w:eastAsia="zh-CN"/>
        </w:rPr>
        <w:t>一致</w:t>
      </w:r>
      <w:r>
        <w:rPr>
          <w:rFonts w:hint="default" w:ascii="Times New Roman" w:hAnsi="Times New Roman" w:eastAsia="仿宋_GB2312" w:cs="Times New Roman"/>
          <w:spacing w:val="0"/>
          <w:sz w:val="32"/>
          <w:highlight w:val="none"/>
          <w:lang w:val="en-US" w:eastAsia="zh-CN"/>
        </w:rPr>
        <w:t>的主要原因：</w:t>
      </w:r>
      <w:r>
        <w:rPr>
          <w:rFonts w:hint="eastAsia" w:ascii="仿宋_GB2312" w:hAnsi="仿宋_GB2312" w:cs="仿宋_GB2312"/>
          <w:highlight w:val="none"/>
        </w:rPr>
        <w:t>严格按照预算执行</w:t>
      </w:r>
      <w:r>
        <w:rPr>
          <w:rFonts w:hint="default" w:ascii="Times New Roman" w:hAnsi="Times New Roman" w:cs="Times New Roman"/>
          <w:spacing w:val="0"/>
          <w:sz w:val="32"/>
          <w:highlight w:val="none"/>
          <w:lang w:val="en-US" w:eastAsia="zh-CN"/>
        </w:rPr>
        <w:t>。</w:t>
      </w:r>
      <w:r>
        <w:rPr>
          <w:rFonts w:hint="default" w:ascii="Times New Roman" w:hAnsi="Times New Roman" w:eastAsia="仿宋_GB2312" w:cs="Times New Roman"/>
          <w:color w:val="000000"/>
          <w:spacing w:val="0"/>
          <w:sz w:val="32"/>
          <w:szCs w:val="32"/>
          <w:highlight w:val="none"/>
          <w:lang w:val="en-US" w:eastAsia="zh-CN"/>
        </w:rPr>
        <w:t>其中：</w:t>
      </w:r>
    </w:p>
    <w:p w14:paraId="6AD739A0">
      <w:pPr>
        <w:adjustRightInd w:val="0"/>
        <w:snapToGrid w:val="0"/>
        <w:spacing w:line="360" w:lineRule="auto"/>
        <w:ind w:firstLine="640" w:firstLineChars="200"/>
        <w:rPr>
          <w:rFonts w:hint="eastAsia" w:ascii="仿宋_GB2312"/>
          <w:color w:val="000000"/>
          <w:szCs w:val="32"/>
          <w:highlight w:val="none"/>
        </w:rPr>
      </w:pPr>
      <w:r>
        <w:rPr>
          <w:rFonts w:hint="eastAsia" w:ascii="仿宋_GB2312"/>
          <w:color w:val="000000"/>
          <w:szCs w:val="32"/>
          <w:highlight w:val="none"/>
        </w:rPr>
        <w:t>外宾接待支出</w:t>
      </w:r>
      <w:r>
        <w:rPr>
          <w:rFonts w:hint="eastAsia" w:ascii="仿宋_GB2312"/>
          <w:color w:val="000000"/>
          <w:szCs w:val="32"/>
          <w:highlight w:val="none"/>
          <w:u w:val="single"/>
        </w:rPr>
        <w:t xml:space="preserve"> 0 </w:t>
      </w:r>
      <w:r>
        <w:rPr>
          <w:rFonts w:hint="eastAsia" w:ascii="仿宋_GB2312"/>
          <w:color w:val="000000"/>
          <w:szCs w:val="32"/>
          <w:highlight w:val="none"/>
        </w:rPr>
        <w:t>万元，主要是无开展工作。2023年共接待来访团组</w:t>
      </w:r>
      <w:r>
        <w:rPr>
          <w:rFonts w:hint="eastAsia" w:ascii="仿宋_GB2312"/>
          <w:color w:val="000000"/>
          <w:szCs w:val="32"/>
          <w:highlight w:val="none"/>
          <w:u w:val="single"/>
        </w:rPr>
        <w:t xml:space="preserve"> 0 </w:t>
      </w:r>
      <w:r>
        <w:rPr>
          <w:rFonts w:hint="eastAsia" w:ascii="仿宋_GB2312"/>
          <w:color w:val="000000"/>
          <w:szCs w:val="32"/>
          <w:highlight w:val="none"/>
        </w:rPr>
        <w:t>个，</w:t>
      </w:r>
      <w:r>
        <w:rPr>
          <w:rFonts w:hint="eastAsia" w:ascii="仿宋_GB2312"/>
          <w:color w:val="000000"/>
          <w:szCs w:val="32"/>
          <w:highlight w:val="none"/>
          <w:u w:val="single"/>
        </w:rPr>
        <w:t xml:space="preserve"> 0 </w:t>
      </w:r>
      <w:r>
        <w:rPr>
          <w:rFonts w:hint="eastAsia" w:ascii="仿宋_GB2312"/>
          <w:color w:val="000000"/>
          <w:szCs w:val="32"/>
          <w:highlight w:val="none"/>
        </w:rPr>
        <w:t>人次（不包括陪同人员）。来访对象主要是无。</w:t>
      </w:r>
    </w:p>
    <w:p w14:paraId="5A48904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none"/>
          <w:u w:val="none"/>
          <w:lang w:val="en-US" w:eastAsia="zh-CN"/>
        </w:rPr>
      </w:pPr>
      <w:r>
        <w:rPr>
          <w:rFonts w:hint="default" w:ascii="Times New Roman" w:hAnsi="Times New Roman" w:eastAsia="仿宋_GB2312" w:cs="Times New Roman"/>
          <w:color w:val="auto"/>
          <w:spacing w:val="0"/>
          <w:sz w:val="32"/>
          <w:szCs w:val="32"/>
          <w:highlight w:val="none"/>
          <w:u w:val="none"/>
          <w:lang w:val="en-US" w:eastAsia="zh-CN"/>
        </w:rPr>
        <w:t>国内公务接待支出</w:t>
      </w:r>
      <w:r>
        <w:rPr>
          <w:rFonts w:hint="default" w:ascii="Times New Roman" w:hAnsi="Times New Roman" w:eastAsia="仿宋_GB2312" w:cs="Times New Roman"/>
          <w:color w:val="auto"/>
          <w:spacing w:val="0"/>
          <w:sz w:val="32"/>
          <w:szCs w:val="32"/>
          <w:highlight w:val="none"/>
          <w:u w:val="single"/>
          <w:lang w:val="en-US" w:eastAsia="zh-CN"/>
        </w:rPr>
        <w:t xml:space="preserve">  </w:t>
      </w:r>
      <w:r>
        <w:rPr>
          <w:rFonts w:hint="eastAsia" w:cs="Times New Roman"/>
          <w:color w:val="auto"/>
          <w:spacing w:val="0"/>
          <w:sz w:val="32"/>
          <w:szCs w:val="32"/>
          <w:highlight w:val="none"/>
          <w:u w:val="single"/>
          <w:lang w:val="en-US" w:eastAsia="zh-CN"/>
        </w:rPr>
        <w:t>1.01</w:t>
      </w:r>
      <w:r>
        <w:rPr>
          <w:rFonts w:hint="default" w:ascii="Times New Roman" w:hAnsi="Times New Roman" w:eastAsia="仿宋_GB2312" w:cs="Times New Roman"/>
          <w:color w:val="auto"/>
          <w:spacing w:val="0"/>
          <w:sz w:val="32"/>
          <w:szCs w:val="32"/>
          <w:highlight w:val="none"/>
          <w:u w:val="single"/>
          <w:lang w:val="en-US" w:eastAsia="zh-CN"/>
        </w:rPr>
        <w:t xml:space="preserve">  </w:t>
      </w:r>
      <w:r>
        <w:rPr>
          <w:rFonts w:hint="default" w:ascii="Times New Roman" w:hAnsi="Times New Roman" w:eastAsia="仿宋_GB2312" w:cs="Times New Roman"/>
          <w:color w:val="auto"/>
          <w:spacing w:val="0"/>
          <w:sz w:val="32"/>
          <w:szCs w:val="32"/>
          <w:highlight w:val="none"/>
          <w:u w:val="none"/>
          <w:lang w:val="en-US" w:eastAsia="zh-CN"/>
        </w:rPr>
        <w:t>万元，接待对象主要是</w:t>
      </w:r>
      <w:r>
        <w:rPr>
          <w:rFonts w:hint="eastAsia" w:ascii="Times New Roman" w:hAnsi="Times New Roman" w:eastAsia="仿宋_GB2312" w:cs="Times New Roman"/>
          <w:color w:val="auto"/>
          <w:spacing w:val="0"/>
          <w:sz w:val="32"/>
          <w:szCs w:val="32"/>
          <w:highlight w:val="none"/>
          <w:u w:val="none"/>
          <w:lang w:val="en-US" w:eastAsia="zh-CN"/>
        </w:rPr>
        <w:t>上级团组织、省内高校等</w:t>
      </w:r>
      <w:r>
        <w:rPr>
          <w:rFonts w:hint="default" w:ascii="Times New Roman" w:hAnsi="Times New Roman" w:eastAsia="仿宋_GB2312" w:cs="Times New Roman"/>
          <w:color w:val="auto"/>
          <w:spacing w:val="0"/>
          <w:sz w:val="32"/>
          <w:szCs w:val="32"/>
          <w:highlight w:val="none"/>
          <w:u w:val="none"/>
          <w:lang w:val="en-US" w:eastAsia="zh-CN"/>
        </w:rPr>
        <w:t>，主要是开展</w:t>
      </w:r>
      <w:r>
        <w:rPr>
          <w:rFonts w:hint="eastAsia" w:ascii="Times New Roman" w:hAnsi="Times New Roman" w:eastAsia="仿宋_GB2312" w:cs="Times New Roman"/>
          <w:color w:val="auto"/>
          <w:spacing w:val="0"/>
          <w:sz w:val="32"/>
          <w:szCs w:val="32"/>
          <w:highlight w:val="none"/>
          <w:u w:val="none"/>
          <w:lang w:val="en-US" w:eastAsia="zh-CN"/>
        </w:rPr>
        <w:t>工作</w:t>
      </w:r>
      <w:r>
        <w:rPr>
          <w:rFonts w:hint="default" w:ascii="Times New Roman" w:hAnsi="Times New Roman" w:eastAsia="仿宋_GB2312" w:cs="Times New Roman"/>
          <w:color w:val="auto"/>
          <w:spacing w:val="0"/>
          <w:sz w:val="32"/>
          <w:szCs w:val="32"/>
          <w:highlight w:val="none"/>
          <w:u w:val="none"/>
          <w:lang w:val="en-US" w:eastAsia="zh-CN"/>
        </w:rPr>
        <w:t>调研。</w:t>
      </w:r>
      <w:r>
        <w:rPr>
          <w:rFonts w:hint="default" w:ascii="Times New Roman" w:hAnsi="Times New Roman" w:cs="Times New Roman"/>
          <w:color w:val="auto"/>
          <w:spacing w:val="0"/>
          <w:sz w:val="32"/>
          <w:szCs w:val="32"/>
          <w:highlight w:val="none"/>
          <w:u w:val="none"/>
          <w:lang w:val="en-US" w:eastAsia="zh-CN"/>
        </w:rPr>
        <w:t>2023年</w:t>
      </w:r>
      <w:r>
        <w:rPr>
          <w:rFonts w:hint="default" w:ascii="Times New Roman" w:hAnsi="Times New Roman" w:eastAsia="仿宋_GB2312" w:cs="Times New Roman"/>
          <w:color w:val="auto"/>
          <w:spacing w:val="0"/>
          <w:sz w:val="32"/>
          <w:szCs w:val="32"/>
          <w:highlight w:val="none"/>
          <w:u w:val="none"/>
          <w:lang w:val="en-US" w:eastAsia="zh-CN"/>
        </w:rPr>
        <w:t>共接待国内来访团组</w:t>
      </w:r>
      <w:r>
        <w:rPr>
          <w:rFonts w:hint="default" w:ascii="Times New Roman" w:hAnsi="Times New Roman" w:eastAsia="仿宋_GB2312" w:cs="Times New Roman"/>
          <w:color w:val="auto"/>
          <w:spacing w:val="0"/>
          <w:sz w:val="32"/>
          <w:szCs w:val="32"/>
          <w:highlight w:val="none"/>
          <w:u w:val="single"/>
          <w:lang w:val="en-US" w:eastAsia="zh-CN"/>
        </w:rPr>
        <w:t xml:space="preserve">  </w:t>
      </w:r>
      <w:r>
        <w:rPr>
          <w:rFonts w:hint="eastAsia" w:cs="Times New Roman"/>
          <w:color w:val="auto"/>
          <w:spacing w:val="0"/>
          <w:sz w:val="32"/>
          <w:szCs w:val="32"/>
          <w:highlight w:val="none"/>
          <w:u w:val="single"/>
          <w:lang w:val="en-US" w:eastAsia="zh-CN"/>
        </w:rPr>
        <w:t>15</w:t>
      </w:r>
      <w:r>
        <w:rPr>
          <w:rFonts w:hint="default" w:ascii="Times New Roman" w:hAnsi="Times New Roman" w:eastAsia="仿宋_GB2312" w:cs="Times New Roman"/>
          <w:color w:val="auto"/>
          <w:spacing w:val="0"/>
          <w:sz w:val="32"/>
          <w:szCs w:val="32"/>
          <w:highlight w:val="none"/>
          <w:u w:val="single"/>
          <w:lang w:val="en-US" w:eastAsia="zh-CN"/>
        </w:rPr>
        <w:t xml:space="preserve">  </w:t>
      </w:r>
      <w:r>
        <w:rPr>
          <w:rFonts w:hint="default" w:ascii="Times New Roman" w:hAnsi="Times New Roman" w:eastAsia="仿宋_GB2312" w:cs="Times New Roman"/>
          <w:color w:val="auto"/>
          <w:spacing w:val="0"/>
          <w:sz w:val="32"/>
          <w:szCs w:val="32"/>
          <w:highlight w:val="none"/>
          <w:u w:val="none"/>
          <w:lang w:val="en-US" w:eastAsia="zh-CN"/>
        </w:rPr>
        <w:t>个</w:t>
      </w:r>
      <w:r>
        <w:rPr>
          <w:rFonts w:hint="default" w:ascii="Times New Roman" w:hAnsi="Times New Roman" w:cs="Times New Roman"/>
          <w:color w:val="auto"/>
          <w:spacing w:val="0"/>
          <w:sz w:val="32"/>
          <w:szCs w:val="32"/>
          <w:highlight w:val="none"/>
          <w:u w:val="none"/>
          <w:lang w:val="en-US" w:eastAsia="zh-CN"/>
        </w:rPr>
        <w:t>，</w:t>
      </w:r>
      <w:r>
        <w:rPr>
          <w:rFonts w:hint="eastAsia" w:ascii="Times New Roman" w:hAnsi="Times New Roman" w:eastAsia="仿宋_GB2312" w:cs="Times New Roman"/>
          <w:color w:val="auto"/>
          <w:spacing w:val="0"/>
          <w:sz w:val="32"/>
          <w:szCs w:val="32"/>
          <w:highlight w:val="none"/>
          <w:u w:val="single"/>
          <w:lang w:val="en-US" w:eastAsia="zh-CN"/>
        </w:rPr>
        <w:t>135</w:t>
      </w:r>
      <w:r>
        <w:rPr>
          <w:rFonts w:hint="default" w:ascii="Times New Roman" w:hAnsi="Times New Roman" w:eastAsia="仿宋_GB2312" w:cs="Times New Roman"/>
          <w:color w:val="auto"/>
          <w:spacing w:val="0"/>
          <w:sz w:val="32"/>
          <w:szCs w:val="32"/>
          <w:highlight w:val="none"/>
          <w:u w:val="none"/>
          <w:lang w:val="en-US" w:eastAsia="zh-CN"/>
        </w:rPr>
        <w:t>人次（不包括陪同人员）。</w:t>
      </w:r>
    </w:p>
    <w:p w14:paraId="4A2E90D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十、机关运行经费支出说明</w:t>
      </w:r>
    </w:p>
    <w:p w14:paraId="3767619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lang w:eastAsia="zh-CN"/>
        </w:rPr>
      </w:pPr>
      <w:r>
        <w:rPr>
          <w:rFonts w:hint="default" w:ascii="Times New Roman" w:hAnsi="Times New Roman" w:eastAsia="仿宋_GB2312" w:cs="Times New Roman"/>
          <w:spacing w:val="0"/>
          <w:sz w:val="32"/>
          <w:szCs w:val="32"/>
          <w:highlight w:val="none"/>
          <w:lang w:eastAsia="zh-CN"/>
        </w:rPr>
        <w:t>本部门 2023年度机关运行经费支出</w:t>
      </w:r>
      <w:r>
        <w:rPr>
          <w:rFonts w:hint="eastAsia" w:cs="Times New Roman"/>
          <w:spacing w:val="0"/>
          <w:sz w:val="32"/>
          <w:szCs w:val="32"/>
          <w:highlight w:val="none"/>
          <w:lang w:val="en-US" w:eastAsia="zh-CN"/>
        </w:rPr>
        <w:t>12.18</w:t>
      </w:r>
      <w:r>
        <w:rPr>
          <w:rFonts w:hint="default" w:ascii="Times New Roman" w:hAnsi="Times New Roman" w:eastAsia="仿宋_GB2312" w:cs="Times New Roman"/>
          <w:spacing w:val="0"/>
          <w:sz w:val="32"/>
          <w:szCs w:val="32"/>
          <w:highlight w:val="none"/>
          <w:lang w:eastAsia="zh-CN"/>
        </w:rPr>
        <w:t>万元（与部门决算中行政单位和参照公务员法管理事业单位财政拨款基本支出中公用经费之和一致），比上年决算数</w:t>
      </w:r>
      <w:r>
        <w:rPr>
          <w:rFonts w:hint="eastAsia" w:cs="Times New Roman"/>
          <w:spacing w:val="0"/>
          <w:sz w:val="32"/>
          <w:szCs w:val="32"/>
          <w:highlight w:val="none"/>
          <w:lang w:eastAsia="zh-CN"/>
        </w:rPr>
        <w:t>减少</w:t>
      </w:r>
      <w:r>
        <w:rPr>
          <w:rFonts w:hint="eastAsia" w:cs="Times New Roman"/>
          <w:spacing w:val="0"/>
          <w:sz w:val="32"/>
          <w:szCs w:val="32"/>
          <w:highlight w:val="none"/>
          <w:lang w:val="en-US" w:eastAsia="zh-CN"/>
        </w:rPr>
        <w:t>5.16</w:t>
      </w:r>
      <w:r>
        <w:rPr>
          <w:rFonts w:hint="default" w:ascii="Times New Roman" w:hAnsi="Times New Roman" w:eastAsia="仿宋_GB2312" w:cs="Times New Roman"/>
          <w:spacing w:val="0"/>
          <w:sz w:val="32"/>
          <w:szCs w:val="32"/>
          <w:highlight w:val="none"/>
          <w:lang w:eastAsia="zh-CN"/>
        </w:rPr>
        <w:t>万元，</w:t>
      </w:r>
      <w:r>
        <w:rPr>
          <w:rFonts w:hint="eastAsia" w:cs="Times New Roman"/>
          <w:spacing w:val="0"/>
          <w:sz w:val="32"/>
          <w:szCs w:val="32"/>
          <w:highlight w:val="none"/>
          <w:lang w:eastAsia="zh-CN"/>
        </w:rPr>
        <w:t>下降</w:t>
      </w:r>
      <w:r>
        <w:rPr>
          <w:rFonts w:hint="eastAsia" w:cs="Times New Roman"/>
          <w:spacing w:val="0"/>
          <w:sz w:val="32"/>
          <w:szCs w:val="32"/>
          <w:highlight w:val="none"/>
          <w:lang w:val="en-US" w:eastAsia="zh-CN"/>
        </w:rPr>
        <w:t>29.76</w:t>
      </w:r>
      <w:r>
        <w:rPr>
          <w:rFonts w:hint="default" w:ascii="Times New Roman" w:hAnsi="Times New Roman" w:eastAsia="仿宋_GB2312" w:cs="Times New Roman"/>
          <w:spacing w:val="0"/>
          <w:sz w:val="32"/>
          <w:szCs w:val="32"/>
          <w:highlight w:val="none"/>
          <w:lang w:eastAsia="zh-CN"/>
        </w:rPr>
        <w:t>%。主要原因是：为压缩一般性支出导致费用减少。</w:t>
      </w:r>
    </w:p>
    <w:p w14:paraId="1C8A554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十一、政府采购支出说明</w:t>
      </w:r>
    </w:p>
    <w:p w14:paraId="38DF94D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本部门 2023年度政府采购支出总额0万元，其中：政府采购货物支出 0 万元、政府采购工程支出 0 万元、政府采购服务支出 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本单位当年无政府采购支出。</w:t>
      </w:r>
    </w:p>
    <w:p w14:paraId="263BF62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十二、国有资产占用情况说明</w:t>
      </w:r>
    </w:p>
    <w:p w14:paraId="4EE15D5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spacing w:val="0"/>
          <w:sz w:val="32"/>
          <w:highlight w:val="none"/>
          <w:lang w:val="en-US" w:eastAsia="zh-CN"/>
        </w:rPr>
      </w:pPr>
      <w:r>
        <w:rPr>
          <w:rFonts w:hint="default" w:ascii="Times New Roman" w:hAnsi="Times New Roman" w:eastAsia="仿宋_GB2312" w:cs="Times New Roman"/>
          <w:spacing w:val="0"/>
          <w:sz w:val="32"/>
          <w:szCs w:val="32"/>
          <w:highlight w:val="none"/>
        </w:rPr>
        <w:t>截至2023年 12月31日，部门共有车辆</w:t>
      </w:r>
      <w:r>
        <w:rPr>
          <w:rFonts w:hint="eastAsia" w:cs="Times New Roman"/>
          <w:spacing w:val="0"/>
          <w:sz w:val="32"/>
          <w:szCs w:val="32"/>
          <w:highlight w:val="none"/>
          <w:lang w:val="en-US" w:eastAsia="zh-CN"/>
        </w:rPr>
        <w:t>1</w:t>
      </w:r>
      <w:r>
        <w:rPr>
          <w:rFonts w:hint="default" w:ascii="Times New Roman" w:hAnsi="Times New Roman" w:eastAsia="仿宋_GB2312" w:cs="Times New Roman"/>
          <w:spacing w:val="0"/>
          <w:sz w:val="32"/>
          <w:szCs w:val="32"/>
          <w:highlight w:val="none"/>
        </w:rPr>
        <w:t>辆，其中，副区级及以上领导干部用车 0 辆、主要负责人用车0 辆、机要通信用车</w:t>
      </w:r>
      <w:r>
        <w:rPr>
          <w:rFonts w:hint="eastAsia" w:cs="Times New Roman"/>
          <w:spacing w:val="0"/>
          <w:sz w:val="32"/>
          <w:szCs w:val="32"/>
          <w:highlight w:val="none"/>
          <w:lang w:val="en-US" w:eastAsia="zh-CN"/>
        </w:rPr>
        <w:t>1</w:t>
      </w:r>
      <w:r>
        <w:rPr>
          <w:rFonts w:hint="default" w:ascii="Times New Roman" w:hAnsi="Times New Roman" w:eastAsia="仿宋_GB2312" w:cs="Times New Roman"/>
          <w:spacing w:val="0"/>
          <w:sz w:val="32"/>
          <w:szCs w:val="32"/>
          <w:highlight w:val="none"/>
        </w:rPr>
        <w:t xml:space="preserve"> 辆、应急保障用车 0 辆、执法执勤用车 0 辆、特种专业技术用车 0辆、离退休干部服务用车 0辆、其他用车 0 辆，单位价值 100 万元以上专用设备 0 台。</w:t>
      </w:r>
    </w:p>
    <w:p w14:paraId="754AAF7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十三、预算绩效情况说明</w:t>
      </w:r>
    </w:p>
    <w:p w14:paraId="292ACA13">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eastAsia="zh-CN"/>
        </w:rPr>
      </w:pPr>
      <w:r>
        <w:rPr>
          <w:rFonts w:hint="eastAsia" w:ascii="Times New Roman" w:hAnsi="Times New Roman" w:eastAsia="楷体_GB2312" w:cs="Times New Roman"/>
          <w:b/>
          <w:bCs/>
          <w:spacing w:val="0"/>
          <w:sz w:val="32"/>
          <w:highlight w:val="none"/>
          <w:lang w:val="en-US" w:eastAsia="zh-CN"/>
        </w:rPr>
        <w:t>（</w:t>
      </w:r>
      <w:r>
        <w:rPr>
          <w:rFonts w:hint="default" w:ascii="Times New Roman" w:hAnsi="Times New Roman" w:eastAsia="楷体_GB2312" w:cs="Times New Roman"/>
          <w:b/>
          <w:bCs/>
          <w:spacing w:val="0"/>
          <w:sz w:val="32"/>
          <w:highlight w:val="none"/>
          <w:lang w:val="en-US" w:eastAsia="zh-CN"/>
        </w:rPr>
        <w:t>一</w:t>
      </w:r>
      <w:r>
        <w:rPr>
          <w:rFonts w:hint="eastAsia" w:ascii="Times New Roman" w:hAnsi="Times New Roman" w:eastAsia="楷体_GB2312" w:cs="Times New Roman"/>
          <w:b/>
          <w:bCs/>
          <w:spacing w:val="0"/>
          <w:sz w:val="32"/>
          <w:highlight w:val="none"/>
          <w:lang w:val="en-US" w:eastAsia="zh-CN"/>
        </w:rPr>
        <w:t>）</w:t>
      </w:r>
      <w:r>
        <w:rPr>
          <w:rFonts w:hint="default" w:ascii="Times New Roman" w:hAnsi="Times New Roman" w:eastAsia="楷体_GB2312" w:cs="Times New Roman"/>
          <w:b/>
          <w:bCs/>
          <w:spacing w:val="0"/>
          <w:sz w:val="32"/>
          <w:highlight w:val="none"/>
        </w:rPr>
        <w:t>预算绩效管理工作开展情况</w:t>
      </w:r>
    </w:p>
    <w:p w14:paraId="1F65A69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cs="Times New Roman"/>
          <w:spacing w:val="0"/>
          <w:sz w:val="32"/>
          <w:highlight w:val="none"/>
        </w:rPr>
        <w:t>根据预算绩效</w:t>
      </w:r>
      <w:r>
        <w:rPr>
          <w:rFonts w:hint="default" w:ascii="Times New Roman" w:hAnsi="Times New Roman" w:eastAsia="仿宋_GB2312" w:cs="Times New Roman"/>
          <w:spacing w:val="0"/>
          <w:sz w:val="32"/>
          <w:szCs w:val="32"/>
          <w:highlight w:val="none"/>
        </w:rPr>
        <w:t>管理要求，本部门组织对202</w:t>
      </w:r>
      <w:r>
        <w:rPr>
          <w:rFonts w:hint="default" w:ascii="Times New Roman" w:hAnsi="Times New Roman"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年度一般公共预算项目支出全面开展绩效自评，共涉及项目</w:t>
      </w:r>
      <w:r>
        <w:rPr>
          <w:rFonts w:hint="eastAsia" w:cs="Times New Roman"/>
          <w:spacing w:val="0"/>
          <w:sz w:val="32"/>
          <w:szCs w:val="32"/>
          <w:highlight w:val="none"/>
          <w:lang w:val="en-US" w:eastAsia="zh-CN"/>
        </w:rPr>
        <w:t>2</w:t>
      </w:r>
      <w:r>
        <w:rPr>
          <w:rFonts w:hint="default" w:ascii="Times New Roman" w:hAnsi="Times New Roman" w:eastAsia="仿宋_GB2312" w:cs="Times New Roman"/>
          <w:spacing w:val="0"/>
          <w:sz w:val="32"/>
          <w:szCs w:val="32"/>
          <w:highlight w:val="none"/>
        </w:rPr>
        <w:t>个，资金</w:t>
      </w:r>
      <w:r>
        <w:rPr>
          <w:rFonts w:hint="eastAsia" w:cs="Times New Roman"/>
          <w:spacing w:val="0"/>
          <w:sz w:val="32"/>
          <w:szCs w:val="32"/>
          <w:highlight w:val="none"/>
          <w:lang w:val="en-US" w:eastAsia="zh-CN"/>
        </w:rPr>
        <w:t>98.5</w:t>
      </w:r>
      <w:r>
        <w:rPr>
          <w:rFonts w:hint="default" w:ascii="Times New Roman" w:hAnsi="Times New Roman" w:eastAsia="仿宋_GB2312" w:cs="Times New Roman"/>
          <w:spacing w:val="0"/>
          <w:sz w:val="32"/>
          <w:szCs w:val="32"/>
          <w:highlight w:val="none"/>
        </w:rPr>
        <w:t>万元，占一般公共预算项目支出总额的</w:t>
      </w:r>
      <w:r>
        <w:rPr>
          <w:rFonts w:hint="eastAsia" w:cs="Times New Roman"/>
          <w:spacing w:val="0"/>
          <w:sz w:val="32"/>
          <w:szCs w:val="32"/>
          <w:highlight w:val="none"/>
          <w:lang w:val="en-US" w:eastAsia="zh-CN"/>
        </w:rPr>
        <w:t>100</w:t>
      </w:r>
      <w:r>
        <w:rPr>
          <w:rFonts w:hint="default" w:ascii="Times New Roman" w:hAnsi="Times New Roman" w:eastAsia="仿宋_GB2312" w:cs="Times New Roman"/>
          <w:spacing w:val="0"/>
          <w:sz w:val="32"/>
          <w:szCs w:val="32"/>
          <w:highlight w:val="none"/>
        </w:rPr>
        <w:t>％。评价情况来看，项目经费管理规范，资金均按规定用途使用，绩效目标明确，各项目绩效目标基本完成，社会效益较好。资金使用规范，投入有保障，会计核算真实准确。</w:t>
      </w:r>
    </w:p>
    <w:p w14:paraId="1C09A9E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组织开展部门整体绩效评价，评价情况来看，支出预算管理情况良好，预算执行总额控制在年初预算批复额度内，绩效目标预算执行率为</w:t>
      </w:r>
      <w:r>
        <w:rPr>
          <w:rFonts w:hint="eastAsia" w:cs="Times New Roman"/>
          <w:spacing w:val="0"/>
          <w:sz w:val="32"/>
          <w:szCs w:val="32"/>
          <w:highlight w:val="none"/>
          <w:lang w:val="en-US" w:eastAsia="zh-CN"/>
        </w:rPr>
        <w:t>100</w:t>
      </w:r>
      <w:r>
        <w:rPr>
          <w:rFonts w:hint="default" w:ascii="Times New Roman" w:hAnsi="Times New Roman" w:eastAsia="仿宋_GB2312" w:cs="Times New Roman"/>
          <w:spacing w:val="0"/>
          <w:sz w:val="32"/>
          <w:szCs w:val="32"/>
          <w:highlight w:val="none"/>
        </w:rPr>
        <w:t>%，年度绩效目标完成情况良好。</w:t>
      </w:r>
    </w:p>
    <w:p w14:paraId="5D740DF2">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spacing w:val="0"/>
          <w:sz w:val="32"/>
          <w:szCs w:val="32"/>
          <w:highlight w:val="none"/>
        </w:rPr>
      </w:pPr>
    </w:p>
    <w:p w14:paraId="6C745BFA">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spacing w:val="0"/>
          <w:sz w:val="32"/>
          <w:szCs w:val="32"/>
          <w:highlight w:val="none"/>
        </w:rPr>
      </w:pPr>
    </w:p>
    <w:p w14:paraId="40CDDE62">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spacing w:val="0"/>
          <w:sz w:val="32"/>
          <w:szCs w:val="32"/>
          <w:highlight w:val="none"/>
        </w:rPr>
      </w:pPr>
    </w:p>
    <w:p w14:paraId="7F0D5A3C">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spacing w:val="0"/>
          <w:sz w:val="32"/>
          <w:szCs w:val="32"/>
          <w:highlight w:val="none"/>
        </w:rPr>
      </w:pPr>
      <w:r>
        <w:rPr>
          <w:rFonts w:hint="default" w:ascii="Times New Roman" w:hAnsi="Times New Roman" w:eastAsia="楷体_GB2312" w:cs="Times New Roman"/>
          <w:b/>
          <w:bCs/>
          <w:spacing w:val="0"/>
          <w:kern w:val="2"/>
          <w:sz w:val="32"/>
          <w:szCs w:val="22"/>
          <w:highlight w:val="none"/>
          <w:lang w:val="en-US" w:eastAsia="zh-CN" w:bidi="ar-SA"/>
        </w:rPr>
        <w:drawing>
          <wp:anchor distT="0" distB="0" distL="114300" distR="114300" simplePos="0" relativeHeight="251659264" behindDoc="0" locked="0" layoutInCell="1" allowOverlap="1">
            <wp:simplePos x="0" y="0"/>
            <wp:positionH relativeFrom="column">
              <wp:posOffset>33020</wp:posOffset>
            </wp:positionH>
            <wp:positionV relativeFrom="paragraph">
              <wp:posOffset>-198755</wp:posOffset>
            </wp:positionV>
            <wp:extent cx="5132705" cy="8484870"/>
            <wp:effectExtent l="0" t="0" r="3175" b="3810"/>
            <wp:wrapNone/>
            <wp:docPr id="15" name="图片 15" descr="07d2c428d72a7ee9195baa4e43eec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7d2c428d72a7ee9195baa4e43eec5c"/>
                    <pic:cNvPicPr>
                      <a:picLocks noChangeAspect="1"/>
                    </pic:cNvPicPr>
                  </pic:nvPicPr>
                  <pic:blipFill>
                    <a:blip r:embed="rId18"/>
                    <a:stretch>
                      <a:fillRect/>
                    </a:stretch>
                  </pic:blipFill>
                  <pic:spPr>
                    <a:xfrm>
                      <a:off x="0" y="0"/>
                      <a:ext cx="5132705" cy="8484870"/>
                    </a:xfrm>
                    <a:prstGeom prst="rect">
                      <a:avLst/>
                    </a:prstGeom>
                  </pic:spPr>
                </pic:pic>
              </a:graphicData>
            </a:graphic>
          </wp:anchor>
        </w:drawing>
      </w:r>
    </w:p>
    <w:p w14:paraId="79C896E2">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spacing w:val="0"/>
          <w:sz w:val="32"/>
          <w:szCs w:val="32"/>
          <w:highlight w:val="none"/>
          <w:lang w:eastAsia="zh-CN"/>
        </w:rPr>
      </w:pPr>
    </w:p>
    <w:p w14:paraId="4EE9A86F">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jc w:val="left"/>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B4320BB">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2FA4F9E8">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AC9DB24">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73D103A4">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43273F9C">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41179A45">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03EF74AF">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2E02619">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7399ABD">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AA75715">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472F02FD">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709E592A">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62760B85">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4482392A">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3F01C446">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7E949EEB">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kern w:val="2"/>
          <w:sz w:val="32"/>
          <w:szCs w:val="22"/>
          <w:highlight w:val="none"/>
          <w:lang w:val="en-US" w:eastAsia="zh-CN" w:bidi="ar-SA"/>
        </w:rPr>
      </w:pPr>
    </w:p>
    <w:p w14:paraId="0073C836">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spacing w:val="0"/>
          <w:sz w:val="32"/>
          <w:szCs w:val="32"/>
          <w:highlight w:val="none"/>
          <w:lang w:eastAsia="zh-CN"/>
        </w:rPr>
      </w:pPr>
      <w:r>
        <w:rPr>
          <w:rFonts w:hint="default" w:ascii="Times New Roman" w:hAnsi="Times New Roman" w:eastAsia="楷体_GB2312" w:cs="Times New Roman"/>
          <w:b/>
          <w:bCs/>
          <w:spacing w:val="0"/>
          <w:kern w:val="2"/>
          <w:sz w:val="32"/>
          <w:szCs w:val="22"/>
          <w:highlight w:val="none"/>
          <w:lang w:val="en-US" w:eastAsia="zh-CN" w:bidi="ar-SA"/>
        </w:rPr>
        <w:t>（二）部门决算中项目绩效自评结果</w:t>
      </w:r>
    </w:p>
    <w:p w14:paraId="39C67AC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本部门今年在部门决算中反映所有项目绩效自评结果（涉密项目除外）。</w:t>
      </w:r>
    </w:p>
    <w:p w14:paraId="12F674F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spacing w:val="0"/>
          <w:sz w:val="32"/>
          <w:szCs w:val="32"/>
          <w:highlight w:val="none"/>
          <w:lang w:eastAsia="zh-CN"/>
        </w:rPr>
      </w:pPr>
      <w:r>
        <w:rPr>
          <w:rFonts w:hint="default" w:ascii="Times New Roman" w:hAnsi="Times New Roman" w:eastAsia="仿宋_GB2312" w:cs="Times New Roman"/>
          <w:spacing w:val="0"/>
          <w:sz w:val="32"/>
          <w:szCs w:val="32"/>
          <w:highlight w:val="none"/>
        </w:rPr>
        <w:t>青年工作经费项目绩效自评综述：项目全年预算数为</w:t>
      </w:r>
      <w:r>
        <w:rPr>
          <w:rFonts w:hint="eastAsia" w:cs="Times New Roman"/>
          <w:spacing w:val="0"/>
          <w:sz w:val="32"/>
          <w:szCs w:val="32"/>
          <w:highlight w:val="none"/>
          <w:lang w:val="en-US" w:eastAsia="zh-CN"/>
        </w:rPr>
        <w:t>90.5</w:t>
      </w:r>
      <w:r>
        <w:rPr>
          <w:rFonts w:hint="default" w:ascii="Times New Roman" w:hAnsi="Times New Roman" w:eastAsia="仿宋_GB2312" w:cs="Times New Roman"/>
          <w:spacing w:val="0"/>
          <w:sz w:val="32"/>
          <w:szCs w:val="32"/>
          <w:highlight w:val="none"/>
        </w:rPr>
        <w:t>万元，执行数为</w:t>
      </w:r>
      <w:r>
        <w:rPr>
          <w:rFonts w:hint="eastAsia" w:cs="Times New Roman"/>
          <w:spacing w:val="0"/>
          <w:sz w:val="32"/>
          <w:szCs w:val="32"/>
          <w:highlight w:val="none"/>
          <w:lang w:val="en-US" w:eastAsia="zh-CN"/>
        </w:rPr>
        <w:t>90.5</w:t>
      </w:r>
      <w:r>
        <w:rPr>
          <w:rFonts w:hint="default" w:ascii="Times New Roman" w:hAnsi="Times New Roman" w:eastAsia="仿宋_GB2312" w:cs="Times New Roman"/>
          <w:spacing w:val="0"/>
          <w:sz w:val="32"/>
          <w:szCs w:val="32"/>
          <w:highlight w:val="none"/>
        </w:rPr>
        <w:t>万元，完成预算100％。主要产出和效益：</w:t>
      </w:r>
      <w:r>
        <w:rPr>
          <w:rFonts w:hint="eastAsia" w:cs="Times New Roman"/>
          <w:spacing w:val="0"/>
          <w:sz w:val="32"/>
          <w:szCs w:val="32"/>
          <w:highlight w:val="none"/>
          <w:lang w:val="en-US" w:eastAsia="zh-CN"/>
        </w:rPr>
        <w:t>一是</w:t>
      </w:r>
      <w:r>
        <w:rPr>
          <w:rFonts w:hint="default" w:ascii="Times New Roman" w:hAnsi="Times New Roman" w:eastAsia="仿宋_GB2312" w:cs="Times New Roman"/>
          <w:spacing w:val="0"/>
          <w:sz w:val="32"/>
          <w:szCs w:val="32"/>
          <w:highlight w:val="none"/>
        </w:rPr>
        <w:t>深化青少年思想政治引领。大力推进“青年大学习”网上主题团课，确保参学人数不低于80万人次，参学率不低于80%；建强市县两级青年宣讲团、红领巾巡讲团，全年累计宣讲不低于100场次；抓好“五四”“六一”“十·一三”等重要节点的学习教育</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二是</w:t>
      </w:r>
      <w:r>
        <w:rPr>
          <w:rFonts w:hint="default" w:ascii="Times New Roman" w:hAnsi="Times New Roman" w:eastAsia="仿宋_GB2312" w:cs="Times New Roman"/>
          <w:spacing w:val="0"/>
          <w:sz w:val="32"/>
          <w:szCs w:val="32"/>
          <w:highlight w:val="none"/>
        </w:rPr>
        <w:t>不断夯实团的基层基础建设。坚持党建带团建，2023年底前基本完成县域共青团基层组织改革；全年计划新发展团员5966名，99%新发展团员信息录入“智慧团建”系统；规范团组织关系转接，集中力量打好“学社衔接”攻坚战</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三是</w:t>
      </w:r>
      <w:r>
        <w:rPr>
          <w:rFonts w:hint="default" w:ascii="Times New Roman" w:hAnsi="Times New Roman" w:eastAsia="仿宋_GB2312" w:cs="Times New Roman"/>
          <w:spacing w:val="0"/>
          <w:sz w:val="32"/>
          <w:szCs w:val="32"/>
          <w:highlight w:val="none"/>
        </w:rPr>
        <w:t>持续加强青联、学联、少先队建设。常态化实施“青联委员服务团”等项目，制度化组织“青年联席会”“青联思享会”等活动，不断强化青联组织功能；举办市级少先队辅导员职业技能竞赛、市级红领巾讲解员比赛；规范分批入队，认真开展“红领巾奖章”争章；开展“希望家园”活动，打造暑期志愿服务阵地</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四是</w:t>
      </w:r>
      <w:r>
        <w:rPr>
          <w:rFonts w:hint="default" w:ascii="Times New Roman" w:hAnsi="Times New Roman" w:eastAsia="仿宋_GB2312" w:cs="Times New Roman"/>
          <w:spacing w:val="0"/>
          <w:sz w:val="32"/>
          <w:szCs w:val="32"/>
          <w:highlight w:val="none"/>
        </w:rPr>
        <w:t>持续开展青春建功行动。积极组织开展大学生创业扶持计划，推荐扶持项目不少于8个；常态化推进青创贷、新农人等青年创业项目，举办高素质青年农民培训班；实施随州市“青年拔尖人才培养计划”和争取省第十二批“博士服务团”服务基层计划；聚焦青年婚恋难题，组织开展“随时随地·青春友你”联谊活动不少于4场次；聚焦青少年权益维护，依托12355青少年服务台，开展随州市法治文化、心理辅导、中高考减压等活动；巩固深化志愿服务品牌，发挥青年志愿者在大型赛会、生态环保、关心关爱困难群体等领域的积极作用</w:t>
      </w:r>
      <w:r>
        <w:rPr>
          <w:rFonts w:hint="eastAsia" w:cs="Times New Roman"/>
          <w:spacing w:val="0"/>
          <w:sz w:val="32"/>
          <w:szCs w:val="32"/>
          <w:highlight w:val="none"/>
          <w:lang w:eastAsia="zh-CN"/>
        </w:rPr>
        <w:t>。</w:t>
      </w:r>
    </w:p>
    <w:p w14:paraId="216907C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发现的问题及原因：一是预算编制工作有待细化；二是预算编制的合理性需要提高。下一步改进措施：合理安排下一年度的预算收支，在预算收支范围内，充分利用资金，提高资金使用效率、效益，力求达到最佳的效果。</w:t>
      </w:r>
    </w:p>
    <w:p w14:paraId="5994F08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spacing w:val="0"/>
          <w:sz w:val="32"/>
          <w:szCs w:val="32"/>
          <w:highlight w:val="none"/>
          <w:lang w:eastAsia="zh-CN"/>
        </w:rPr>
      </w:pPr>
    </w:p>
    <w:p w14:paraId="53E326C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6A31EFC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2C795A5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2539BC1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720E34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380592D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14F4432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3E539A3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05FA34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6E049C6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6181FA5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lang w:eastAsia="zh-CN"/>
        </w:rPr>
        <w:drawing>
          <wp:anchor distT="0" distB="0" distL="114300" distR="114300" simplePos="0" relativeHeight="251660288" behindDoc="0" locked="0" layoutInCell="1" allowOverlap="1">
            <wp:simplePos x="0" y="0"/>
            <wp:positionH relativeFrom="column">
              <wp:posOffset>193040</wp:posOffset>
            </wp:positionH>
            <wp:positionV relativeFrom="paragraph">
              <wp:posOffset>-20320</wp:posOffset>
            </wp:positionV>
            <wp:extent cx="5322570" cy="8274050"/>
            <wp:effectExtent l="0" t="0" r="11430" b="1270"/>
            <wp:wrapNone/>
            <wp:docPr id="16" name="图片 16" descr="173622811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36228113558"/>
                    <pic:cNvPicPr>
                      <a:picLocks noChangeAspect="1"/>
                    </pic:cNvPicPr>
                  </pic:nvPicPr>
                  <pic:blipFill>
                    <a:blip r:embed="rId19"/>
                    <a:stretch>
                      <a:fillRect/>
                    </a:stretch>
                  </pic:blipFill>
                  <pic:spPr>
                    <a:xfrm>
                      <a:off x="0" y="0"/>
                      <a:ext cx="5322570" cy="8274050"/>
                    </a:xfrm>
                    <a:prstGeom prst="rect">
                      <a:avLst/>
                    </a:prstGeom>
                  </pic:spPr>
                </pic:pic>
              </a:graphicData>
            </a:graphic>
          </wp:anchor>
        </w:drawing>
      </w:r>
    </w:p>
    <w:p w14:paraId="2A79F9D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6EFCF87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381EB3A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5869973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3F29DB8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3E08E58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1DC95F3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F5EDF2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29716B5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4924025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2583943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55F817E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C6AE71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7CAC749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F37597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7C79560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6D0476D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71F8A36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0016AC3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42635CA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p>
    <w:p w14:paraId="4FE801F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r>
        <w:rPr>
          <w:rFonts w:hint="eastAsia" w:cs="Times New Roman"/>
          <w:spacing w:val="0"/>
          <w:sz w:val="32"/>
          <w:szCs w:val="32"/>
          <w:highlight w:val="none"/>
          <w:lang w:val="en-US" w:eastAsia="zh-CN"/>
        </w:rPr>
        <w:t>团代会会议费</w:t>
      </w:r>
      <w:r>
        <w:rPr>
          <w:rFonts w:hint="default" w:ascii="Times New Roman" w:hAnsi="Times New Roman" w:eastAsia="仿宋_GB2312" w:cs="Times New Roman"/>
          <w:spacing w:val="0"/>
          <w:sz w:val="32"/>
          <w:szCs w:val="32"/>
          <w:highlight w:val="none"/>
        </w:rPr>
        <w:t>项目绩效自评综述</w:t>
      </w:r>
      <w:r>
        <w:rPr>
          <w:rFonts w:hint="eastAsia" w:cs="Times New Roman"/>
          <w:spacing w:val="0"/>
          <w:sz w:val="32"/>
          <w:szCs w:val="32"/>
          <w:highlight w:val="none"/>
          <w:lang w:eastAsia="zh-CN"/>
        </w:rPr>
        <w:t>：项目全年预算数为</w:t>
      </w:r>
      <w:r>
        <w:rPr>
          <w:rFonts w:hint="eastAsia" w:cs="Times New Roman"/>
          <w:spacing w:val="0"/>
          <w:sz w:val="32"/>
          <w:szCs w:val="32"/>
          <w:highlight w:val="none"/>
          <w:lang w:val="en-US" w:eastAsia="zh-CN"/>
        </w:rPr>
        <w:t>8</w:t>
      </w:r>
      <w:r>
        <w:rPr>
          <w:rFonts w:hint="eastAsia" w:cs="Times New Roman"/>
          <w:spacing w:val="0"/>
          <w:sz w:val="32"/>
          <w:szCs w:val="32"/>
          <w:highlight w:val="none"/>
          <w:lang w:eastAsia="zh-CN"/>
        </w:rPr>
        <w:t>万元，执行数为</w:t>
      </w:r>
      <w:r>
        <w:rPr>
          <w:rFonts w:hint="eastAsia" w:cs="Times New Roman"/>
          <w:spacing w:val="0"/>
          <w:sz w:val="32"/>
          <w:szCs w:val="32"/>
          <w:highlight w:val="none"/>
          <w:lang w:val="en-US" w:eastAsia="zh-CN"/>
        </w:rPr>
        <w:t>8</w:t>
      </w:r>
      <w:r>
        <w:rPr>
          <w:rFonts w:hint="eastAsia" w:cs="Times New Roman"/>
          <w:spacing w:val="0"/>
          <w:sz w:val="32"/>
          <w:szCs w:val="32"/>
          <w:highlight w:val="none"/>
          <w:lang w:eastAsia="zh-CN"/>
        </w:rPr>
        <w:t>万元，完成预算100％。主要产出和效益：共青团随州市第四届委员会任期已满，经市委常委会和市委组织部审议批准，共青团随州市第五次代表大会于2023年6月召开，会期一天，参会人员264名，其中正式代表240名，工作人员24名，会议规模为二类会议。发现的问题及原因：一是预算编制工作有待细化；二是预算编制的合理性需要提高。下一步改进措施：在预算收支范围内，充分利用资金，提高资金使用效率、效益，力求达到最佳的效果。</w:t>
      </w:r>
    </w:p>
    <w:p w14:paraId="7CA5329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68D3619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DDCB98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EB2C7E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3C0C631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06DC7E1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56AD458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00316FA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0FEECC7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E221A0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7A98012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6332CD6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06166DD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r>
        <w:rPr>
          <w:rFonts w:hint="eastAsia" w:cs="Times New Roman"/>
          <w:spacing w:val="0"/>
          <w:sz w:val="32"/>
          <w:szCs w:val="32"/>
          <w:highlight w:val="none"/>
          <w:lang w:eastAsia="zh-CN"/>
        </w:rPr>
        <w:drawing>
          <wp:anchor distT="0" distB="0" distL="114300" distR="114300" simplePos="0" relativeHeight="251661312" behindDoc="0" locked="0" layoutInCell="1" allowOverlap="1">
            <wp:simplePos x="0" y="0"/>
            <wp:positionH relativeFrom="column">
              <wp:posOffset>48260</wp:posOffset>
            </wp:positionH>
            <wp:positionV relativeFrom="paragraph">
              <wp:posOffset>-947420</wp:posOffset>
            </wp:positionV>
            <wp:extent cx="5386705" cy="8273415"/>
            <wp:effectExtent l="0" t="0" r="8255" b="1905"/>
            <wp:wrapNone/>
            <wp:docPr id="17" name="图片 17" descr="173622835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36228356388"/>
                    <pic:cNvPicPr>
                      <a:picLocks noChangeAspect="1"/>
                    </pic:cNvPicPr>
                  </pic:nvPicPr>
                  <pic:blipFill>
                    <a:blip r:embed="rId20"/>
                    <a:stretch>
                      <a:fillRect/>
                    </a:stretch>
                  </pic:blipFill>
                  <pic:spPr>
                    <a:xfrm>
                      <a:off x="0" y="0"/>
                      <a:ext cx="5386705" cy="8273415"/>
                    </a:xfrm>
                    <a:prstGeom prst="rect">
                      <a:avLst/>
                    </a:prstGeom>
                  </pic:spPr>
                </pic:pic>
              </a:graphicData>
            </a:graphic>
          </wp:anchor>
        </w:drawing>
      </w:r>
    </w:p>
    <w:p w14:paraId="5A25492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2918FC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2B40226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22D080C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79666BB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725357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1D80506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7E3764C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36E8A33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58C8C60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spacing w:val="0"/>
          <w:sz w:val="32"/>
          <w:szCs w:val="32"/>
          <w:highlight w:val="none"/>
          <w:lang w:eastAsia="zh-CN"/>
        </w:rPr>
      </w:pPr>
    </w:p>
    <w:p w14:paraId="0963255F">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2FE49F49">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6554918E">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19416D64">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2C9DE677">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73AD143F">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03EBEE41">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7145E241">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p>
    <w:p w14:paraId="2B5A1773">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楷体_GB2312" w:cs="Times New Roman"/>
          <w:b/>
          <w:bCs/>
          <w:spacing w:val="0"/>
          <w:sz w:val="32"/>
          <w:highlight w:val="none"/>
          <w:lang w:val="en-US" w:eastAsia="zh-CN"/>
        </w:rPr>
      </w:pPr>
      <w:r>
        <w:rPr>
          <w:rFonts w:hint="default" w:ascii="Times New Roman" w:hAnsi="Times New Roman" w:eastAsia="楷体_GB2312" w:cs="Times New Roman"/>
          <w:b/>
          <w:bCs/>
          <w:spacing w:val="0"/>
          <w:sz w:val="32"/>
          <w:highlight w:val="none"/>
          <w:lang w:val="en-US" w:eastAsia="zh-CN"/>
        </w:rPr>
        <w:t>（三）绩效评价结果应用情况</w:t>
      </w:r>
    </w:p>
    <w:p w14:paraId="2BF902A1">
      <w:pPr>
        <w:keepNext w:val="0"/>
        <w:keepLines w:val="0"/>
        <w:pageBreakBefore w:val="0"/>
        <w:widowControl w:val="0"/>
        <w:numPr>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部门绩效评价结果应用情况。评价小组在综合各方面的情况对整体绩效目标自评表进行了调整，完善，最终得分为95分（满分100分）。经过以上程序的自查和分析，我单位已按照《行政单位会计制度》的规定规范建账，会计核算完整，反映清晰。202</w:t>
      </w:r>
      <w:r>
        <w:rPr>
          <w:rFonts w:hint="eastAsia"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年已按相关规定对我单位202</w:t>
      </w:r>
      <w:r>
        <w:rPr>
          <w:rFonts w:hint="eastAsia" w:cs="Times New Roman"/>
          <w:spacing w:val="0"/>
          <w:sz w:val="32"/>
          <w:szCs w:val="32"/>
          <w:highlight w:val="none"/>
          <w:lang w:val="en-US" w:eastAsia="zh-CN"/>
        </w:rPr>
        <w:t>3</w:t>
      </w:r>
      <w:r>
        <w:rPr>
          <w:rFonts w:hint="default" w:ascii="Times New Roman" w:hAnsi="Times New Roman" w:eastAsia="仿宋_GB2312" w:cs="Times New Roman"/>
          <w:spacing w:val="0"/>
          <w:sz w:val="32"/>
          <w:szCs w:val="32"/>
          <w:highlight w:val="none"/>
        </w:rPr>
        <w:t>年的各类资金支出编制了充分的预算，在预算过程中，按照规定的程序对各类资金进行了合理的规划，并设定了具体目标。</w:t>
      </w:r>
    </w:p>
    <w:p w14:paraId="43A6C22A">
      <w:pPr>
        <w:keepNext w:val="0"/>
        <w:keepLines w:val="0"/>
        <w:pageBreakBefore w:val="0"/>
        <w:widowControl w:val="0"/>
        <w:numPr>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部门绩效评价结果拟应用情况。根据下一年度工作安排和财政预算要求，合理安排下一年度的预算收支，在预算收支范围内，充分利用资金，提高资金使用效率、效益，力求达到最佳的效果。下一步，我单位将从以下方面进行改进。</w:t>
      </w:r>
    </w:p>
    <w:p w14:paraId="06284C10">
      <w:pPr>
        <w:keepNext w:val="0"/>
        <w:keepLines w:val="0"/>
        <w:pageBreakBefore w:val="0"/>
        <w:widowControl w:val="0"/>
        <w:numPr>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1、加强预算编制的前瞻性，按照新《预算法》及其实施条例的相关规定，按政策规定及本部门的发展规划，科学、合理地编制本年预算草案，避免项目支出与基本支出划分不准或预算支出与实际执行出现较大偏差的情况。</w:t>
      </w:r>
    </w:p>
    <w:p w14:paraId="02858629">
      <w:pPr>
        <w:keepNext w:val="0"/>
        <w:keepLines w:val="0"/>
        <w:pageBreakBefore w:val="0"/>
        <w:widowControl w:val="0"/>
        <w:numPr>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 xml:space="preserve">2、规范项目资金支出。合理、科学地编制项目预算，加强预算的可执行性，并严格按照预算批复的用途进行使用项目资金，在内部管理方面，进一步加强严密的内部管理制度。建立严格的项目经费开支审批报销制度，加强经费开支的监督，控制项目经费支出。 </w:t>
      </w:r>
    </w:p>
    <w:p w14:paraId="3A2DB6F5">
      <w:pPr>
        <w:keepNext w:val="0"/>
        <w:keepLines w:val="0"/>
        <w:pageBreakBefore w:val="0"/>
        <w:widowControl w:val="0"/>
        <w:numPr>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3、提高预算绩效评价与管理水平，完善项目执行过程的跟踪、监督与检查。加强与相关业务科室的协作，将财务管理与业务管理有机结合起来，进一步充实可量化的绩效指标体系，加强后续科学监管，强化整改措施的落实，不断提升项目绩效管理水平。</w:t>
      </w:r>
    </w:p>
    <w:p w14:paraId="62A825C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楷体_GB2312" w:cs="Times New Roman"/>
          <w:b/>
          <w:bCs/>
          <w:spacing w:val="0"/>
          <w:sz w:val="32"/>
          <w:szCs w:val="32"/>
          <w:highlight w:val="none"/>
          <w:lang w:val="en-US" w:eastAsia="zh-CN"/>
        </w:rPr>
      </w:pPr>
      <w:r>
        <w:rPr>
          <w:rFonts w:hint="eastAsia" w:ascii="Times New Roman" w:hAnsi="Times New Roman" w:eastAsia="楷体_GB2312" w:cs="Times New Roman"/>
          <w:b/>
          <w:bCs/>
          <w:spacing w:val="0"/>
          <w:sz w:val="32"/>
          <w:szCs w:val="32"/>
          <w:highlight w:val="none"/>
          <w:lang w:val="en-US" w:eastAsia="zh-CN"/>
        </w:rPr>
        <w:t>十四、</w:t>
      </w:r>
      <w:r>
        <w:rPr>
          <w:rFonts w:hint="default" w:ascii="Times New Roman" w:hAnsi="Times New Roman" w:eastAsia="楷体_GB2312" w:cs="Times New Roman"/>
          <w:b/>
          <w:bCs/>
          <w:spacing w:val="0"/>
          <w:sz w:val="32"/>
          <w:szCs w:val="32"/>
          <w:highlight w:val="none"/>
          <w:lang w:val="en-US" w:eastAsia="zh-CN"/>
        </w:rPr>
        <w:t>财政专项支出、专项转移支付支出的部门（单位）参照部门预算公开的范围、体例和内容进行公开。</w:t>
      </w:r>
    </w:p>
    <w:p w14:paraId="393BB3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楷体_GB2312" w:cs="Times New Roman"/>
          <w:b/>
          <w:bCs/>
          <w:spacing w:val="0"/>
          <w:sz w:val="32"/>
          <w:szCs w:val="32"/>
          <w:highlight w:val="none"/>
          <w:lang w:val="en-US" w:eastAsia="zh-CN"/>
        </w:rPr>
      </w:pPr>
      <w:r>
        <w:rPr>
          <w:highlight w:val="none"/>
        </w:rPr>
        <w:drawing>
          <wp:inline distT="0" distB="0" distL="114300" distR="114300">
            <wp:extent cx="4105275" cy="1057275"/>
            <wp:effectExtent l="0" t="0" r="952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1"/>
                    <a:stretch>
                      <a:fillRect/>
                    </a:stretch>
                  </pic:blipFill>
                  <pic:spPr>
                    <a:xfrm>
                      <a:off x="0" y="0"/>
                      <a:ext cx="4105275" cy="1057275"/>
                    </a:xfrm>
                    <a:prstGeom prst="rect">
                      <a:avLst/>
                    </a:prstGeom>
                    <a:noFill/>
                    <a:ln>
                      <a:noFill/>
                    </a:ln>
                  </pic:spPr>
                </pic:pic>
              </a:graphicData>
            </a:graphic>
          </wp:inline>
        </w:drawing>
      </w:r>
    </w:p>
    <w:p w14:paraId="25B131D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jc w:val="center"/>
        <w:textAlignment w:val="auto"/>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pacing w:val="0"/>
          <w:sz w:val="32"/>
          <w:szCs w:val="32"/>
          <w:highlight w:val="none"/>
          <w:lang w:val="en-US" w:eastAsia="zh-CN"/>
        </w:rPr>
        <w:t>第四部分  其他需要说明的情况</w:t>
      </w:r>
    </w:p>
    <w:p w14:paraId="5835DFE9">
      <w:pPr>
        <w:spacing w:line="560" w:lineRule="exact"/>
        <w:ind w:firstLine="640"/>
        <w:rPr>
          <w:rFonts w:hint="eastAsia" w:ascii="Times New Roman" w:hAnsi="Times New Roman" w:eastAsia="仿宋_GB2312" w:cs="Times New Roman"/>
          <w:spacing w:val="0"/>
          <w:sz w:val="32"/>
          <w:szCs w:val="32"/>
          <w:highlight w:val="none"/>
          <w:lang w:val="en-US" w:eastAsia="zh-CN"/>
        </w:rPr>
      </w:pPr>
      <w:r>
        <w:rPr>
          <w:rFonts w:hint="eastAsia" w:ascii="仿宋_GB2312" w:hAnsi="仿宋" w:eastAsia="仿宋_GB2312" w:cs="仿宋"/>
          <w:sz w:val="32"/>
          <w:szCs w:val="32"/>
          <w:highlight w:val="none"/>
        </w:rPr>
        <w:t>本单位当年无其它需要说明的情况</w:t>
      </w:r>
      <w:r>
        <w:rPr>
          <w:rFonts w:hint="eastAsia" w:ascii="仿宋_GB2312" w:hAnsi="仿宋" w:cs="仿宋"/>
          <w:sz w:val="32"/>
          <w:szCs w:val="32"/>
          <w:highlight w:val="none"/>
          <w:lang w:eastAsia="zh-CN"/>
        </w:rPr>
        <w:t>。</w:t>
      </w:r>
    </w:p>
    <w:p w14:paraId="124B074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jc w:val="center"/>
        <w:textAlignment w:val="auto"/>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pacing w:val="0"/>
          <w:sz w:val="32"/>
          <w:szCs w:val="32"/>
          <w:highlight w:val="none"/>
          <w:lang w:val="en-US" w:eastAsia="zh-CN"/>
        </w:rPr>
        <w:t>第五部分  名词解释</w:t>
      </w:r>
    </w:p>
    <w:p w14:paraId="54E5E70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outlineLvl w:val="9"/>
        <w:rPr>
          <w:rFonts w:hint="default" w:ascii="Times New Roman" w:hAnsi="Times New Roman" w:eastAsia="仿宋_GB2312" w:cs="Times New Roman"/>
          <w:bCs/>
          <w:spacing w:val="0"/>
          <w:kern w:val="44"/>
          <w:sz w:val="32"/>
          <w:szCs w:val="32"/>
          <w:highlight w:val="none"/>
          <w:lang w:eastAsia="zh-CN"/>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一</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一般公共预算财政拨款收入：指</w:t>
      </w:r>
      <w:r>
        <w:rPr>
          <w:rFonts w:hint="default" w:ascii="Times New Roman" w:hAnsi="Times New Roman" w:eastAsia="仿宋_GB2312" w:cs="Times New Roman"/>
          <w:bCs/>
          <w:spacing w:val="0"/>
          <w:kern w:val="44"/>
          <w:sz w:val="32"/>
          <w:szCs w:val="32"/>
          <w:highlight w:val="none"/>
          <w:lang w:eastAsia="zh-CN"/>
        </w:rPr>
        <w:t>省级</w:t>
      </w:r>
      <w:r>
        <w:rPr>
          <w:rFonts w:hint="default" w:ascii="Times New Roman" w:hAnsi="Times New Roman" w:eastAsia="仿宋_GB2312" w:cs="Times New Roman"/>
          <w:bCs/>
          <w:spacing w:val="0"/>
          <w:kern w:val="44"/>
          <w:sz w:val="32"/>
          <w:szCs w:val="32"/>
          <w:highlight w:val="none"/>
        </w:rPr>
        <w:t>财政一般公共预算当年拨付的</w:t>
      </w:r>
      <w:r>
        <w:rPr>
          <w:rFonts w:hint="default" w:ascii="Times New Roman" w:hAnsi="Times New Roman" w:eastAsia="仿宋_GB2312" w:cs="Times New Roman"/>
          <w:bCs/>
          <w:spacing w:val="0"/>
          <w:kern w:val="44"/>
          <w:sz w:val="32"/>
          <w:szCs w:val="32"/>
          <w:highlight w:val="none"/>
          <w:lang w:eastAsia="zh-CN"/>
        </w:rPr>
        <w:t>资金。</w:t>
      </w:r>
    </w:p>
    <w:p w14:paraId="709EF6E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outlineLvl w:val="9"/>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二</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政府性基金预算财政拨款收入：指</w:t>
      </w:r>
      <w:r>
        <w:rPr>
          <w:rFonts w:hint="default" w:ascii="Times New Roman" w:hAnsi="Times New Roman" w:cs="Times New Roman"/>
          <w:bCs/>
          <w:spacing w:val="0"/>
          <w:kern w:val="44"/>
          <w:sz w:val="32"/>
          <w:szCs w:val="32"/>
          <w:highlight w:val="none"/>
          <w:lang w:eastAsia="zh-CN"/>
        </w:rPr>
        <w:t>省</w:t>
      </w:r>
      <w:r>
        <w:rPr>
          <w:rFonts w:hint="default" w:ascii="Times New Roman" w:hAnsi="Times New Roman" w:eastAsia="仿宋_GB2312" w:cs="Times New Roman"/>
          <w:bCs/>
          <w:spacing w:val="0"/>
          <w:kern w:val="44"/>
          <w:sz w:val="32"/>
          <w:szCs w:val="32"/>
          <w:highlight w:val="none"/>
          <w:lang w:eastAsia="zh-CN"/>
        </w:rPr>
        <w:t>级</w:t>
      </w:r>
      <w:r>
        <w:rPr>
          <w:rFonts w:hint="default" w:ascii="Times New Roman" w:hAnsi="Times New Roman" w:eastAsia="仿宋_GB2312" w:cs="Times New Roman"/>
          <w:bCs/>
          <w:spacing w:val="0"/>
          <w:kern w:val="44"/>
          <w:sz w:val="32"/>
          <w:szCs w:val="32"/>
          <w:highlight w:val="none"/>
        </w:rPr>
        <w:t>财政政府性基金预算当年拨付的</w:t>
      </w:r>
      <w:r>
        <w:rPr>
          <w:rFonts w:hint="default" w:ascii="Times New Roman" w:hAnsi="Times New Roman" w:eastAsia="仿宋_GB2312" w:cs="Times New Roman"/>
          <w:bCs/>
          <w:spacing w:val="0"/>
          <w:kern w:val="44"/>
          <w:sz w:val="32"/>
          <w:szCs w:val="32"/>
          <w:highlight w:val="none"/>
          <w:lang w:eastAsia="zh-CN"/>
        </w:rPr>
        <w:t>资金。</w:t>
      </w:r>
    </w:p>
    <w:p w14:paraId="6637063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outlineLvl w:val="9"/>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三</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国有资本经营</w:t>
      </w:r>
      <w:r>
        <w:rPr>
          <w:rFonts w:hint="default" w:ascii="Times New Roman" w:hAnsi="Times New Roman" w:eastAsia="仿宋_GB2312" w:cs="Times New Roman"/>
          <w:bCs/>
          <w:spacing w:val="0"/>
          <w:kern w:val="44"/>
          <w:sz w:val="32"/>
          <w:szCs w:val="32"/>
          <w:highlight w:val="none"/>
        </w:rPr>
        <w:t>预算财政拨款收入：指</w:t>
      </w:r>
      <w:r>
        <w:rPr>
          <w:rFonts w:hint="default" w:ascii="Times New Roman" w:hAnsi="Times New Roman" w:cs="Times New Roman"/>
          <w:bCs/>
          <w:spacing w:val="0"/>
          <w:kern w:val="44"/>
          <w:sz w:val="32"/>
          <w:szCs w:val="32"/>
          <w:highlight w:val="none"/>
          <w:lang w:eastAsia="zh-CN"/>
        </w:rPr>
        <w:t>省</w:t>
      </w:r>
      <w:r>
        <w:rPr>
          <w:rFonts w:hint="default" w:ascii="Times New Roman" w:hAnsi="Times New Roman" w:eastAsia="仿宋_GB2312" w:cs="Times New Roman"/>
          <w:bCs/>
          <w:spacing w:val="0"/>
          <w:kern w:val="44"/>
          <w:sz w:val="32"/>
          <w:szCs w:val="32"/>
          <w:highlight w:val="none"/>
        </w:rPr>
        <w:t>级财政</w:t>
      </w:r>
      <w:r>
        <w:rPr>
          <w:rFonts w:hint="default" w:ascii="Times New Roman" w:hAnsi="Times New Roman" w:eastAsia="仿宋_GB2312" w:cs="Times New Roman"/>
          <w:bCs/>
          <w:spacing w:val="0"/>
          <w:kern w:val="44"/>
          <w:sz w:val="32"/>
          <w:szCs w:val="32"/>
          <w:highlight w:val="none"/>
          <w:lang w:eastAsia="zh-CN"/>
        </w:rPr>
        <w:t>国有资本经营</w:t>
      </w:r>
      <w:r>
        <w:rPr>
          <w:rFonts w:hint="default" w:ascii="Times New Roman" w:hAnsi="Times New Roman" w:eastAsia="仿宋_GB2312" w:cs="Times New Roman"/>
          <w:bCs/>
          <w:spacing w:val="0"/>
          <w:kern w:val="44"/>
          <w:sz w:val="32"/>
          <w:szCs w:val="32"/>
          <w:highlight w:val="none"/>
        </w:rPr>
        <w:t>预算当年拨付的资金。</w:t>
      </w:r>
    </w:p>
    <w:p w14:paraId="5BA5F54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outlineLvl w:val="9"/>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四</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上级补助收入：指从</w:t>
      </w:r>
      <w:r>
        <w:rPr>
          <w:rFonts w:hint="default" w:ascii="Times New Roman" w:hAnsi="Times New Roman" w:eastAsia="仿宋_GB2312" w:cs="Times New Roman"/>
          <w:spacing w:val="0"/>
          <w:sz w:val="32"/>
          <w:szCs w:val="32"/>
          <w:highlight w:val="none"/>
        </w:rPr>
        <w:t>事业单位</w:t>
      </w:r>
      <w:r>
        <w:rPr>
          <w:rFonts w:hint="default" w:ascii="Times New Roman" w:hAnsi="Times New Roman" w:eastAsia="仿宋_GB2312" w:cs="Times New Roman"/>
          <w:bCs/>
          <w:spacing w:val="0"/>
          <w:kern w:val="44"/>
          <w:sz w:val="32"/>
          <w:szCs w:val="32"/>
          <w:highlight w:val="none"/>
        </w:rPr>
        <w:t>主管部门和上级单位取得的非财政补助收入。</w:t>
      </w:r>
    </w:p>
    <w:p w14:paraId="49FA362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五</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事业收入：指事业单位开展专业业务活动及其辅助活动取得的收入。</w:t>
      </w:r>
    </w:p>
    <w:p w14:paraId="04C8085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六</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经营收入：指事业单位在专业业务活动及其辅助活动之外开展非独立核算经营活动取得的收入。</w:t>
      </w:r>
    </w:p>
    <w:p w14:paraId="6FA7EB9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lang w:eastAsia="zh-CN"/>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七</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其他收入：指</w:t>
      </w:r>
      <w:r>
        <w:rPr>
          <w:rFonts w:hint="default" w:ascii="Times New Roman" w:hAnsi="Times New Roman" w:eastAsia="仿宋_GB2312" w:cs="Times New Roman"/>
          <w:spacing w:val="0"/>
          <w:sz w:val="32"/>
          <w:szCs w:val="32"/>
          <w:highlight w:val="none"/>
        </w:rPr>
        <w:t>单位取得的除</w:t>
      </w:r>
      <w:r>
        <w:rPr>
          <w:rFonts w:hint="default" w:ascii="Times New Roman" w:hAnsi="Times New Roman" w:eastAsia="仿宋_GB2312" w:cs="Times New Roman"/>
          <w:spacing w:val="0"/>
          <w:sz w:val="32"/>
          <w:szCs w:val="32"/>
          <w:highlight w:val="none"/>
          <w:lang w:eastAsia="zh-CN"/>
        </w:rPr>
        <w:t>上述“一般公共预算财政拨款收入”、“</w:t>
      </w:r>
      <w:r>
        <w:rPr>
          <w:rFonts w:hint="default" w:ascii="Times New Roman" w:hAnsi="Times New Roman" w:eastAsia="仿宋_GB2312" w:cs="Times New Roman"/>
          <w:spacing w:val="0"/>
          <w:sz w:val="32"/>
          <w:szCs w:val="32"/>
          <w:highlight w:val="none"/>
        </w:rPr>
        <w:t>政府性基金预算</w:t>
      </w:r>
      <w:r>
        <w:rPr>
          <w:rFonts w:hint="default" w:ascii="Times New Roman" w:hAnsi="Times New Roman" w:eastAsia="仿宋_GB2312" w:cs="Times New Roman"/>
          <w:bCs/>
          <w:spacing w:val="0"/>
          <w:kern w:val="44"/>
          <w:sz w:val="32"/>
          <w:szCs w:val="32"/>
          <w:highlight w:val="none"/>
        </w:rPr>
        <w:t>财政拨款收入</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国有资本经营</w:t>
      </w:r>
      <w:r>
        <w:rPr>
          <w:rFonts w:hint="default" w:ascii="Times New Roman" w:hAnsi="Times New Roman" w:eastAsia="仿宋_GB2312" w:cs="Times New Roman"/>
          <w:bCs/>
          <w:spacing w:val="0"/>
          <w:kern w:val="44"/>
          <w:sz w:val="32"/>
          <w:szCs w:val="32"/>
          <w:highlight w:val="none"/>
        </w:rPr>
        <w:t>预算财政拨款收入</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bCs/>
          <w:spacing w:val="0"/>
          <w:kern w:val="44"/>
          <w:sz w:val="32"/>
          <w:szCs w:val="32"/>
          <w:highlight w:val="none"/>
        </w:rPr>
        <w:t>上级补助收入</w:t>
      </w:r>
      <w:r>
        <w:rPr>
          <w:rFonts w:hint="default" w:ascii="Times New Roman" w:hAnsi="Times New Roman" w:eastAsia="仿宋_GB2312" w:cs="Times New Roman"/>
          <w:spacing w:val="0"/>
          <w:sz w:val="32"/>
          <w:szCs w:val="32"/>
          <w:highlight w:val="none"/>
          <w:lang w:eastAsia="zh-CN"/>
        </w:rPr>
        <w:t>”、“事业收入”、“经营收入”等</w:t>
      </w:r>
      <w:r>
        <w:rPr>
          <w:rFonts w:hint="default" w:ascii="Times New Roman" w:hAnsi="Times New Roman" w:eastAsia="仿宋_GB2312" w:cs="Times New Roman"/>
          <w:spacing w:val="0"/>
          <w:sz w:val="32"/>
          <w:szCs w:val="32"/>
          <w:highlight w:val="none"/>
        </w:rPr>
        <w:t>收入以外的各项收入</w:t>
      </w:r>
      <w:r>
        <w:rPr>
          <w:rFonts w:hint="default" w:ascii="Times New Roman" w:hAnsi="Times New Roman" w:eastAsia="仿宋_GB2312" w:cs="Times New Roman"/>
          <w:spacing w:val="0"/>
          <w:sz w:val="32"/>
          <w:szCs w:val="32"/>
          <w:highlight w:val="none"/>
          <w:lang w:eastAsia="zh-CN"/>
        </w:rPr>
        <w:t>。</w:t>
      </w:r>
    </w:p>
    <w:p w14:paraId="201F0A7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FangSong_GB2312" w:cs="Times New Roman"/>
          <w:color w:val="000000"/>
          <w:spacing w:val="0"/>
          <w:sz w:val="32"/>
          <w:highlight w:val="none"/>
          <w:lang w:eastAsia="zh-CN"/>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八</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使用非财政拨款结余</w:t>
      </w:r>
      <w:r>
        <w:rPr>
          <w:rFonts w:hint="default" w:ascii="Times New Roman" w:hAnsi="Times New Roman" w:cs="Times New Roman"/>
          <w:bCs/>
          <w:spacing w:val="0"/>
          <w:kern w:val="44"/>
          <w:sz w:val="32"/>
          <w:szCs w:val="32"/>
          <w:highlight w:val="none"/>
          <w:lang w:eastAsia="zh-CN"/>
        </w:rPr>
        <w:t>和专用结余</w:t>
      </w:r>
      <w:r>
        <w:rPr>
          <w:rFonts w:hint="default" w:ascii="Times New Roman" w:hAnsi="Times New Roman" w:eastAsia="仿宋_GB2312" w:cs="Times New Roman"/>
          <w:bCs/>
          <w:spacing w:val="0"/>
          <w:kern w:val="44"/>
          <w:sz w:val="32"/>
          <w:szCs w:val="32"/>
          <w:highlight w:val="none"/>
        </w:rPr>
        <w:t>：</w:t>
      </w:r>
      <w:r>
        <w:rPr>
          <w:rFonts w:hint="default" w:ascii="Times New Roman" w:hAnsi="Times New Roman" w:eastAsia="FangSong_GB2312" w:cs="Times New Roman"/>
          <w:color w:val="000000"/>
          <w:spacing w:val="0"/>
          <w:sz w:val="32"/>
          <w:highlight w:val="none"/>
        </w:rPr>
        <w:t>指事业单位</w:t>
      </w:r>
      <w:r>
        <w:rPr>
          <w:rFonts w:hint="default" w:ascii="Times New Roman" w:hAnsi="Times New Roman" w:eastAsia="FangSong_GB2312" w:cs="Times New Roman"/>
          <w:color w:val="000000"/>
          <w:spacing w:val="0"/>
          <w:sz w:val="32"/>
          <w:highlight w:val="none"/>
          <w:lang w:eastAsia="zh-CN"/>
        </w:rPr>
        <w:t>按照预算管理要求使用非财政拨款结余弥补收支差额的金额，以及使用专用结余安排支出的金额。</w:t>
      </w:r>
    </w:p>
    <w:p w14:paraId="06BAE1A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lang w:eastAsia="zh-CN"/>
        </w:rPr>
        <w:t>九</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年初结转和结余：</w:t>
      </w:r>
      <w:r>
        <w:rPr>
          <w:rFonts w:hint="default" w:ascii="Times New Roman" w:hAnsi="Times New Roman" w:eastAsia="FangSong_GB2312" w:cs="Times New Roman"/>
          <w:color w:val="000000"/>
          <w:spacing w:val="0"/>
          <w:sz w:val="32"/>
          <w:highlight w:val="none"/>
        </w:rPr>
        <w:t>指</w:t>
      </w:r>
      <w:r>
        <w:rPr>
          <w:rFonts w:hint="default" w:ascii="Times New Roman" w:hAnsi="Times New Roman" w:eastAsia="FangSong_GB2312" w:cs="Times New Roman"/>
          <w:color w:val="000000"/>
          <w:spacing w:val="0"/>
          <w:sz w:val="32"/>
          <w:highlight w:val="none"/>
          <w:lang w:eastAsia="zh-CN"/>
        </w:rPr>
        <w:t>单位</w:t>
      </w:r>
      <w:r>
        <w:rPr>
          <w:rFonts w:hint="default" w:ascii="Times New Roman" w:hAnsi="Times New Roman" w:eastAsia="FangSong_GB2312" w:cs="Times New Roman"/>
          <w:color w:val="000000"/>
          <w:spacing w:val="0"/>
          <w:sz w:val="32"/>
          <w:highlight w:val="none"/>
        </w:rPr>
        <w:t>以前年度</w:t>
      </w:r>
      <w:r>
        <w:rPr>
          <w:rFonts w:hint="default" w:ascii="Times New Roman" w:hAnsi="Times New Roman" w:eastAsia="FangSong_GB2312" w:cs="Times New Roman"/>
          <w:color w:val="000000"/>
          <w:spacing w:val="0"/>
          <w:sz w:val="32"/>
          <w:highlight w:val="none"/>
          <w:lang w:eastAsia="zh-CN"/>
        </w:rPr>
        <w:t>尚未完成</w:t>
      </w:r>
      <w:r>
        <w:rPr>
          <w:rFonts w:hint="default" w:ascii="Times New Roman" w:hAnsi="Times New Roman" w:eastAsia="FangSong_GB2312" w:cs="Times New Roman"/>
          <w:color w:val="000000"/>
          <w:spacing w:val="0"/>
          <w:sz w:val="32"/>
          <w:highlight w:val="none"/>
        </w:rPr>
        <w:t>、结转到本年仍按原规定用途继续使用的资金</w:t>
      </w:r>
      <w:r>
        <w:rPr>
          <w:rFonts w:hint="default" w:ascii="Times New Roman" w:hAnsi="Times New Roman" w:eastAsia="FangSong_GB2312" w:cs="Times New Roman"/>
          <w:color w:val="000000"/>
          <w:spacing w:val="0"/>
          <w:sz w:val="32"/>
          <w:highlight w:val="none"/>
          <w:lang w:eastAsia="zh-CN"/>
        </w:rPr>
        <w:t>，或项目已完成等产生的结余资金</w:t>
      </w:r>
      <w:r>
        <w:rPr>
          <w:rFonts w:hint="default" w:ascii="Times New Roman" w:hAnsi="Times New Roman" w:eastAsia="FangSong_GB2312" w:cs="Times New Roman"/>
          <w:color w:val="000000"/>
          <w:spacing w:val="0"/>
          <w:sz w:val="32"/>
          <w:highlight w:val="none"/>
        </w:rPr>
        <w:t>。</w:t>
      </w:r>
    </w:p>
    <w:p w14:paraId="0386298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bCs/>
          <w:color w:val="auto"/>
          <w:spacing w:val="0"/>
          <w:kern w:val="44"/>
          <w:sz w:val="32"/>
          <w:szCs w:val="32"/>
          <w:highlight w:val="none"/>
          <w:lang w:eastAsia="zh-CN"/>
        </w:rPr>
      </w:pPr>
      <w:r>
        <w:rPr>
          <w:rFonts w:hint="eastAsia" w:ascii="Times New Roman" w:hAnsi="Times New Roman" w:cs="Times New Roman"/>
          <w:bCs/>
          <w:color w:val="auto"/>
          <w:spacing w:val="0"/>
          <w:kern w:val="44"/>
          <w:sz w:val="32"/>
          <w:szCs w:val="32"/>
          <w:highlight w:val="none"/>
          <w:lang w:eastAsia="zh-CN"/>
        </w:rPr>
        <w:t>（</w:t>
      </w:r>
      <w:r>
        <w:rPr>
          <w:rFonts w:hint="default" w:ascii="Times New Roman" w:hAnsi="Times New Roman" w:eastAsia="仿宋_GB2312" w:cs="Times New Roman"/>
          <w:bCs/>
          <w:color w:val="auto"/>
          <w:spacing w:val="0"/>
          <w:kern w:val="44"/>
          <w:sz w:val="32"/>
          <w:szCs w:val="32"/>
          <w:highlight w:val="none"/>
          <w:lang w:eastAsia="zh-CN"/>
        </w:rPr>
        <w:t>十</w:t>
      </w:r>
      <w:r>
        <w:rPr>
          <w:rFonts w:hint="eastAsia" w:ascii="Times New Roman" w:hAnsi="Times New Roman" w:cs="Times New Roman"/>
          <w:bCs/>
          <w:color w:val="auto"/>
          <w:spacing w:val="0"/>
          <w:kern w:val="44"/>
          <w:sz w:val="32"/>
          <w:szCs w:val="32"/>
          <w:highlight w:val="none"/>
          <w:lang w:eastAsia="zh-CN"/>
        </w:rPr>
        <w:t>）</w:t>
      </w:r>
      <w:r>
        <w:rPr>
          <w:rFonts w:hint="default" w:ascii="Times New Roman" w:hAnsi="Times New Roman" w:eastAsia="仿宋_GB2312" w:cs="Times New Roman"/>
          <w:bCs/>
          <w:color w:val="auto"/>
          <w:spacing w:val="0"/>
          <w:kern w:val="44"/>
          <w:sz w:val="32"/>
          <w:szCs w:val="32"/>
          <w:highlight w:val="none"/>
        </w:rPr>
        <w:t>本部门使用的支出功能分类科目</w:t>
      </w:r>
      <w:r>
        <w:rPr>
          <w:rFonts w:hint="eastAsia" w:ascii="Times New Roman" w:hAnsi="Times New Roman" w:cs="Times New Roman"/>
          <w:bCs/>
          <w:color w:val="auto"/>
          <w:spacing w:val="0"/>
          <w:kern w:val="44"/>
          <w:sz w:val="32"/>
          <w:szCs w:val="32"/>
          <w:highlight w:val="none"/>
          <w:lang w:eastAsia="zh-CN"/>
        </w:rPr>
        <w:t>（</w:t>
      </w:r>
      <w:r>
        <w:rPr>
          <w:rFonts w:hint="default" w:ascii="Times New Roman" w:hAnsi="Times New Roman" w:eastAsia="仿宋_GB2312" w:cs="Times New Roman"/>
          <w:bCs/>
          <w:color w:val="auto"/>
          <w:spacing w:val="0"/>
          <w:kern w:val="44"/>
          <w:sz w:val="32"/>
          <w:szCs w:val="32"/>
          <w:highlight w:val="none"/>
        </w:rPr>
        <w:t>到项级</w:t>
      </w:r>
      <w:r>
        <w:rPr>
          <w:rFonts w:hint="eastAsia" w:ascii="Times New Roman" w:hAnsi="Times New Roman" w:cs="Times New Roman"/>
          <w:bCs/>
          <w:color w:val="auto"/>
          <w:spacing w:val="0"/>
          <w:kern w:val="44"/>
          <w:sz w:val="32"/>
          <w:szCs w:val="32"/>
          <w:highlight w:val="none"/>
          <w:lang w:eastAsia="zh-CN"/>
        </w:rPr>
        <w:t>）</w:t>
      </w:r>
    </w:p>
    <w:p w14:paraId="5D3313B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eastAsia="仿宋_GB2312" w:cs="Times New Roman"/>
          <w:bCs/>
          <w:spacing w:val="0"/>
          <w:kern w:val="44"/>
          <w:sz w:val="32"/>
          <w:szCs w:val="32"/>
          <w:highlight w:val="none"/>
        </w:rPr>
        <w:t>1.</w:t>
      </w:r>
      <w:r>
        <w:rPr>
          <w:rFonts w:hint="default" w:ascii="Times New Roman" w:hAnsi="Times New Roman" w:eastAsia="仿宋_GB2312" w:cs="Times New Roman"/>
          <w:spacing w:val="0"/>
          <w:sz w:val="32"/>
          <w:szCs w:val="32"/>
          <w:highlight w:val="none"/>
        </w:rPr>
        <w:t>一般公共服务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类</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val="en-US" w:eastAsia="zh-CN"/>
        </w:rPr>
        <w:t>群众团体事务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款</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行政运行</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项</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反映行政单位（包括实行公务员管理的事业单位）的基本支出。</w:t>
      </w:r>
      <w:r>
        <w:rPr>
          <w:rFonts w:hint="eastAsia" w:cs="Times New Roman"/>
          <w:color w:val="auto"/>
          <w:spacing w:val="0"/>
          <w:sz w:val="32"/>
          <w:szCs w:val="32"/>
          <w:highlight w:val="none"/>
          <w:lang w:eastAsia="zh-CN"/>
        </w:rPr>
        <w:t>（</w:t>
      </w:r>
      <w:r>
        <w:rPr>
          <w:rFonts w:hint="eastAsia" w:cs="Times New Roman"/>
          <w:color w:val="auto"/>
          <w:spacing w:val="0"/>
          <w:sz w:val="32"/>
          <w:szCs w:val="32"/>
          <w:highlight w:val="none"/>
          <w:lang w:val="en-US" w:eastAsia="zh-CN"/>
        </w:rPr>
        <w:t>2012901）</w:t>
      </w:r>
    </w:p>
    <w:p w14:paraId="31E41DC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pacing w:val="0"/>
          <w:sz w:val="32"/>
          <w:szCs w:val="32"/>
          <w:highlight w:val="none"/>
        </w:rPr>
        <w:t>2.一般公共服务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类</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val="en-US" w:eastAsia="zh-CN"/>
        </w:rPr>
        <w:t>群众团体事务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款</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val="en-US" w:eastAsia="zh-CN"/>
        </w:rPr>
        <w:t>一般</w:t>
      </w:r>
      <w:r>
        <w:rPr>
          <w:rFonts w:hint="default" w:ascii="Times New Roman" w:hAnsi="Times New Roman" w:eastAsia="仿宋_GB2312" w:cs="Times New Roman"/>
          <w:spacing w:val="0"/>
          <w:sz w:val="32"/>
          <w:szCs w:val="32"/>
          <w:highlight w:val="none"/>
        </w:rPr>
        <w:t>行政</w:t>
      </w:r>
      <w:r>
        <w:rPr>
          <w:rFonts w:hint="eastAsia" w:cs="Times New Roman"/>
          <w:spacing w:val="0"/>
          <w:sz w:val="32"/>
          <w:szCs w:val="32"/>
          <w:highlight w:val="none"/>
          <w:lang w:val="en-US" w:eastAsia="zh-CN"/>
        </w:rPr>
        <w:t>管理事务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项</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反映行政单位（包括实行公务员管理的事业单位）未单独设置项级科目其他项目支出</w:t>
      </w:r>
      <w:r>
        <w:rPr>
          <w:rFonts w:hint="eastAsia" w:cs="Times New Roman"/>
          <w:color w:val="auto"/>
          <w:spacing w:val="0"/>
          <w:sz w:val="32"/>
          <w:szCs w:val="32"/>
          <w:highlight w:val="none"/>
          <w:lang w:eastAsia="zh-CN"/>
        </w:rPr>
        <w:t>（</w:t>
      </w:r>
      <w:r>
        <w:rPr>
          <w:rFonts w:hint="eastAsia" w:cs="Times New Roman"/>
          <w:color w:val="auto"/>
          <w:spacing w:val="0"/>
          <w:sz w:val="32"/>
          <w:szCs w:val="32"/>
          <w:highlight w:val="none"/>
          <w:lang w:val="en-US" w:eastAsia="zh-CN"/>
        </w:rPr>
        <w:t>2012902）</w:t>
      </w:r>
    </w:p>
    <w:p w14:paraId="3267F39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bCs/>
          <w:color w:val="auto"/>
          <w:spacing w:val="0"/>
          <w:kern w:val="44"/>
          <w:sz w:val="32"/>
          <w:szCs w:val="32"/>
          <w:highlight w:val="none"/>
          <w:lang w:val="en-US" w:eastAsia="zh-CN"/>
        </w:rPr>
      </w:pPr>
      <w:r>
        <w:rPr>
          <w:rFonts w:hint="eastAsia" w:cs="Times New Roman"/>
          <w:bCs/>
          <w:color w:val="auto"/>
          <w:spacing w:val="0"/>
          <w:kern w:val="44"/>
          <w:sz w:val="32"/>
          <w:szCs w:val="32"/>
          <w:highlight w:val="none"/>
          <w:lang w:val="en-US" w:eastAsia="zh-CN"/>
        </w:rPr>
        <w:t>3.</w:t>
      </w:r>
      <w:r>
        <w:rPr>
          <w:rFonts w:hint="default" w:ascii="Times New Roman" w:hAnsi="Times New Roman" w:eastAsia="仿宋_GB2312" w:cs="Times New Roman"/>
          <w:spacing w:val="0"/>
          <w:sz w:val="32"/>
          <w:szCs w:val="32"/>
          <w:highlight w:val="none"/>
        </w:rPr>
        <w:t>一般公共服务</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类</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val="en-US" w:eastAsia="zh-CN"/>
        </w:rPr>
        <w:t>其他一般公共服务支出</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款</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val="en-US" w:eastAsia="zh-CN"/>
        </w:rPr>
        <w:t>其他一般公共服务支出</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项</w:t>
      </w:r>
      <w:r>
        <w:rPr>
          <w:rFonts w:hint="eastAsia" w:ascii="Times New Roman" w:hAnsi="Times New Roman" w:cs="Times New Roman"/>
          <w:spacing w:val="0"/>
          <w:sz w:val="32"/>
          <w:szCs w:val="32"/>
          <w:highlight w:val="none"/>
          <w:lang w:eastAsia="zh-CN"/>
        </w:rPr>
        <w:t>）</w:t>
      </w:r>
      <w:r>
        <w:rPr>
          <w:rFonts w:hint="eastAsia" w:cs="Times New Roman"/>
          <w:spacing w:val="0"/>
          <w:sz w:val="32"/>
          <w:szCs w:val="32"/>
          <w:highlight w:val="none"/>
          <w:lang w:eastAsia="zh-CN"/>
        </w:rPr>
        <w:t>。</w:t>
      </w:r>
      <w:r>
        <w:rPr>
          <w:rFonts w:hint="eastAsia" w:cs="Times New Roman"/>
          <w:spacing w:val="0"/>
          <w:sz w:val="32"/>
          <w:szCs w:val="32"/>
          <w:highlight w:val="none"/>
          <w:lang w:val="en-US" w:eastAsia="zh-CN"/>
        </w:rPr>
        <w:t>反映除上述项目以外的其他一般公共服务支出。</w:t>
      </w:r>
      <w:r>
        <w:rPr>
          <w:rFonts w:hint="eastAsia" w:cs="Times New Roman"/>
          <w:bCs/>
          <w:color w:val="auto"/>
          <w:spacing w:val="0"/>
          <w:kern w:val="44"/>
          <w:sz w:val="32"/>
          <w:szCs w:val="32"/>
          <w:highlight w:val="none"/>
          <w:lang w:val="en-US" w:eastAsia="zh-CN"/>
        </w:rPr>
        <w:t>（2019999）</w:t>
      </w:r>
    </w:p>
    <w:p w14:paraId="5308E5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bCs/>
          <w:spacing w:val="0"/>
          <w:kern w:val="44"/>
          <w:sz w:val="32"/>
          <w:szCs w:val="32"/>
          <w:highlight w:val="none"/>
          <w:lang w:val="en-US" w:eastAsia="zh-CN"/>
        </w:rPr>
      </w:pPr>
      <w:r>
        <w:rPr>
          <w:rFonts w:hint="eastAsia" w:cs="Times New Roman"/>
          <w:bCs/>
          <w:spacing w:val="0"/>
          <w:kern w:val="44"/>
          <w:sz w:val="32"/>
          <w:szCs w:val="32"/>
          <w:highlight w:val="none"/>
          <w:lang w:val="en-US" w:eastAsia="zh-CN"/>
        </w:rPr>
        <w:t>4.社会保障和就业支出(类)行政事业单位养老支出（款）机关事业单位基本养老保险缴费支出（项）。反映机关事业单位实施养老保险制度由单位缴纳的基本养老保险费支出。（2080505）</w:t>
      </w:r>
    </w:p>
    <w:p w14:paraId="252736CB">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cs="Times New Roman"/>
          <w:bCs/>
          <w:spacing w:val="0"/>
          <w:kern w:val="44"/>
          <w:sz w:val="32"/>
          <w:szCs w:val="32"/>
          <w:highlight w:val="none"/>
          <w:lang w:val="en-US" w:eastAsia="zh-CN"/>
        </w:rPr>
      </w:pPr>
      <w:r>
        <w:rPr>
          <w:rFonts w:hint="eastAsia" w:cs="Times New Roman"/>
          <w:bCs/>
          <w:spacing w:val="0"/>
          <w:kern w:val="44"/>
          <w:sz w:val="32"/>
          <w:szCs w:val="32"/>
          <w:highlight w:val="none"/>
          <w:lang w:val="en-US" w:eastAsia="zh-CN"/>
        </w:rPr>
        <w:t>5.社会保障和就业支出 (类)行政事业单位养老支出（款）机关事业单位职业年金缴费支出（项）。反映机关事业单位实施养老保险制度由单位实际缴纳的职业年金支出。（2080506）</w:t>
      </w:r>
    </w:p>
    <w:p w14:paraId="52ED432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cs="Times New Roman"/>
          <w:bCs/>
          <w:spacing w:val="0"/>
          <w:kern w:val="44"/>
          <w:sz w:val="32"/>
          <w:szCs w:val="32"/>
          <w:highlight w:val="none"/>
          <w:lang w:eastAsia="zh-CN"/>
        </w:rPr>
      </w:pPr>
      <w:r>
        <w:rPr>
          <w:rFonts w:hint="eastAsia" w:cs="Times New Roman"/>
          <w:bCs/>
          <w:spacing w:val="0"/>
          <w:kern w:val="44"/>
          <w:sz w:val="32"/>
          <w:szCs w:val="32"/>
          <w:highlight w:val="none"/>
          <w:lang w:val="en-US" w:eastAsia="zh-CN"/>
        </w:rPr>
        <w:t>6</w:t>
      </w:r>
      <w:r>
        <w:rPr>
          <w:rFonts w:hint="eastAsia" w:ascii="Times New Roman" w:hAnsi="Times New Roman" w:cs="Times New Roman"/>
          <w:bCs/>
          <w:spacing w:val="0"/>
          <w:kern w:val="44"/>
          <w:sz w:val="32"/>
          <w:szCs w:val="32"/>
          <w:highlight w:val="none"/>
          <w:lang w:eastAsia="zh-CN"/>
        </w:rPr>
        <w:t>.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2101101）</w:t>
      </w:r>
    </w:p>
    <w:p w14:paraId="4E262868">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cs="Times New Roman"/>
          <w:bCs/>
          <w:spacing w:val="0"/>
          <w:kern w:val="44"/>
          <w:sz w:val="32"/>
          <w:szCs w:val="32"/>
          <w:highlight w:val="none"/>
          <w:lang w:eastAsia="zh-CN"/>
        </w:rPr>
      </w:pPr>
      <w:r>
        <w:rPr>
          <w:rFonts w:hint="eastAsia" w:cs="Times New Roman"/>
          <w:bCs/>
          <w:spacing w:val="0"/>
          <w:kern w:val="44"/>
          <w:sz w:val="32"/>
          <w:szCs w:val="32"/>
          <w:highlight w:val="none"/>
          <w:lang w:val="en-US" w:eastAsia="zh-CN"/>
        </w:rPr>
        <w:t>7</w:t>
      </w:r>
      <w:r>
        <w:rPr>
          <w:rFonts w:hint="eastAsia" w:ascii="Times New Roman" w:hAnsi="Times New Roman" w:cs="Times New Roman"/>
          <w:bCs/>
          <w:spacing w:val="0"/>
          <w:kern w:val="44"/>
          <w:sz w:val="32"/>
          <w:szCs w:val="32"/>
          <w:highlight w:val="none"/>
          <w:lang w:eastAsia="zh-CN"/>
        </w:rPr>
        <w:t>.卫生健康支出（类）行政事业单位医疗（款）公务员医疗补助（项）。反映财政部门安排的公务员医疗补助经费。（2101103）</w:t>
      </w:r>
    </w:p>
    <w:p w14:paraId="00FF008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cs="Times New Roman"/>
          <w:bCs/>
          <w:spacing w:val="0"/>
          <w:kern w:val="44"/>
          <w:sz w:val="32"/>
          <w:szCs w:val="32"/>
          <w:highlight w:val="none"/>
          <w:lang w:eastAsia="zh-CN"/>
        </w:rPr>
      </w:pPr>
      <w:r>
        <w:rPr>
          <w:rFonts w:hint="eastAsia" w:cs="Times New Roman"/>
          <w:bCs/>
          <w:spacing w:val="0"/>
          <w:kern w:val="44"/>
          <w:sz w:val="32"/>
          <w:szCs w:val="32"/>
          <w:highlight w:val="none"/>
          <w:lang w:val="en-US" w:eastAsia="zh-CN"/>
        </w:rPr>
        <w:t>8</w:t>
      </w:r>
      <w:r>
        <w:rPr>
          <w:rFonts w:hint="eastAsia" w:ascii="Times New Roman" w:hAnsi="Times New Roman" w:cs="Times New Roman"/>
          <w:bCs/>
          <w:spacing w:val="0"/>
          <w:kern w:val="44"/>
          <w:sz w:val="32"/>
          <w:szCs w:val="32"/>
          <w:highlight w:val="none"/>
          <w:lang w:eastAsia="zh-CN"/>
        </w:rPr>
        <w:t>.住房保障支出 (类)住房改革支出（款）住房公积金 （项）。反映行政事业单位按人力资源和社会保障部、财政 部规定的基本工资和津贴补贴以及规定比例为职工缴纳的 住房公积金。（2210201）</w:t>
      </w:r>
    </w:p>
    <w:p w14:paraId="721EECA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cs="Times New Roman"/>
          <w:bCs/>
          <w:spacing w:val="0"/>
          <w:kern w:val="44"/>
          <w:sz w:val="32"/>
          <w:szCs w:val="32"/>
          <w:highlight w:val="none"/>
          <w:lang w:eastAsia="zh-CN"/>
        </w:rPr>
      </w:pPr>
      <w:r>
        <w:rPr>
          <w:rFonts w:hint="eastAsia" w:cs="Times New Roman"/>
          <w:bCs/>
          <w:spacing w:val="0"/>
          <w:kern w:val="44"/>
          <w:sz w:val="32"/>
          <w:szCs w:val="32"/>
          <w:highlight w:val="none"/>
          <w:lang w:val="en-US" w:eastAsia="zh-CN"/>
        </w:rPr>
        <w:t>9</w:t>
      </w:r>
      <w:r>
        <w:rPr>
          <w:rFonts w:hint="eastAsia" w:ascii="Times New Roman" w:hAnsi="Times New Roman" w:cs="Times New Roman"/>
          <w:bCs/>
          <w:spacing w:val="0"/>
          <w:kern w:val="44"/>
          <w:sz w:val="32"/>
          <w:szCs w:val="32"/>
          <w:highlight w:val="none"/>
          <w:lang w:eastAsia="zh-CN"/>
        </w:rPr>
        <w:t>.住房保障支出 (类)住房改革支出（款）提租补贴 （项）。反映按房改政策规定的标准，行政事业单位向职工（含离退休人员）发放的租金补贴。（2210202）</w:t>
      </w:r>
    </w:p>
    <w:p w14:paraId="4510614C">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cs="Times New Roman"/>
          <w:bCs/>
          <w:spacing w:val="0"/>
          <w:kern w:val="44"/>
          <w:sz w:val="32"/>
          <w:szCs w:val="32"/>
          <w:highlight w:val="none"/>
          <w:lang w:val="en-US" w:eastAsia="zh-CN"/>
        </w:rPr>
      </w:pPr>
      <w:r>
        <w:rPr>
          <w:rFonts w:hint="eastAsia" w:cs="Times New Roman"/>
          <w:bCs/>
          <w:spacing w:val="0"/>
          <w:kern w:val="44"/>
          <w:sz w:val="32"/>
          <w:szCs w:val="32"/>
          <w:highlight w:val="none"/>
          <w:lang w:val="en-US" w:eastAsia="zh-CN"/>
        </w:rPr>
        <w:t>10.其他支出（类）其他支出（款）其他支出（项）。反映除上述项目以外其他不能划分到具体功能科目中的支出项目。（2299999）</w:t>
      </w:r>
    </w:p>
    <w:p w14:paraId="4BCFFE7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十</w:t>
      </w:r>
      <w:r>
        <w:rPr>
          <w:rFonts w:hint="default" w:ascii="Times New Roman" w:hAnsi="Times New Roman" w:eastAsia="仿宋_GB2312" w:cs="Times New Roman"/>
          <w:bCs/>
          <w:spacing w:val="0"/>
          <w:kern w:val="44"/>
          <w:sz w:val="32"/>
          <w:szCs w:val="32"/>
          <w:highlight w:val="none"/>
          <w:lang w:eastAsia="zh-CN"/>
        </w:rPr>
        <w:t>一</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结余分配：指事业单位按照会计制度规定缴纳</w:t>
      </w:r>
      <w:r>
        <w:rPr>
          <w:rFonts w:hint="default" w:ascii="Times New Roman" w:hAnsi="Times New Roman" w:eastAsia="仿宋_GB2312" w:cs="Times New Roman"/>
          <w:bCs/>
          <w:spacing w:val="0"/>
          <w:kern w:val="44"/>
          <w:sz w:val="32"/>
          <w:szCs w:val="32"/>
          <w:highlight w:val="none"/>
          <w:lang w:eastAsia="zh-CN"/>
        </w:rPr>
        <w:t>的企业</w:t>
      </w:r>
      <w:r>
        <w:rPr>
          <w:rFonts w:hint="default" w:ascii="Times New Roman" w:hAnsi="Times New Roman" w:eastAsia="仿宋_GB2312" w:cs="Times New Roman"/>
          <w:bCs/>
          <w:spacing w:val="0"/>
          <w:kern w:val="44"/>
          <w:sz w:val="32"/>
          <w:szCs w:val="32"/>
          <w:highlight w:val="none"/>
        </w:rPr>
        <w:t>所得税</w:t>
      </w:r>
      <w:r>
        <w:rPr>
          <w:rFonts w:hint="default" w:ascii="Times New Roman" w:hAnsi="Times New Roman" w:eastAsia="仿宋_GB2312" w:cs="Times New Roman"/>
          <w:bCs/>
          <w:spacing w:val="0"/>
          <w:kern w:val="44"/>
          <w:sz w:val="32"/>
          <w:szCs w:val="32"/>
          <w:highlight w:val="none"/>
          <w:lang w:eastAsia="zh-CN"/>
        </w:rPr>
        <w:t>、提取的专用结余以及转入非财政拨款结余的金额</w:t>
      </w:r>
      <w:r>
        <w:rPr>
          <w:rFonts w:hint="default" w:ascii="Times New Roman" w:hAnsi="Times New Roman" w:eastAsia="仿宋_GB2312" w:cs="Times New Roman"/>
          <w:bCs/>
          <w:spacing w:val="0"/>
          <w:kern w:val="44"/>
          <w:sz w:val="32"/>
          <w:szCs w:val="32"/>
          <w:highlight w:val="none"/>
        </w:rPr>
        <w:t>等。</w:t>
      </w:r>
    </w:p>
    <w:p w14:paraId="0C26791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spacing w:val="0"/>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十</w:t>
      </w:r>
      <w:r>
        <w:rPr>
          <w:rFonts w:hint="default" w:ascii="Times New Roman" w:hAnsi="Times New Roman" w:eastAsia="仿宋_GB2312" w:cs="Times New Roman"/>
          <w:bCs/>
          <w:spacing w:val="0"/>
          <w:kern w:val="44"/>
          <w:sz w:val="32"/>
          <w:szCs w:val="32"/>
          <w:highlight w:val="none"/>
          <w:lang w:eastAsia="zh-CN"/>
        </w:rPr>
        <w:t>二</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年末结转和结余：指单位</w:t>
      </w:r>
      <w:r>
        <w:rPr>
          <w:rFonts w:hint="default" w:ascii="Times New Roman" w:hAnsi="Times New Roman" w:eastAsia="仿宋_GB2312" w:cs="Times New Roman"/>
          <w:bCs/>
          <w:spacing w:val="0"/>
          <w:kern w:val="44"/>
          <w:sz w:val="32"/>
          <w:szCs w:val="32"/>
          <w:highlight w:val="none"/>
          <w:lang w:eastAsia="zh-CN"/>
        </w:rPr>
        <w:t>按有关规定结转到下年或以后年度继续使用的资金</w:t>
      </w:r>
      <w:r>
        <w:rPr>
          <w:rFonts w:hint="default" w:ascii="Times New Roman" w:hAnsi="Times New Roman" w:eastAsia="仿宋_GB2312" w:cs="Times New Roman"/>
          <w:bCs/>
          <w:spacing w:val="0"/>
          <w:kern w:val="44"/>
          <w:sz w:val="32"/>
          <w:szCs w:val="32"/>
          <w:highlight w:val="none"/>
        </w:rPr>
        <w:t>，或项目已完成等产生的结余资金。</w:t>
      </w:r>
    </w:p>
    <w:p w14:paraId="57A8055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十</w:t>
      </w:r>
      <w:r>
        <w:rPr>
          <w:rFonts w:hint="default" w:ascii="Times New Roman" w:hAnsi="Times New Roman" w:eastAsia="仿宋_GB2312" w:cs="Times New Roman"/>
          <w:bCs/>
          <w:spacing w:val="0"/>
          <w:kern w:val="44"/>
          <w:sz w:val="32"/>
          <w:szCs w:val="32"/>
          <w:highlight w:val="none"/>
          <w:lang w:eastAsia="zh-CN"/>
        </w:rPr>
        <w:t>三</w:t>
      </w:r>
      <w:r>
        <w:rPr>
          <w:rFonts w:hint="eastAsia" w:ascii="Times New Roman" w:hAnsi="Times New Roman" w:cs="Times New Roman"/>
          <w:bCs/>
          <w:spacing w:val="0"/>
          <w:kern w:val="44"/>
          <w:sz w:val="32"/>
          <w:szCs w:val="32"/>
          <w:highlight w:val="none"/>
          <w:lang w:eastAsia="zh-CN"/>
        </w:rPr>
        <w:t>）</w:t>
      </w:r>
      <w:r>
        <w:rPr>
          <w:rFonts w:hint="default" w:ascii="Times New Roman" w:hAnsi="Times New Roman" w:eastAsia="仿宋_GB2312" w:cs="Times New Roman"/>
          <w:bCs/>
          <w:spacing w:val="0"/>
          <w:kern w:val="44"/>
          <w:sz w:val="32"/>
          <w:szCs w:val="32"/>
          <w:highlight w:val="none"/>
        </w:rPr>
        <w:t>基本支出：指为保障机构正常运转、完成日常工作任务而发生的人员支出和公用支出。</w:t>
      </w:r>
    </w:p>
    <w:p w14:paraId="614B9C9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FangSong_GB2312" w:cs="Times New Roman"/>
          <w:color w:val="000000"/>
          <w:spacing w:val="0"/>
          <w:sz w:val="32"/>
          <w:szCs w:val="22"/>
          <w:highlight w:val="none"/>
        </w:rPr>
      </w:pPr>
      <w:r>
        <w:rPr>
          <w:rFonts w:hint="eastAsia" w:ascii="Times New Roman" w:hAnsi="Times New Roman" w:eastAsia="FangSong_GB2312" w:cs="Times New Roman"/>
          <w:color w:val="000000"/>
          <w:spacing w:val="0"/>
          <w:sz w:val="32"/>
          <w:szCs w:val="22"/>
          <w:highlight w:val="none"/>
          <w:lang w:eastAsia="zh-CN"/>
        </w:rPr>
        <w:t>（</w:t>
      </w:r>
      <w:r>
        <w:rPr>
          <w:rFonts w:hint="default" w:ascii="Times New Roman" w:hAnsi="Times New Roman" w:eastAsia="FangSong_GB2312" w:cs="Times New Roman"/>
          <w:color w:val="000000"/>
          <w:spacing w:val="0"/>
          <w:sz w:val="32"/>
          <w:szCs w:val="22"/>
          <w:highlight w:val="none"/>
        </w:rPr>
        <w:t>十</w:t>
      </w:r>
      <w:r>
        <w:rPr>
          <w:rFonts w:hint="default" w:ascii="Times New Roman" w:hAnsi="Times New Roman" w:eastAsia="FangSong_GB2312" w:cs="Times New Roman"/>
          <w:color w:val="000000"/>
          <w:spacing w:val="0"/>
          <w:sz w:val="32"/>
          <w:szCs w:val="22"/>
          <w:highlight w:val="none"/>
          <w:lang w:eastAsia="zh-CN"/>
        </w:rPr>
        <w:t>四</w:t>
      </w:r>
      <w:r>
        <w:rPr>
          <w:rFonts w:hint="eastAsia" w:ascii="Times New Roman" w:hAnsi="Times New Roman" w:eastAsia="FangSong_GB2312" w:cs="Times New Roman"/>
          <w:color w:val="000000"/>
          <w:spacing w:val="0"/>
          <w:sz w:val="32"/>
          <w:szCs w:val="22"/>
          <w:highlight w:val="none"/>
          <w:lang w:eastAsia="zh-CN"/>
        </w:rPr>
        <w:t>）</w:t>
      </w:r>
      <w:r>
        <w:rPr>
          <w:rFonts w:hint="default" w:ascii="Times New Roman" w:hAnsi="Times New Roman" w:eastAsia="FangSong_GB2312" w:cs="Times New Roman"/>
          <w:color w:val="000000"/>
          <w:spacing w:val="0"/>
          <w:sz w:val="32"/>
          <w:szCs w:val="22"/>
          <w:highlight w:val="none"/>
        </w:rPr>
        <w:t>项目支出：指在基本支出之外为完成特定行政任务或事业发展目标所发生的支出。</w:t>
      </w:r>
    </w:p>
    <w:p w14:paraId="4E5E13E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bCs/>
          <w:spacing w:val="0"/>
          <w:kern w:val="44"/>
          <w:sz w:val="32"/>
          <w:szCs w:val="32"/>
          <w:highlight w:val="none"/>
        </w:rPr>
      </w:pP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十</w:t>
      </w:r>
      <w:r>
        <w:rPr>
          <w:rFonts w:hint="default" w:ascii="Times New Roman" w:hAnsi="Times New Roman" w:eastAsia="仿宋_GB2312" w:cs="Times New Roman"/>
          <w:spacing w:val="0"/>
          <w:sz w:val="32"/>
          <w:szCs w:val="32"/>
          <w:highlight w:val="none"/>
          <w:lang w:eastAsia="zh-CN"/>
        </w:rPr>
        <w:t>五</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bCs/>
          <w:spacing w:val="0"/>
          <w:kern w:val="44"/>
          <w:sz w:val="32"/>
          <w:szCs w:val="32"/>
          <w:highlight w:val="none"/>
        </w:rPr>
        <w:t>经营支出：指事业单位在专业活动及辅助活动之外开展非独立核算经营活动发生的支出。</w:t>
      </w:r>
    </w:p>
    <w:p w14:paraId="067DC2E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rPr>
      </w:pP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十</w:t>
      </w:r>
      <w:r>
        <w:rPr>
          <w:rFonts w:hint="default" w:ascii="Times New Roman" w:hAnsi="Times New Roman" w:eastAsia="仿宋_GB2312" w:cs="Times New Roman"/>
          <w:spacing w:val="0"/>
          <w:sz w:val="32"/>
          <w:szCs w:val="32"/>
          <w:highlight w:val="none"/>
          <w:lang w:eastAsia="zh-CN"/>
        </w:rPr>
        <w:t>六</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“三公”经费：</w:t>
      </w:r>
      <w:r>
        <w:rPr>
          <w:rFonts w:hint="default" w:ascii="Times New Roman" w:hAnsi="Times New Roman" w:eastAsia="仿宋_GB2312" w:cs="Times New Roman"/>
          <w:spacing w:val="0"/>
          <w:sz w:val="32"/>
          <w:szCs w:val="32"/>
          <w:highlight w:val="none"/>
          <w:lang w:eastAsia="zh-CN"/>
        </w:rPr>
        <w:t>纳入省级财政预决算管理的</w:t>
      </w:r>
      <w:r>
        <w:rPr>
          <w:rFonts w:hint="default" w:ascii="Times New Roman" w:hAnsi="Times New Roman" w:eastAsia="仿宋_GB2312" w:cs="Times New Roman"/>
          <w:spacing w:val="0"/>
          <w:sz w:val="32"/>
          <w:szCs w:val="32"/>
          <w:highlight w:val="none"/>
        </w:rPr>
        <w:t>“三公”经费</w:t>
      </w:r>
      <w:r>
        <w:rPr>
          <w:rFonts w:hint="default" w:ascii="Times New Roman" w:hAnsi="Times New Roman" w:eastAsia="仿宋_GB2312" w:cs="Times New Roman"/>
          <w:spacing w:val="0"/>
          <w:sz w:val="32"/>
          <w:szCs w:val="32"/>
          <w:highlight w:val="none"/>
          <w:lang w:eastAsia="zh-CN"/>
        </w:rPr>
        <w:t>，是</w:t>
      </w:r>
      <w:r>
        <w:rPr>
          <w:rFonts w:hint="default" w:ascii="Times New Roman" w:hAnsi="Times New Roman" w:eastAsia="仿宋_GB2312" w:cs="Times New Roman"/>
          <w:spacing w:val="0"/>
          <w:sz w:val="32"/>
          <w:szCs w:val="32"/>
          <w:highlight w:val="none"/>
        </w:rPr>
        <w:t>指</w:t>
      </w:r>
      <w:r>
        <w:rPr>
          <w:rFonts w:hint="default" w:ascii="Times New Roman" w:hAnsi="Times New Roman" w:cs="Times New Roman"/>
          <w:spacing w:val="0"/>
          <w:sz w:val="32"/>
          <w:szCs w:val="32"/>
          <w:highlight w:val="none"/>
          <w:lang w:eastAsia="zh-CN"/>
        </w:rPr>
        <w:t>市直</w:t>
      </w:r>
      <w:r>
        <w:rPr>
          <w:rFonts w:hint="default" w:ascii="Times New Roman" w:hAnsi="Times New Roman" w:eastAsia="仿宋_GB2312" w:cs="Times New Roman"/>
          <w:spacing w:val="0"/>
          <w:sz w:val="32"/>
          <w:szCs w:val="32"/>
          <w:highlight w:val="none"/>
          <w:lang w:eastAsia="zh-CN"/>
        </w:rPr>
        <w:t>部门</w:t>
      </w:r>
      <w:r>
        <w:rPr>
          <w:rFonts w:hint="default" w:ascii="Times New Roman" w:hAnsi="Times New Roman" w:eastAsia="仿宋_GB2312" w:cs="Times New Roman"/>
          <w:spacing w:val="0"/>
          <w:sz w:val="32"/>
          <w:szCs w:val="32"/>
          <w:highlight w:val="none"/>
        </w:rPr>
        <w:t>用财政拨款安排的因公出国</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境</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费、公务用车购置及运行费和公务接待费。其中，因公出国</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境</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费反映单位公务出国</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境</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的国际旅费、国外城市间交通费、住宿费、伙食费、培训费、公杂费等支出；公务用车购置及运行费反映单位公务用车购置支出</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含车辆购置税</w:t>
      </w:r>
      <w:r>
        <w:rPr>
          <w:rFonts w:hint="default" w:ascii="Times New Roman" w:hAnsi="Times New Roman" w:eastAsia="仿宋_GB2312" w:cs="Times New Roman"/>
          <w:spacing w:val="0"/>
          <w:sz w:val="32"/>
          <w:szCs w:val="32"/>
          <w:highlight w:val="none"/>
          <w:lang w:eastAsia="zh-CN"/>
        </w:rPr>
        <w:t>、牌照费</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及燃料费、维修费、过桥过路费、保险费、安全奖励费用等支出；公务接待费反映单位按规定开支的各类公务接待</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含外宾接待</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费用。</w:t>
      </w:r>
    </w:p>
    <w:p w14:paraId="183B13A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lang w:eastAsia="zh-CN"/>
        </w:rPr>
      </w:pP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十</w:t>
      </w:r>
      <w:r>
        <w:rPr>
          <w:rFonts w:hint="default" w:ascii="Times New Roman" w:hAnsi="Times New Roman" w:eastAsia="仿宋_GB2312" w:cs="Times New Roman"/>
          <w:spacing w:val="0"/>
          <w:sz w:val="32"/>
          <w:szCs w:val="32"/>
          <w:highlight w:val="none"/>
          <w:lang w:eastAsia="zh-CN"/>
        </w:rPr>
        <w:t>七</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机关运行经费：指为保障行政单位（</w:t>
      </w:r>
      <w:r>
        <w:rPr>
          <w:rFonts w:hint="default" w:ascii="Times New Roman" w:hAnsi="Times New Roman" w:eastAsia="仿宋_GB2312" w:cs="Times New Roman"/>
          <w:spacing w:val="0"/>
          <w:sz w:val="32"/>
          <w:szCs w:val="32"/>
          <w:highlight w:val="none"/>
          <w:lang w:eastAsia="zh-CN"/>
        </w:rPr>
        <w:t>包括</w:t>
      </w:r>
      <w:r>
        <w:rPr>
          <w:rFonts w:hint="default" w:ascii="Times New Roman" w:hAnsi="Times New Roman" w:eastAsia="仿宋_GB2312" w:cs="Times New Roman"/>
          <w:spacing w:val="0"/>
          <w:sz w:val="32"/>
          <w:szCs w:val="32"/>
          <w:highlight w:val="none"/>
        </w:rPr>
        <w:t>参照公务员法管理的事业单位）运行用于购买货物和服务的各项资金，包括办公</w:t>
      </w:r>
      <w:r>
        <w:rPr>
          <w:rFonts w:hint="default" w:ascii="Times New Roman" w:hAnsi="Times New Roman" w:eastAsia="仿宋_GB2312" w:cs="Times New Roman"/>
          <w:spacing w:val="0"/>
          <w:sz w:val="32"/>
          <w:szCs w:val="32"/>
          <w:highlight w:val="none"/>
          <w:lang w:eastAsia="zh-CN"/>
        </w:rPr>
        <w:t>费、</w:t>
      </w:r>
      <w:r>
        <w:rPr>
          <w:rFonts w:hint="default" w:ascii="Times New Roman" w:hAnsi="Times New Roman" w:eastAsia="仿宋_GB2312" w:cs="Times New Roman"/>
          <w:spacing w:val="0"/>
          <w:sz w:val="32"/>
          <w:szCs w:val="32"/>
          <w:highlight w:val="none"/>
        </w:rPr>
        <w:t>印刷费、邮电费、差旅费、会议费、福利费、日常维修费、专用材料及一般设备购置费、办公用房水电费、办公用房取暖费、办公用房物业管理费、公务用车运行维护费以及其他费用。</w:t>
      </w:r>
    </w:p>
    <w:p w14:paraId="6155BEC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spacing w:val="0"/>
          <w:sz w:val="32"/>
          <w:szCs w:val="32"/>
          <w:highlight w:val="none"/>
          <w:lang w:eastAsia="zh-CN"/>
        </w:rPr>
      </w:pP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十</w:t>
      </w:r>
      <w:r>
        <w:rPr>
          <w:rFonts w:hint="default" w:ascii="Times New Roman" w:hAnsi="Times New Roman" w:eastAsia="仿宋_GB2312" w:cs="Times New Roman"/>
          <w:spacing w:val="0"/>
          <w:sz w:val="32"/>
          <w:szCs w:val="32"/>
          <w:highlight w:val="none"/>
          <w:lang w:eastAsia="zh-CN"/>
        </w:rPr>
        <w:t>八</w:t>
      </w:r>
      <w:r>
        <w:rPr>
          <w:rFonts w:hint="eastAsia" w:ascii="Times New Roman" w:hAnsi="Times New Roman"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lang w:eastAsia="zh-CN"/>
        </w:rPr>
        <w:t>其他专用名词。</w:t>
      </w:r>
    </w:p>
    <w:p w14:paraId="72D16638">
      <w:pPr>
        <w:pageBreakBefore w:val="0"/>
        <w:widowControl w:val="0"/>
        <w:kinsoku/>
        <w:wordWrap/>
        <w:overflowPunct/>
        <w:topLinePunct w:val="0"/>
        <w:bidi w:val="0"/>
        <w:snapToGrid w:val="0"/>
        <w:spacing w:line="360" w:lineRule="auto"/>
        <w:ind w:firstLine="640" w:firstLineChars="200"/>
        <w:textAlignment w:val="auto"/>
        <w:rPr>
          <w:rFonts w:hint="default" w:ascii="Times New Roman" w:hAnsi="Times New Roman" w:eastAsia="仿宋_GB2312" w:cs="Times New Roman"/>
          <w:spacing w:val="0"/>
          <w:sz w:val="32"/>
          <w:szCs w:val="32"/>
          <w:highlight w:val="none"/>
          <w:lang w:eastAsia="zh-CN"/>
        </w:rPr>
      </w:pPr>
      <w:r>
        <w:rPr>
          <w:rFonts w:ascii="仿宋_GB2312" w:hAnsi="Times New Roman" w:eastAsia="仿宋_GB2312" w:cs="Times New Roman"/>
          <w:sz w:val="32"/>
          <w:szCs w:val="32"/>
          <w:highlight w:val="none"/>
        </w:rPr>
        <w:t>无其他专用名词</w:t>
      </w:r>
    </w:p>
    <w:p w14:paraId="65D602A7">
      <w:pPr>
        <w:pStyle w:val="8"/>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pacing w:val="0"/>
          <w:sz w:val="32"/>
          <w:szCs w:val="32"/>
          <w:highlight w:val="none"/>
          <w:lang w:val="en-US" w:eastAsia="zh-CN"/>
        </w:rPr>
        <w:t>第六部分  附件</w:t>
      </w:r>
    </w:p>
    <w:p w14:paraId="2662703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一、2023年度</w:t>
      </w:r>
      <w:r>
        <w:rPr>
          <w:rFonts w:hint="eastAsia" w:eastAsia="黑体" w:cs="Times New Roman"/>
          <w:spacing w:val="0"/>
          <w:sz w:val="32"/>
          <w:highlight w:val="none"/>
          <w:u w:val="single"/>
          <w:lang w:val="en-US" w:eastAsia="zh-CN"/>
        </w:rPr>
        <w:t>团市委</w:t>
      </w:r>
      <w:r>
        <w:rPr>
          <w:rFonts w:hint="default" w:ascii="Times New Roman" w:hAnsi="Times New Roman" w:eastAsia="黑体" w:cs="Times New Roman"/>
          <w:spacing w:val="0"/>
          <w:sz w:val="32"/>
          <w:highlight w:val="none"/>
          <w:lang w:val="en-US" w:eastAsia="zh-CN"/>
        </w:rPr>
        <w:t>整体绩效评价自评</w:t>
      </w:r>
      <w:r>
        <w:rPr>
          <w:rFonts w:hint="eastAsia" w:eastAsia="黑体" w:cs="Times New Roman"/>
          <w:spacing w:val="0"/>
          <w:sz w:val="32"/>
          <w:highlight w:val="none"/>
          <w:lang w:val="en-US" w:eastAsia="zh-CN"/>
        </w:rPr>
        <w:t>表</w:t>
      </w:r>
    </w:p>
    <w:p w14:paraId="31B23FB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141DED7">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2BCF24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1E3DC2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51AF2B2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DA330EB">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8FF4B2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2670FC9">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14FAEF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drawing>
          <wp:anchor distT="0" distB="0" distL="114300" distR="114300" simplePos="0" relativeHeight="251663360" behindDoc="0" locked="0" layoutInCell="1" allowOverlap="1">
            <wp:simplePos x="0" y="0"/>
            <wp:positionH relativeFrom="column">
              <wp:posOffset>482600</wp:posOffset>
            </wp:positionH>
            <wp:positionV relativeFrom="paragraph">
              <wp:posOffset>-114300</wp:posOffset>
            </wp:positionV>
            <wp:extent cx="4744720" cy="8279765"/>
            <wp:effectExtent l="0" t="0" r="10160" b="10795"/>
            <wp:wrapNone/>
            <wp:docPr id="19" name="图片 19" descr="173622892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36228920787"/>
                    <pic:cNvPicPr>
                      <a:picLocks noChangeAspect="1"/>
                    </pic:cNvPicPr>
                  </pic:nvPicPr>
                  <pic:blipFill>
                    <a:blip r:embed="rId18"/>
                    <a:stretch>
                      <a:fillRect/>
                    </a:stretch>
                  </pic:blipFill>
                  <pic:spPr>
                    <a:xfrm>
                      <a:off x="0" y="0"/>
                      <a:ext cx="4744720" cy="8279765"/>
                    </a:xfrm>
                    <a:prstGeom prst="rect">
                      <a:avLst/>
                    </a:prstGeom>
                  </pic:spPr>
                </pic:pic>
              </a:graphicData>
            </a:graphic>
          </wp:anchor>
        </w:drawing>
      </w:r>
    </w:p>
    <w:p w14:paraId="1134461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E4F53B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76E5C4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D72533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FEABD0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2D6FB6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9D96B7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1CC53DC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155ABAF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118473B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0A9ABAC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789B3A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151AF77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9734631">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359B3E7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A216358">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181B75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799F78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202610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37E6078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3DFE8DC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二、2023年度</w:t>
      </w:r>
      <w:r>
        <w:rPr>
          <w:rFonts w:hint="eastAsia" w:eastAsia="黑体" w:cs="Times New Roman"/>
          <w:spacing w:val="0"/>
          <w:sz w:val="32"/>
          <w:highlight w:val="none"/>
          <w:lang w:val="en-US" w:eastAsia="zh-CN"/>
        </w:rPr>
        <w:t>青年工作经费</w:t>
      </w:r>
      <w:r>
        <w:rPr>
          <w:rFonts w:hint="default" w:ascii="Times New Roman" w:hAnsi="Times New Roman" w:eastAsia="黑体" w:cs="Times New Roman"/>
          <w:spacing w:val="0"/>
          <w:sz w:val="32"/>
          <w:highlight w:val="none"/>
          <w:lang w:val="en-US" w:eastAsia="zh-CN"/>
        </w:rPr>
        <w:t>项目绩效评价自评表</w:t>
      </w:r>
    </w:p>
    <w:p w14:paraId="49A0369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drawing>
          <wp:anchor distT="0" distB="0" distL="114300" distR="114300" simplePos="0" relativeHeight="251664384" behindDoc="0" locked="0" layoutInCell="1" allowOverlap="1">
            <wp:simplePos x="0" y="0"/>
            <wp:positionH relativeFrom="column">
              <wp:posOffset>-20320</wp:posOffset>
            </wp:positionH>
            <wp:positionV relativeFrom="paragraph">
              <wp:posOffset>41275</wp:posOffset>
            </wp:positionV>
            <wp:extent cx="5322570" cy="8274050"/>
            <wp:effectExtent l="0" t="0" r="11430" b="1270"/>
            <wp:wrapNone/>
            <wp:docPr id="20" name="图片 20" descr="173622898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36228988058"/>
                    <pic:cNvPicPr>
                      <a:picLocks noChangeAspect="1"/>
                    </pic:cNvPicPr>
                  </pic:nvPicPr>
                  <pic:blipFill>
                    <a:blip r:embed="rId19"/>
                    <a:stretch>
                      <a:fillRect/>
                    </a:stretch>
                  </pic:blipFill>
                  <pic:spPr>
                    <a:xfrm>
                      <a:off x="0" y="0"/>
                      <a:ext cx="5322570" cy="8274050"/>
                    </a:xfrm>
                    <a:prstGeom prst="rect">
                      <a:avLst/>
                    </a:prstGeom>
                  </pic:spPr>
                </pic:pic>
              </a:graphicData>
            </a:graphic>
          </wp:anchor>
        </w:drawing>
      </w:r>
    </w:p>
    <w:p w14:paraId="6AC413B5">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CC87DD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A43B4B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079E820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AA39CA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F249FE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59C8C843">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3A03B9E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6F0A99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516A50DE">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3D4403CA">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5348CF04">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6FCCE780">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2DBF0FC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06D8EF22">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560B86D">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42FD15B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067009EC">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p>
    <w:p w14:paraId="77FCA1F6">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黑体" w:cs="Times New Roman"/>
          <w:spacing w:val="0"/>
          <w:sz w:val="32"/>
          <w:highlight w:val="none"/>
          <w:lang w:val="en-US" w:eastAsia="zh-CN"/>
        </w:rPr>
      </w:pPr>
    </w:p>
    <w:p w14:paraId="6DA8E7B6">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黑体" w:cs="Times New Roman"/>
          <w:spacing w:val="0"/>
          <w:sz w:val="32"/>
          <w:highlight w:val="none"/>
          <w:lang w:val="en-US" w:eastAsia="zh-CN"/>
        </w:rPr>
      </w:pPr>
      <w:r>
        <w:rPr>
          <w:rFonts w:hint="default" w:ascii="Times New Roman" w:hAnsi="Times New Roman" w:eastAsia="黑体" w:cs="Times New Roman"/>
          <w:spacing w:val="0"/>
          <w:sz w:val="32"/>
          <w:highlight w:val="none"/>
          <w:lang w:val="en-US" w:eastAsia="zh-CN"/>
        </w:rPr>
        <w:t>三、2023年度</w:t>
      </w:r>
      <w:r>
        <w:rPr>
          <w:rFonts w:hint="eastAsia" w:eastAsia="黑体" w:cs="Times New Roman"/>
          <w:spacing w:val="0"/>
          <w:sz w:val="32"/>
          <w:highlight w:val="none"/>
          <w:lang w:val="en-US" w:eastAsia="zh-CN"/>
        </w:rPr>
        <w:t>团代会会议费</w:t>
      </w:r>
      <w:r>
        <w:rPr>
          <w:rFonts w:hint="default" w:ascii="Times New Roman" w:hAnsi="Times New Roman" w:eastAsia="黑体" w:cs="Times New Roman"/>
          <w:spacing w:val="0"/>
          <w:sz w:val="32"/>
          <w:highlight w:val="none"/>
          <w:lang w:val="en-US" w:eastAsia="zh-CN"/>
        </w:rPr>
        <w:t>项目绩效评价自评表</w:t>
      </w:r>
    </w:p>
    <w:p w14:paraId="2E4127FF">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spacing w:val="0"/>
          <w:sz w:val="32"/>
          <w:highlight w:val="none"/>
          <w:lang w:val="en-US" w:eastAsia="zh-CN"/>
        </w:rPr>
      </w:pPr>
      <w:r>
        <w:rPr>
          <w:rFonts w:hint="default" w:ascii="Times New Roman" w:hAnsi="Times New Roman" w:cs="Times New Roman"/>
          <w:spacing w:val="0"/>
          <w:sz w:val="32"/>
          <w:highlight w:val="none"/>
          <w:lang w:val="en-US" w:eastAsia="zh-CN"/>
        </w:rPr>
        <w:drawing>
          <wp:anchor distT="0" distB="0" distL="114300" distR="114300" simplePos="0" relativeHeight="251662336" behindDoc="0" locked="0" layoutInCell="1" allowOverlap="1">
            <wp:simplePos x="0" y="0"/>
            <wp:positionH relativeFrom="column">
              <wp:posOffset>330200</wp:posOffset>
            </wp:positionH>
            <wp:positionV relativeFrom="paragraph">
              <wp:posOffset>200660</wp:posOffset>
            </wp:positionV>
            <wp:extent cx="5386705" cy="8273415"/>
            <wp:effectExtent l="0" t="0" r="8255" b="1905"/>
            <wp:wrapNone/>
            <wp:docPr id="18" name="图片 18" descr="173622835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36228356388"/>
                    <pic:cNvPicPr>
                      <a:picLocks noChangeAspect="1"/>
                    </pic:cNvPicPr>
                  </pic:nvPicPr>
                  <pic:blipFill>
                    <a:blip r:embed="rId20"/>
                    <a:stretch>
                      <a:fillRect/>
                    </a:stretch>
                  </pic:blipFill>
                  <pic:spPr>
                    <a:xfrm>
                      <a:off x="0" y="0"/>
                      <a:ext cx="5386705" cy="8273415"/>
                    </a:xfrm>
                    <a:prstGeom prst="rect">
                      <a:avLst/>
                    </a:prstGeom>
                  </pic:spPr>
                </pic:pic>
              </a:graphicData>
            </a:graphic>
          </wp:anchor>
        </w:drawing>
      </w:r>
    </w:p>
    <w:sectPr>
      <w:footerReference r:id="rId3" w:type="default"/>
      <w:pgSz w:w="11906" w:h="16838"/>
      <w:pgMar w:top="1984" w:right="1587" w:bottom="1814" w:left="1587" w:header="851" w:footer="1417" w:gutter="0"/>
      <w:pgNumType w:fmt="decimal" w:start="19"/>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7ED731-C64D-4807-BB6A-C8EE7528C5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F3ADC669-5E23-4E44-BAD9-53A6483832FB}"/>
  </w:font>
  <w:font w:name="仿宋_GB2312">
    <w:panose1 w:val="02010609030101010101"/>
    <w:charset w:val="86"/>
    <w:family w:val="auto"/>
    <w:pitch w:val="default"/>
    <w:sig w:usb0="00000001" w:usb1="080E0000" w:usb2="00000000" w:usb3="00000000" w:csb0="00040000" w:csb1="00000000"/>
    <w:embedRegular r:id="rId3" w:fontKey="{92D43D0F-2F6D-49F0-8931-C60779C38FD2}"/>
  </w:font>
  <w:font w:name="仿宋">
    <w:panose1 w:val="02010609060101010101"/>
    <w:charset w:val="86"/>
    <w:family w:val="modern"/>
    <w:pitch w:val="default"/>
    <w:sig w:usb0="800002BF" w:usb1="38CF7CFA" w:usb2="00000016" w:usb3="00000000" w:csb0="00040001" w:csb1="00000000"/>
    <w:embedRegular r:id="rId4" w:fontKey="{65414A96-A60A-423A-91F4-2AE740B60DF0}"/>
  </w:font>
  <w:font w:name="方正小标宋简体">
    <w:panose1 w:val="03000509000000000000"/>
    <w:charset w:val="86"/>
    <w:family w:val="auto"/>
    <w:pitch w:val="default"/>
    <w:sig w:usb0="00000001" w:usb1="080E0000" w:usb2="00000000" w:usb3="00000000" w:csb0="00040000" w:csb1="00000000"/>
    <w:embedRegular r:id="rId5" w:fontKey="{0E79F1A8-59F1-4EA6-9310-F3154F2E46E3}"/>
  </w:font>
  <w:font w:name="微软雅黑">
    <w:panose1 w:val="020B0503020204020204"/>
    <w:charset w:val="86"/>
    <w:family w:val="auto"/>
    <w:pitch w:val="default"/>
    <w:sig w:usb0="80000287" w:usb1="2ACF3C50" w:usb2="00000016" w:usb3="00000000" w:csb0="0004001F" w:csb1="00000000"/>
    <w:embedRegular r:id="rId6" w:fontKey="{FC63D14E-3D90-405F-A854-1E6EA754EC5D}"/>
  </w:font>
  <w:font w:name="楷体_GB2312">
    <w:panose1 w:val="02010609030101010101"/>
    <w:charset w:val="86"/>
    <w:family w:val="modern"/>
    <w:pitch w:val="default"/>
    <w:sig w:usb0="00000001" w:usb1="080E0000" w:usb2="00000000" w:usb3="00000000" w:csb0="00040000" w:csb1="00000000"/>
    <w:embedRegular r:id="rId7" w:fontKey="{4FE9CCA4-8D4E-40D1-9706-C801FACD9A27}"/>
  </w:font>
  <w:font w:name="FangSong_GB2312">
    <w:altName w:val="仿宋_GB2312"/>
    <w:panose1 w:val="00000000000000000000"/>
    <w:charset w:val="00"/>
    <w:family w:val="swiss"/>
    <w:pitch w:val="default"/>
    <w:sig w:usb0="00000000" w:usb1="00000000" w:usb2="00000000" w:usb3="00000000" w:csb0="00000001" w:csb1="00000000"/>
    <w:embedRegular r:id="rId8" w:fontKey="{E55E693D-6245-4B22-8812-DD9AF81DF65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2CF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836527">
                          <w:pPr>
                            <w:pStyle w:val="2"/>
                            <w:rPr>
                              <w:rFonts w:hint="default" w:ascii="Times New Roman" w:hAnsi="Times New Roman" w:eastAsia="仿宋_GB2312" w:cs="Times New Roman"/>
                              <w:sz w:val="24"/>
                              <w:szCs w:val="24"/>
                              <w:lang w:eastAsia="zh-CN"/>
                            </w:rPr>
                          </w:pP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eastAsia="zh-CN"/>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0vsRLdAQAAvwMAAA4AAAAAAAAA&#10;AQAgAAAAHgEAAGRycy9lMm9Eb2MueG1sUEsFBgAAAAAGAAYAWQEAAG0FAAAAAA==&#10;">
              <v:fill on="f" focussize="0,0"/>
              <v:stroke on="f"/>
              <v:imagedata o:title=""/>
              <o:lock v:ext="edit" aspectratio="f"/>
              <v:textbox inset="0mm,0mm,0mm,0mm" style="mso-fit-shape-to-text:t;">
                <w:txbxContent>
                  <w:p w14:paraId="45836527">
                    <w:pPr>
                      <w:pStyle w:val="2"/>
                      <w:rPr>
                        <w:rFonts w:hint="default" w:ascii="Times New Roman" w:hAnsi="Times New Roman" w:eastAsia="仿宋_GB2312" w:cs="Times New Roman"/>
                        <w:sz w:val="24"/>
                        <w:szCs w:val="24"/>
                        <w:lang w:eastAsia="zh-CN"/>
                      </w:rPr>
                    </w:pP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39B4B"/>
    <w:multiLevelType w:val="singleLevel"/>
    <w:tmpl w:val="8FF39B4B"/>
    <w:lvl w:ilvl="0" w:tentative="0">
      <w:start w:val="1"/>
      <w:numFmt w:val="decimal"/>
      <w:suff w:val="space"/>
      <w:lvlText w:val="%1."/>
      <w:lvlJc w:val="left"/>
    </w:lvl>
  </w:abstractNum>
  <w:abstractNum w:abstractNumId="1">
    <w:nsid w:val="A451CD3E"/>
    <w:multiLevelType w:val="singleLevel"/>
    <w:tmpl w:val="A451CD3E"/>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ZDNmOTA0MzRlMzhjNDBjZmRlNzliYWM0MzFlODYifQ=="/>
    <w:docVar w:name="KSO_WPS_MARK_KEY" w:val="567dff53-2a7d-4d4e-b9d8-5aca55571322"/>
  </w:docVars>
  <w:rsids>
    <w:rsidRoot w:val="00172A27"/>
    <w:rsid w:val="00177734"/>
    <w:rsid w:val="013E7AC7"/>
    <w:rsid w:val="019964EA"/>
    <w:rsid w:val="01BE2D5A"/>
    <w:rsid w:val="023B0737"/>
    <w:rsid w:val="029861A7"/>
    <w:rsid w:val="02A34C5F"/>
    <w:rsid w:val="02C60506"/>
    <w:rsid w:val="02C912DA"/>
    <w:rsid w:val="03201C98"/>
    <w:rsid w:val="04990803"/>
    <w:rsid w:val="051B5FB2"/>
    <w:rsid w:val="05A361EF"/>
    <w:rsid w:val="05C123A9"/>
    <w:rsid w:val="0603185D"/>
    <w:rsid w:val="066F0480"/>
    <w:rsid w:val="069C1222"/>
    <w:rsid w:val="06EA398A"/>
    <w:rsid w:val="07500C2E"/>
    <w:rsid w:val="07C42015"/>
    <w:rsid w:val="08BB4CF2"/>
    <w:rsid w:val="08BF7782"/>
    <w:rsid w:val="0A30541D"/>
    <w:rsid w:val="0D2838E8"/>
    <w:rsid w:val="0F155897"/>
    <w:rsid w:val="0F5E69F1"/>
    <w:rsid w:val="0F782054"/>
    <w:rsid w:val="0FE232D7"/>
    <w:rsid w:val="103E70D0"/>
    <w:rsid w:val="10644984"/>
    <w:rsid w:val="106C7341"/>
    <w:rsid w:val="107226B0"/>
    <w:rsid w:val="10ED7ECB"/>
    <w:rsid w:val="11CC518A"/>
    <w:rsid w:val="11E06FA9"/>
    <w:rsid w:val="12172533"/>
    <w:rsid w:val="12E80C4A"/>
    <w:rsid w:val="13675281"/>
    <w:rsid w:val="13A721FF"/>
    <w:rsid w:val="13DB4F89"/>
    <w:rsid w:val="14557466"/>
    <w:rsid w:val="14AC6C95"/>
    <w:rsid w:val="14FA7D64"/>
    <w:rsid w:val="15106F4F"/>
    <w:rsid w:val="151C034B"/>
    <w:rsid w:val="175306B7"/>
    <w:rsid w:val="17B24FAF"/>
    <w:rsid w:val="17DF5EC9"/>
    <w:rsid w:val="1980363C"/>
    <w:rsid w:val="19823B1B"/>
    <w:rsid w:val="199B15A1"/>
    <w:rsid w:val="1AAE67BE"/>
    <w:rsid w:val="1ABE6FE3"/>
    <w:rsid w:val="1AD05FDE"/>
    <w:rsid w:val="1CC27AD1"/>
    <w:rsid w:val="1D7C428F"/>
    <w:rsid w:val="1D9C0305"/>
    <w:rsid w:val="1F085EE0"/>
    <w:rsid w:val="1F613015"/>
    <w:rsid w:val="1FB95752"/>
    <w:rsid w:val="20806C44"/>
    <w:rsid w:val="210C177B"/>
    <w:rsid w:val="21A86C72"/>
    <w:rsid w:val="21F62F01"/>
    <w:rsid w:val="23933B89"/>
    <w:rsid w:val="23D653BD"/>
    <w:rsid w:val="24317D36"/>
    <w:rsid w:val="25E40F1B"/>
    <w:rsid w:val="27EC6766"/>
    <w:rsid w:val="290902F6"/>
    <w:rsid w:val="29FE25FE"/>
    <w:rsid w:val="2AA514F8"/>
    <w:rsid w:val="2ABC5374"/>
    <w:rsid w:val="2B146097"/>
    <w:rsid w:val="2B1C41B0"/>
    <w:rsid w:val="2B585B55"/>
    <w:rsid w:val="2BC608EE"/>
    <w:rsid w:val="2C543195"/>
    <w:rsid w:val="2D275C21"/>
    <w:rsid w:val="2DA17D26"/>
    <w:rsid w:val="2F052A80"/>
    <w:rsid w:val="2F07148C"/>
    <w:rsid w:val="3069714B"/>
    <w:rsid w:val="30B11BE5"/>
    <w:rsid w:val="31072E65"/>
    <w:rsid w:val="317821EF"/>
    <w:rsid w:val="31902C3E"/>
    <w:rsid w:val="319C1263"/>
    <w:rsid w:val="3204491F"/>
    <w:rsid w:val="324D79F5"/>
    <w:rsid w:val="32683364"/>
    <w:rsid w:val="33192BBE"/>
    <w:rsid w:val="33A066C8"/>
    <w:rsid w:val="341328FE"/>
    <w:rsid w:val="342815E4"/>
    <w:rsid w:val="35A22583"/>
    <w:rsid w:val="364A12E8"/>
    <w:rsid w:val="36C06BEC"/>
    <w:rsid w:val="37054B8B"/>
    <w:rsid w:val="37CB2439"/>
    <w:rsid w:val="37FB7D68"/>
    <w:rsid w:val="386A515B"/>
    <w:rsid w:val="38E677D5"/>
    <w:rsid w:val="391F30E3"/>
    <w:rsid w:val="395B619F"/>
    <w:rsid w:val="395C49BB"/>
    <w:rsid w:val="39D57AEA"/>
    <w:rsid w:val="39E73ADD"/>
    <w:rsid w:val="3A96743D"/>
    <w:rsid w:val="3AA739BB"/>
    <w:rsid w:val="3B2E0A9A"/>
    <w:rsid w:val="3BA63E73"/>
    <w:rsid w:val="3C300DB8"/>
    <w:rsid w:val="3CCC762D"/>
    <w:rsid w:val="3DB40AD1"/>
    <w:rsid w:val="3E1875F9"/>
    <w:rsid w:val="3E5B4041"/>
    <w:rsid w:val="3F134852"/>
    <w:rsid w:val="3FA93C5C"/>
    <w:rsid w:val="3FD85D09"/>
    <w:rsid w:val="40117033"/>
    <w:rsid w:val="402C37E7"/>
    <w:rsid w:val="40557BBD"/>
    <w:rsid w:val="40E575B6"/>
    <w:rsid w:val="415E5FF2"/>
    <w:rsid w:val="41912E59"/>
    <w:rsid w:val="42C7362B"/>
    <w:rsid w:val="44107B42"/>
    <w:rsid w:val="467B616A"/>
    <w:rsid w:val="46F32AFF"/>
    <w:rsid w:val="47060D6C"/>
    <w:rsid w:val="47DA38F3"/>
    <w:rsid w:val="48BA31C1"/>
    <w:rsid w:val="4A075347"/>
    <w:rsid w:val="4A273CC0"/>
    <w:rsid w:val="4A7455D7"/>
    <w:rsid w:val="4A831624"/>
    <w:rsid w:val="4AA549ED"/>
    <w:rsid w:val="4AE71047"/>
    <w:rsid w:val="4C5D745F"/>
    <w:rsid w:val="4C6F174F"/>
    <w:rsid w:val="4CF76003"/>
    <w:rsid w:val="4D5519AB"/>
    <w:rsid w:val="4DF80089"/>
    <w:rsid w:val="4F3B42FB"/>
    <w:rsid w:val="501C4516"/>
    <w:rsid w:val="505C103B"/>
    <w:rsid w:val="50874A7C"/>
    <w:rsid w:val="51EF4924"/>
    <w:rsid w:val="5219152A"/>
    <w:rsid w:val="52A707CD"/>
    <w:rsid w:val="533203D0"/>
    <w:rsid w:val="53811054"/>
    <w:rsid w:val="53902AC5"/>
    <w:rsid w:val="54155AC4"/>
    <w:rsid w:val="54162067"/>
    <w:rsid w:val="544D0F4F"/>
    <w:rsid w:val="54E653C2"/>
    <w:rsid w:val="55A07CB5"/>
    <w:rsid w:val="569D3A25"/>
    <w:rsid w:val="56B20826"/>
    <w:rsid w:val="572343AB"/>
    <w:rsid w:val="57615652"/>
    <w:rsid w:val="593542E4"/>
    <w:rsid w:val="59E6188F"/>
    <w:rsid w:val="5AD83789"/>
    <w:rsid w:val="5ADB67DA"/>
    <w:rsid w:val="5B726329"/>
    <w:rsid w:val="5BD443CE"/>
    <w:rsid w:val="5D14783E"/>
    <w:rsid w:val="5D301AE5"/>
    <w:rsid w:val="5D334270"/>
    <w:rsid w:val="5D486349"/>
    <w:rsid w:val="5DCA70C9"/>
    <w:rsid w:val="5DF87710"/>
    <w:rsid w:val="5E84552B"/>
    <w:rsid w:val="5EF63DB3"/>
    <w:rsid w:val="5F4014D0"/>
    <w:rsid w:val="6039329B"/>
    <w:rsid w:val="61980F92"/>
    <w:rsid w:val="623F4256"/>
    <w:rsid w:val="627B0ECC"/>
    <w:rsid w:val="64510316"/>
    <w:rsid w:val="645706A8"/>
    <w:rsid w:val="649B2F7D"/>
    <w:rsid w:val="64E32140"/>
    <w:rsid w:val="653448B6"/>
    <w:rsid w:val="65547BFE"/>
    <w:rsid w:val="65836A9C"/>
    <w:rsid w:val="65E968A5"/>
    <w:rsid w:val="661C0CF6"/>
    <w:rsid w:val="662D0574"/>
    <w:rsid w:val="66826A61"/>
    <w:rsid w:val="66A948C2"/>
    <w:rsid w:val="68593E84"/>
    <w:rsid w:val="692B03E2"/>
    <w:rsid w:val="69880225"/>
    <w:rsid w:val="69AD32FC"/>
    <w:rsid w:val="69C071DD"/>
    <w:rsid w:val="69C80956"/>
    <w:rsid w:val="6A5A093E"/>
    <w:rsid w:val="6AA00E21"/>
    <w:rsid w:val="6B036724"/>
    <w:rsid w:val="6C5076BD"/>
    <w:rsid w:val="6CC142A2"/>
    <w:rsid w:val="6CF22418"/>
    <w:rsid w:val="6D396136"/>
    <w:rsid w:val="6D8A46AE"/>
    <w:rsid w:val="6DCA1178"/>
    <w:rsid w:val="6EA00679"/>
    <w:rsid w:val="70170310"/>
    <w:rsid w:val="710B2708"/>
    <w:rsid w:val="71D7083C"/>
    <w:rsid w:val="72D022B6"/>
    <w:rsid w:val="73056C0F"/>
    <w:rsid w:val="73972FFE"/>
    <w:rsid w:val="74056784"/>
    <w:rsid w:val="74823C8D"/>
    <w:rsid w:val="76021524"/>
    <w:rsid w:val="76DC4D6B"/>
    <w:rsid w:val="76E81511"/>
    <w:rsid w:val="77E963DD"/>
    <w:rsid w:val="78675726"/>
    <w:rsid w:val="795379F2"/>
    <w:rsid w:val="797353EC"/>
    <w:rsid w:val="7BAA698E"/>
    <w:rsid w:val="7BE063D3"/>
    <w:rsid w:val="7C94315B"/>
    <w:rsid w:val="7CD46C1D"/>
    <w:rsid w:val="7F737DF6"/>
    <w:rsid w:val="7FFE36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next w:val="1"/>
    <w:qFormat/>
    <w:uiPriority w:val="0"/>
    <w:pPr>
      <w:snapToGrid w:val="0"/>
      <w:jc w:val="left"/>
    </w:pPr>
    <w:rPr>
      <w:sz w:val="32"/>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正文缩进 + 首行缩进:  2 字符"/>
    <w:basedOn w:val="1"/>
    <w:qFormat/>
    <w:uiPriority w:val="0"/>
    <w:pPr>
      <w:spacing w:line="560" w:lineRule="exact"/>
      <w:ind w:firstLine="640"/>
    </w:pPr>
    <w:rPr>
      <w:rFonts w:ascii="仿宋" w:hAnsi="仿宋" w:eastAsia="仿宋" w:cs="宋体"/>
      <w:sz w:val="32"/>
      <w:szCs w:val="20"/>
    </w:rPr>
  </w:style>
  <w:style w:type="paragraph" w:customStyle="1" w:styleId="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chart" Target="charts/chart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d:\Administrators\Desktop\&#26609;&#29366;&#22270;&#39292;&#2936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35555555555556"/>
          <c:y val="0.042648709315376"/>
          <c:w val="0.907277777777778"/>
          <c:h val="0.740381593714927"/>
        </c:manualLayout>
      </c:layout>
      <c:lineChart>
        <c:grouping val="standard"/>
        <c:varyColors val="0"/>
        <c:ser>
          <c:idx val="0"/>
          <c:order val="0"/>
          <c:tx>
            <c:strRef>
              <c:f>"财政拨款总收入（万元）"</c:f>
              <c:strCache>
                <c:ptCount val="1"/>
                <c:pt idx="0">
                  <c:v>财政拨款总收入（万元）</c:v>
                </c:pt>
              </c:strCache>
            </c:strRef>
          </c:tx>
          <c:spPr>
            <a:ln w="28575" cap="rnd" cmpd="sng" algn="ctr">
              <a:solidFill>
                <a:schemeClr val="accent1"/>
              </a:solidFill>
              <a:prstDash val="solid"/>
              <a:round/>
            </a:ln>
            <a:effectLst/>
          </c:spPr>
          <c:marker>
            <c:symbol val="none"/>
          </c:marker>
          <c:dLbls>
            <c:delete val="1"/>
          </c:dLbls>
          <c:cat>
            <c:strRef>
              <c:f>[柱状图饼状图.xls]Sheet1!$A$56:$A$57</c:f>
              <c:strCache>
                <c:ptCount val="2"/>
                <c:pt idx="0">
                  <c:v>2022年度</c:v>
                </c:pt>
                <c:pt idx="1">
                  <c:v>2023年度</c:v>
                </c:pt>
              </c:strCache>
            </c:strRef>
          </c:cat>
          <c:val>
            <c:numRef>
              <c:f>[柱状图饼状图.xls]Sheet1!$B$56:$B$57</c:f>
              <c:numCache>
                <c:formatCode>General</c:formatCode>
                <c:ptCount val="2"/>
                <c:pt idx="0">
                  <c:v>255.67</c:v>
                </c:pt>
                <c:pt idx="1">
                  <c:v>250.4</c:v>
                </c:pt>
              </c:numCache>
            </c:numRef>
          </c:val>
          <c:smooth val="0"/>
        </c:ser>
        <c:dLbls>
          <c:showLegendKey val="0"/>
          <c:showVal val="0"/>
          <c:showCatName val="0"/>
          <c:showSerName val="0"/>
          <c:showPercent val="0"/>
          <c:showBubbleSize val="0"/>
        </c:dLbls>
        <c:marker val="0"/>
        <c:smooth val="0"/>
        <c:axId val="631532085"/>
        <c:axId val="895989511"/>
      </c:lineChart>
      <c:catAx>
        <c:axId val="63153208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5989511"/>
        <c:crosses val="autoZero"/>
        <c:auto val="1"/>
        <c:lblAlgn val="ctr"/>
        <c:lblOffset val="100"/>
        <c:noMultiLvlLbl val="0"/>
      </c:catAx>
      <c:valAx>
        <c:axId val="895989511"/>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1532085"/>
        <c:crosses val="autoZero"/>
        <c:crossBetween val="between"/>
        <c:majorUnit val="20"/>
        <c:minorUnit val="5"/>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a86c79e-4c8f-4383-bafb-21d7c292b83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34</Pages>
  <Words>7242</Words>
  <Characters>7799</Characters>
  <Lines>0</Lines>
  <Paragraphs>0</Paragraphs>
  <TotalTime>4</TotalTime>
  <ScaleCrop>false</ScaleCrop>
  <LinksUpToDate>false</LinksUpToDate>
  <CharactersWithSpaces>8167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dunny</cp:lastModifiedBy>
  <cp:lastPrinted>2024-08-05T09:26:00Z</cp:lastPrinted>
  <dcterms:modified xsi:type="dcterms:W3CDTF">2025-01-07T05:50:43Z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899F548F054E4FD9BE1F3776D9C5866A_13</vt:lpwstr>
  </property>
  <property fmtid="{D5CDD505-2E9C-101B-9397-08002B2CF9AE}" pid="4" name="KSOTemplateDocerSaveRecord">
    <vt:lpwstr>eyJoZGlkIjoiMmE2NjgzNzlmN2U3YTJkMDgxMGNmZWNhMGE0OGJjZTQiLCJ1c2VySWQiOiIzMzI3MDMxMzIifQ==</vt:lpwstr>
  </property>
</Properties>
</file>