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B543E">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 w:val="0"/>
          <w:bCs w:val="0"/>
          <w:spacing w:val="8"/>
          <w:sz w:val="40"/>
          <w:szCs w:val="40"/>
          <w:shd w:val="clear" w:color="auto" w:fill="FFFFFF"/>
        </w:rPr>
      </w:pPr>
      <w:r>
        <w:rPr>
          <w:rFonts w:hint="default" w:ascii="Times New Roman" w:hAnsi="Times New Roman" w:eastAsia="方正小标宋简体" w:cs="Times New Roman"/>
          <w:b w:val="0"/>
          <w:bCs w:val="0"/>
          <w:spacing w:val="8"/>
          <w:sz w:val="40"/>
          <w:szCs w:val="40"/>
          <w:shd w:val="clear" w:color="auto" w:fill="FFFFFF"/>
        </w:rPr>
        <w:t>202</w:t>
      </w:r>
      <w:r>
        <w:rPr>
          <w:rFonts w:hint="eastAsia" w:ascii="Times New Roman" w:hAnsi="Times New Roman" w:eastAsia="方正小标宋简体" w:cs="Times New Roman"/>
          <w:b w:val="0"/>
          <w:bCs w:val="0"/>
          <w:spacing w:val="8"/>
          <w:sz w:val="40"/>
          <w:szCs w:val="40"/>
          <w:shd w:val="clear" w:color="auto" w:fill="FFFFFF"/>
          <w:lang w:val="en-US" w:eastAsia="zh-CN"/>
        </w:rPr>
        <w:t>4</w:t>
      </w:r>
      <w:r>
        <w:rPr>
          <w:rFonts w:hint="default" w:ascii="Times New Roman" w:hAnsi="Times New Roman" w:eastAsia="方正小标宋简体" w:cs="Times New Roman"/>
          <w:b w:val="0"/>
          <w:bCs w:val="0"/>
          <w:spacing w:val="8"/>
          <w:sz w:val="40"/>
          <w:szCs w:val="40"/>
          <w:shd w:val="clear" w:color="auto" w:fill="FFFFFF"/>
        </w:rPr>
        <w:t>年市级绩效管理情况说明</w:t>
      </w:r>
    </w:p>
    <w:p w14:paraId="0B266F23">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14:paraId="3201A30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eastAsia" w:ascii="黑体" w:hAnsi="黑体" w:eastAsia="黑体" w:cs="黑体"/>
          <w:b w:val="0"/>
          <w:bCs w:val="0"/>
          <w:sz w:val="32"/>
          <w:szCs w:val="32"/>
          <w:lang w:val="en-US" w:eastAsia="zh-CN"/>
        </w:rPr>
        <w:t>一、主动融入大财政体系建设新格局。</w:t>
      </w:r>
      <w:r>
        <w:rPr>
          <w:rFonts w:hint="default" w:ascii="Times New Roman" w:hAnsi="Times New Roman" w:eastAsia="仿宋_GB2312" w:cs="Times New Roman"/>
          <w:sz w:val="32"/>
          <w:szCs w:val="32"/>
          <w:lang w:val="en-US" w:eastAsia="zh-CN"/>
        </w:rPr>
        <w:t>2024年为实现政府投资绩效综合评价“单一窗口”管理，印发了《市财政局关于做好政府投资项目绩效综合评价平台运行工作的通知》及《政府投资项目绩效综合评价平台财政操作流程图》。推动全市</w:t>
      </w:r>
      <w:r>
        <w:rPr>
          <w:rFonts w:hint="default" w:ascii="Times New Roman" w:hAnsi="Times New Roman" w:eastAsia="仿宋_GB2312" w:cs="Times New Roman"/>
          <w:b w:val="0"/>
          <w:bCs w:val="0"/>
          <w:kern w:val="2"/>
          <w:sz w:val="32"/>
          <w:szCs w:val="32"/>
          <w:lang w:val="en-US" w:eastAsia="zh-CN" w:bidi="ar-SA"/>
        </w:rPr>
        <w:t>全面上线“单一窗口”，持续加强投资项目绩效综合评价管理，将“三库”管理的质效转化为向上争资的成效。</w:t>
      </w:r>
    </w:p>
    <w:p w14:paraId="4B950BBE">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黑体" w:hAnsi="黑体" w:eastAsia="黑体" w:cs="黑体"/>
          <w:b w:val="0"/>
          <w:bCs w:val="0"/>
          <w:sz w:val="32"/>
          <w:szCs w:val="32"/>
          <w:lang w:val="en-US" w:eastAsia="zh-CN"/>
        </w:rPr>
        <w:t>二、聚焦目标导向，加强预算绩效目标管理。</w:t>
      </w:r>
      <w:r>
        <w:rPr>
          <w:rFonts w:hint="default" w:ascii="Times New Roman" w:hAnsi="Times New Roman" w:eastAsia="仿宋_GB2312" w:cs="Times New Roman"/>
          <w:b w:val="0"/>
          <w:bCs w:val="0"/>
          <w:sz w:val="32"/>
          <w:szCs w:val="32"/>
          <w:lang w:val="en-US" w:eastAsia="zh-CN"/>
        </w:rPr>
        <w:t>一方面，严把绩效目标编制质量关，向全市预算单位印发《绩效目标编审指南》，对绩效目标编制工作中遇到的常见问题进行梳理和解答。在绩效目标编制全覆盖的基础上，严格审查绩效目标填报内容，对绩效目标编制过于宽、松、软，指标不合理不规范的及时进行退回修改操作。另一方面，积极推进指标标准体系建设，市直部门绩效指标标准体系建设，教育局、交通局、经信局、民政局、公安局、农业农村局、政府办、财政局、职院、商务局、水利局、文旅局等12个单位建立了个性绩效指标804条，为绩效目标编制提供了强有力的参考依据。</w:t>
      </w:r>
    </w:p>
    <w:p w14:paraId="2B95EA70">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黑体" w:hAnsi="黑体" w:eastAsia="黑体" w:cs="黑体"/>
          <w:b w:val="0"/>
          <w:bCs w:val="0"/>
          <w:kern w:val="2"/>
          <w:sz w:val="32"/>
          <w:szCs w:val="32"/>
          <w:lang w:val="en-US" w:eastAsia="zh-CN" w:bidi="ar-SA"/>
        </w:rPr>
        <w:t>三、聚焦事前评估，加强事前绩效评估管理</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kern w:val="2"/>
          <w:sz w:val="32"/>
          <w:szCs w:val="32"/>
        </w:rPr>
        <w:t>2024年度，对本级新增100万元及以上的重大政策、项目开展事前绩效评估，开展新增项目事前绩效评估项目14</w:t>
      </w:r>
      <w:r>
        <w:rPr>
          <w:rFonts w:hint="eastAsia"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个，涉及金额8</w:t>
      </w:r>
      <w:r>
        <w:rPr>
          <w:rFonts w:hint="eastAsia" w:ascii="Times New Roman" w:hAnsi="Times New Roman" w:eastAsia="仿宋_GB2312" w:cs="Times New Roman"/>
          <w:kern w:val="2"/>
          <w:sz w:val="32"/>
          <w:szCs w:val="32"/>
          <w:lang w:val="en-US" w:eastAsia="zh-CN"/>
        </w:rPr>
        <w:t>9678</w:t>
      </w:r>
      <w:r>
        <w:rPr>
          <w:rFonts w:hint="default" w:ascii="Times New Roman" w:hAnsi="Times New Roman" w:eastAsia="仿宋_GB2312" w:cs="Times New Roman"/>
          <w:kern w:val="2"/>
          <w:sz w:val="32"/>
          <w:szCs w:val="32"/>
        </w:rPr>
        <w:t>万元</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从必要性、投入经济性、绩效目标合理性、实施方案可行性、筹资合规性等方面进行客观、公正的评估，并作为项目入库的必备条件，从源头上防控财政资源配置的低效无效，提高预算编制的科学性、精准性。</w:t>
      </w:r>
    </w:p>
    <w:p w14:paraId="5F1AEB2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黑体" w:hAnsi="黑体" w:eastAsia="黑体" w:cs="黑体"/>
          <w:b w:val="0"/>
          <w:bCs w:val="0"/>
          <w:sz w:val="32"/>
          <w:szCs w:val="32"/>
          <w:lang w:val="en-US" w:eastAsia="zh-CN"/>
        </w:rPr>
        <w:t>四、聚焦事中纠偏，加强预算绩效运行监控</w:t>
      </w:r>
      <w:r>
        <w:rPr>
          <w:rFonts w:hint="default" w:ascii="Times New Roman" w:hAnsi="Times New Roman" w:eastAsia="仿宋_GB2312" w:cs="Times New Roman"/>
          <w:b w:val="0"/>
          <w:bCs w:val="0"/>
          <w:sz w:val="32"/>
          <w:szCs w:val="32"/>
          <w:lang w:val="en-US" w:eastAsia="zh-CN"/>
        </w:rPr>
        <w:t>。实行</w:t>
      </w:r>
      <w:r>
        <w:rPr>
          <w:rFonts w:hint="default" w:ascii="Times New Roman" w:hAnsi="Times New Roman" w:eastAsia="仿宋_GB2312" w:cs="Times New Roman"/>
          <w:sz w:val="32"/>
          <w:szCs w:val="32"/>
          <w:lang w:val="en-US" w:eastAsia="zh-CN"/>
        </w:rPr>
        <w:t>随州市财政性项目资金绩效管理季报告制度，</w:t>
      </w:r>
      <w:r>
        <w:rPr>
          <w:rFonts w:hint="default" w:ascii="Times New Roman" w:hAnsi="Times New Roman" w:eastAsia="仿宋_GB2312" w:cs="Times New Roman"/>
          <w:sz w:val="32"/>
          <w:szCs w:val="32"/>
        </w:rPr>
        <w:t>对纳入年度预算绩效目标管理的所有专项资金的预算执行进度和绩效目标实现程度开展“双监控”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000000"/>
          <w:sz w:val="32"/>
          <w:szCs w:val="32"/>
        </w:rPr>
        <w:t>按照“谁支出、谁负责”的原则，组织</w:t>
      </w:r>
      <w:r>
        <w:rPr>
          <w:rFonts w:hint="default" w:ascii="Times New Roman" w:hAnsi="Times New Roman" w:eastAsia="仿宋_GB2312" w:cs="Times New Roman"/>
          <w:color w:val="000000"/>
          <w:kern w:val="0"/>
          <w:sz w:val="32"/>
          <w:szCs w:val="32"/>
        </w:rPr>
        <w:t>预算</w:t>
      </w:r>
      <w:r>
        <w:rPr>
          <w:rFonts w:hint="default" w:ascii="Times New Roman" w:hAnsi="Times New Roman" w:eastAsia="仿宋_GB2312" w:cs="Times New Roman"/>
          <w:color w:val="000000"/>
          <w:sz w:val="32"/>
          <w:szCs w:val="32"/>
        </w:rPr>
        <w:t>部门</w:t>
      </w:r>
      <w:r>
        <w:rPr>
          <w:rFonts w:hint="default" w:ascii="Times New Roman" w:hAnsi="Times New Roman" w:eastAsia="仿宋_GB2312" w:cs="Times New Roman"/>
          <w:color w:val="000000"/>
          <w:kern w:val="0"/>
          <w:sz w:val="32"/>
          <w:szCs w:val="32"/>
        </w:rPr>
        <w:t>（单位）</w:t>
      </w:r>
      <w:r>
        <w:rPr>
          <w:rFonts w:hint="default" w:ascii="Times New Roman" w:hAnsi="Times New Roman" w:eastAsia="仿宋_GB2312" w:cs="Times New Roman"/>
          <w:color w:val="000000"/>
          <w:sz w:val="32"/>
          <w:szCs w:val="32"/>
        </w:rPr>
        <w:t>对预算执行进度和绩效目标实现程度开展</w:t>
      </w:r>
      <w:r>
        <w:rPr>
          <w:rFonts w:hint="default" w:ascii="Times New Roman" w:hAnsi="Times New Roman" w:eastAsia="仿宋_GB2312" w:cs="Times New Roman"/>
          <w:color w:val="000000"/>
          <w:sz w:val="32"/>
          <w:szCs w:val="32"/>
          <w:lang w:eastAsia="zh-CN"/>
        </w:rPr>
        <w:t>运行</w:t>
      </w:r>
      <w:r>
        <w:rPr>
          <w:rFonts w:hint="default" w:ascii="Times New Roman" w:hAnsi="Times New Roman" w:eastAsia="仿宋_GB2312" w:cs="Times New Roman"/>
          <w:color w:val="000000"/>
          <w:sz w:val="32"/>
          <w:szCs w:val="32"/>
        </w:rPr>
        <w:t>监控</w:t>
      </w:r>
      <w:r>
        <w:rPr>
          <w:rFonts w:hint="default" w:ascii="Times New Roman" w:hAnsi="Times New Roman" w:eastAsia="仿宋_GB2312" w:cs="Times New Roman"/>
          <w:sz w:val="32"/>
          <w:szCs w:val="32"/>
          <w:lang w:val="en-US" w:eastAsia="zh-CN"/>
        </w:rPr>
        <w:t>。2024年度全市预算单位项目绩效运行监控工作，涉及192个预算单位</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val="en-US" w:eastAsia="zh-CN"/>
        </w:rPr>
        <w:t>453</w:t>
      </w:r>
      <w:r>
        <w:rPr>
          <w:rFonts w:hint="eastAsia" w:ascii="Times New Roman" w:hAnsi="Times New Roman" w:eastAsia="仿宋_GB2312" w:cs="Times New Roman"/>
          <w:sz w:val="32"/>
          <w:szCs w:val="32"/>
          <w:lang w:val="en-US" w:eastAsia="zh-CN"/>
        </w:rPr>
        <w:t>个</w:t>
      </w:r>
      <w:r>
        <w:rPr>
          <w:rFonts w:hint="default" w:ascii="Times New Roman" w:hAnsi="Times New Roman" w:eastAsia="仿宋_GB2312" w:cs="Times New Roman"/>
          <w:sz w:val="32"/>
          <w:szCs w:val="32"/>
          <w:lang w:val="en-US" w:eastAsia="zh-CN"/>
        </w:rPr>
        <w:t>项目支出，实现了全市所有预算单位和预算项目绩效监控全覆盖。对监控过程中发现的问题提出整改意见，促使部门改善项目管理，纠正绩效目标偏差，确保绩效目标的实现。</w:t>
      </w:r>
    </w:p>
    <w:p w14:paraId="1239852D">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黑体" w:hAnsi="黑体" w:eastAsia="黑体" w:cs="黑体"/>
          <w:b w:val="0"/>
          <w:bCs w:val="0"/>
          <w:sz w:val="32"/>
          <w:szCs w:val="32"/>
          <w:lang w:val="en-US" w:eastAsia="zh-CN"/>
        </w:rPr>
        <w:t>五、聚焦事后跟踪，加强预算绩效评价管理</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bCs/>
          <w:sz w:val="32"/>
          <w:szCs w:val="32"/>
          <w:lang w:val="en-US" w:eastAsia="zh-CN"/>
        </w:rPr>
        <w:t>一是绩效自评全覆盖。</w:t>
      </w:r>
      <w:r>
        <w:rPr>
          <w:rFonts w:hint="eastAsia" w:ascii="Times New Roman" w:hAnsi="Times New Roman" w:eastAsia="仿宋_GB2312" w:cs="Times New Roman"/>
          <w:color w:val="000000"/>
          <w:sz w:val="32"/>
          <w:szCs w:val="32"/>
          <w:lang w:val="en-US" w:eastAsia="zh-CN"/>
        </w:rPr>
        <w:t>2024年</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全市</w:t>
      </w:r>
      <w:r>
        <w:rPr>
          <w:rFonts w:hint="default" w:ascii="Times New Roman" w:hAnsi="Times New Roman" w:eastAsia="仿宋_GB2312" w:cs="Times New Roman"/>
          <w:color w:val="000000"/>
          <w:sz w:val="32"/>
          <w:szCs w:val="32"/>
          <w:lang w:val="en-US" w:eastAsia="zh-CN"/>
        </w:rPr>
        <w:t>69个一级部门开展部门整体自评，</w:t>
      </w: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92</w:t>
      </w:r>
      <w:r>
        <w:rPr>
          <w:rFonts w:hint="default" w:ascii="Times New Roman" w:hAnsi="Times New Roman" w:eastAsia="仿宋_GB2312" w:cs="Times New Roman"/>
          <w:color w:val="000000"/>
          <w:sz w:val="32"/>
          <w:szCs w:val="32"/>
        </w:rPr>
        <w:t>个预算单位（含</w:t>
      </w:r>
      <w:r>
        <w:rPr>
          <w:rFonts w:hint="eastAsia" w:ascii="Times New Roman" w:hAnsi="Times New Roman" w:eastAsia="仿宋_GB2312" w:cs="Times New Roman"/>
          <w:color w:val="000000"/>
          <w:sz w:val="32"/>
          <w:szCs w:val="32"/>
          <w:lang w:eastAsia="zh-CN"/>
        </w:rPr>
        <w:t>一级部门和</w:t>
      </w:r>
      <w:r>
        <w:rPr>
          <w:rFonts w:hint="default" w:ascii="Times New Roman" w:hAnsi="Times New Roman" w:eastAsia="仿宋_GB2312" w:cs="Times New Roman"/>
          <w:color w:val="000000"/>
          <w:sz w:val="32"/>
          <w:szCs w:val="32"/>
        </w:rPr>
        <w:t>二级单位）开展</w:t>
      </w:r>
      <w:r>
        <w:rPr>
          <w:rFonts w:hint="default" w:ascii="Times New Roman" w:hAnsi="Times New Roman" w:eastAsia="仿宋_GB2312" w:cs="Times New Roman"/>
          <w:color w:val="000000"/>
          <w:sz w:val="32"/>
          <w:szCs w:val="32"/>
          <w:lang w:val="en-US" w:eastAsia="zh-CN"/>
        </w:rPr>
        <w:t>项目</w:t>
      </w:r>
      <w:r>
        <w:rPr>
          <w:rFonts w:hint="default" w:ascii="Times New Roman" w:hAnsi="Times New Roman" w:eastAsia="仿宋_GB2312" w:cs="Times New Roman"/>
          <w:color w:val="000000"/>
          <w:sz w:val="32"/>
          <w:szCs w:val="32"/>
        </w:rPr>
        <w:t>自评，实现</w:t>
      </w:r>
      <w:r>
        <w:rPr>
          <w:rFonts w:hint="default" w:ascii="Times New Roman" w:hAnsi="Times New Roman" w:eastAsia="仿宋_GB2312" w:cs="Times New Roman"/>
          <w:color w:val="000000"/>
          <w:sz w:val="32"/>
          <w:szCs w:val="32"/>
          <w:lang w:val="en-US" w:eastAsia="zh-CN"/>
        </w:rPr>
        <w:t>财政</w:t>
      </w:r>
      <w:r>
        <w:rPr>
          <w:rFonts w:hint="default" w:ascii="Times New Roman" w:hAnsi="Times New Roman" w:eastAsia="仿宋_GB2312" w:cs="Times New Roman"/>
          <w:color w:val="000000"/>
          <w:sz w:val="32"/>
          <w:szCs w:val="32"/>
        </w:rPr>
        <w:t>支出绩效自评全覆盖</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b/>
          <w:bCs/>
          <w:color w:val="000000"/>
          <w:kern w:val="0"/>
          <w:sz w:val="32"/>
          <w:szCs w:val="32"/>
          <w:lang w:val="en-US" w:eastAsia="zh-CN"/>
        </w:rPr>
        <w:t>二是开展自评复核。</w:t>
      </w:r>
      <w:r>
        <w:rPr>
          <w:rFonts w:hint="default" w:ascii="Times New Roman" w:hAnsi="Times New Roman" w:eastAsia="仿宋_GB2312" w:cs="Times New Roman"/>
          <w:b w:val="0"/>
          <w:bCs w:val="0"/>
          <w:sz w:val="32"/>
          <w:szCs w:val="32"/>
          <w:lang w:val="en-US" w:eastAsia="zh-CN"/>
        </w:rPr>
        <w:t>选取8个单位65个项目</w:t>
      </w:r>
      <w:r>
        <w:rPr>
          <w:rFonts w:hint="default" w:ascii="Times New Roman" w:hAnsi="Times New Roman" w:eastAsia="仿宋_GB2312" w:cs="Times New Roman"/>
          <w:b w:val="0"/>
          <w:bCs w:val="0"/>
          <w:color w:val="000000"/>
          <w:sz w:val="32"/>
          <w:szCs w:val="32"/>
        </w:rPr>
        <w:t>自评结果进行复核</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进一步推进预算绩效管理工作，提升预算</w:t>
      </w:r>
      <w:r>
        <w:rPr>
          <w:rFonts w:hint="default" w:ascii="Times New Roman" w:hAnsi="Times New Roman" w:eastAsia="仿宋_GB2312" w:cs="Times New Roman"/>
          <w:color w:val="000000"/>
          <w:sz w:val="32"/>
          <w:szCs w:val="32"/>
        </w:rPr>
        <w:t>资金分配的科学性，提高预算资金使用效益</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b/>
          <w:bCs/>
          <w:sz w:val="32"/>
          <w:szCs w:val="32"/>
          <w:lang w:val="en-US" w:eastAsia="zh-CN"/>
        </w:rPr>
        <w:t>三是开展重点绩效评价。</w:t>
      </w:r>
      <w:r>
        <w:rPr>
          <w:rFonts w:hint="default" w:ascii="Times New Roman" w:hAnsi="Times New Roman" w:eastAsia="仿宋_GB2312" w:cs="Times New Roman"/>
          <w:sz w:val="32"/>
          <w:szCs w:val="32"/>
        </w:rPr>
        <w:t>在自评的基础上</w:t>
      </w:r>
      <w:r>
        <w:rPr>
          <w:rFonts w:hint="default" w:ascii="Times New Roman" w:hAnsi="Times New Roman" w:eastAsia="仿宋_GB2312" w:cs="Times New Roman"/>
          <w:sz w:val="32"/>
          <w:szCs w:val="32"/>
          <w:lang w:eastAsia="zh-CN"/>
        </w:rPr>
        <w:t>，选取</w:t>
      </w:r>
      <w:r>
        <w:rPr>
          <w:rFonts w:hint="eastAsia" w:ascii="Times New Roman" w:hAnsi="Times New Roman" w:eastAsia="仿宋_GB2312" w:cs="Times New Roman"/>
          <w:sz w:val="32"/>
          <w:szCs w:val="32"/>
          <w:lang w:eastAsia="zh-CN"/>
        </w:rPr>
        <w:t>部分</w:t>
      </w:r>
      <w:r>
        <w:rPr>
          <w:rFonts w:hint="default" w:ascii="Times New Roman" w:hAnsi="Times New Roman" w:eastAsia="仿宋_GB2312" w:cs="Times New Roman"/>
          <w:sz w:val="32"/>
          <w:szCs w:val="32"/>
          <w:lang w:eastAsia="zh-CN"/>
        </w:rPr>
        <w:t>部门整体和重点项目支出开展绩效评价，共计50个评价对象，涉及项目资金4.1亿元。其中，包括6个部门整体支出、44个重点项目支出，财政评价结果为：“优”24个，占比48%；“良”24个，占比48%；“中”2个，占比4%。</w:t>
      </w:r>
      <w:r>
        <w:rPr>
          <w:rFonts w:hint="default" w:ascii="Times New Roman" w:hAnsi="Times New Roman" w:eastAsia="仿宋_GB2312" w:cs="Times New Roman"/>
          <w:b/>
          <w:bCs/>
          <w:sz w:val="32"/>
          <w:szCs w:val="32"/>
          <w:lang w:val="en-US" w:eastAsia="zh-CN"/>
        </w:rPr>
        <w:t>四是积极提升评价质量。</w:t>
      </w:r>
      <w:r>
        <w:rPr>
          <w:rFonts w:hint="default" w:ascii="Times New Roman" w:hAnsi="Times New Roman" w:eastAsia="仿宋_GB2312" w:cs="Times New Roman"/>
          <w:sz w:val="32"/>
          <w:szCs w:val="32"/>
          <w:lang w:eastAsia="zh-CN"/>
        </w:rPr>
        <w:t>组织相关专家对</w:t>
      </w:r>
      <w:r>
        <w:rPr>
          <w:rFonts w:hint="default" w:ascii="Times New Roman" w:hAnsi="Times New Roman" w:eastAsia="仿宋_GB2312" w:cs="Times New Roman"/>
          <w:sz w:val="32"/>
          <w:szCs w:val="32"/>
          <w:lang w:val="en-US" w:eastAsia="zh-CN"/>
        </w:rPr>
        <w:t>开展的44个项目财政评价报告进行</w:t>
      </w:r>
      <w:r>
        <w:rPr>
          <w:rFonts w:hint="eastAsia" w:ascii="Times New Roman" w:hAnsi="Times New Roman" w:eastAsia="仿宋_GB2312" w:cs="Times New Roman"/>
          <w:sz w:val="32"/>
          <w:szCs w:val="32"/>
          <w:lang w:val="en-US" w:eastAsia="zh-CN"/>
        </w:rPr>
        <w:t>再</w:t>
      </w:r>
      <w:r>
        <w:rPr>
          <w:rFonts w:hint="default" w:ascii="Times New Roman" w:hAnsi="Times New Roman" w:eastAsia="仿宋_GB2312" w:cs="Times New Roman"/>
          <w:sz w:val="32"/>
          <w:szCs w:val="32"/>
          <w:lang w:val="en-US" w:eastAsia="zh-CN"/>
        </w:rPr>
        <w:t>评审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同时，</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lang w:val="en-US" w:eastAsia="zh-CN"/>
        </w:rPr>
        <w:t>第三方机构开展的绩效评价报告进行了专家评审评级，被评为“Ｂ”级的报告37个，被评为“Ｃ”级的项目13个，并将评级结果对第三方机构进行了反馈。</w:t>
      </w:r>
    </w:p>
    <w:p w14:paraId="07FE0A78">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 w:hAnsi="仿宋" w:eastAsia="仿宋"/>
          <w:kern w:val="2"/>
          <w:sz w:val="32"/>
          <w:szCs w:val="32"/>
        </w:rPr>
      </w:pPr>
      <w:r>
        <w:rPr>
          <w:rFonts w:hint="default" w:ascii="黑体" w:hAnsi="黑体" w:eastAsia="黑体" w:cs="黑体"/>
          <w:b w:val="0"/>
          <w:bCs w:val="0"/>
          <w:sz w:val="32"/>
          <w:szCs w:val="32"/>
          <w:lang w:val="en-US" w:eastAsia="zh-CN"/>
        </w:rPr>
        <w:t>六、聚焦规范效益，加强预算绩效结果运用。</w:t>
      </w:r>
      <w:r>
        <w:rPr>
          <w:rFonts w:hint="default" w:ascii="Times New Roman" w:hAnsi="Times New Roman" w:eastAsia="仿宋_GB2312" w:cs="Times New Roman"/>
          <w:sz w:val="32"/>
          <w:szCs w:val="32"/>
        </w:rPr>
        <w:t>建立绩效评价结果反馈和整改机制，对存在实施进度缓慢、资金使用不规范等问题的项目督促落实整改，对存在偏离绩效目标、资金使用低效等问题的项目及时调整、收回和盘活。建立绩效评价结果与预算管理挂钩机制，将绩效评价结果作为今后年度预算安排、政策调整的重要依据，将绩效评价结果、绩效目标编报质量纳入部门预算编制及执行情况专项考核。建立绩效信息公开机制，推动绩效评价结果公开，强化信息公开的监督作用。</w:t>
      </w:r>
      <w:r>
        <w:rPr>
          <w:rFonts w:hint="default" w:ascii="Times New Roman" w:hAnsi="Times New Roman" w:eastAsia="仿宋_GB2312" w:cs="Times New Roman"/>
          <w:kern w:val="2"/>
          <w:sz w:val="32"/>
          <w:szCs w:val="32"/>
        </w:rPr>
        <w:t>根据</w:t>
      </w:r>
      <w:r>
        <w:rPr>
          <w:rFonts w:hint="default" w:ascii="Times New Roman" w:hAnsi="Times New Roman" w:eastAsia="仿宋_GB2312" w:cs="Times New Roman"/>
          <w:kern w:val="2"/>
          <w:sz w:val="32"/>
          <w:szCs w:val="32"/>
          <w:lang w:val="en-US" w:eastAsia="zh-CN"/>
        </w:rPr>
        <w:t>绩效</w:t>
      </w:r>
      <w:r>
        <w:rPr>
          <w:rFonts w:hint="default" w:ascii="Times New Roman" w:hAnsi="Times New Roman" w:eastAsia="仿宋_GB2312" w:cs="Times New Roman"/>
          <w:kern w:val="2"/>
          <w:sz w:val="32"/>
          <w:szCs w:val="32"/>
        </w:rPr>
        <w:t>评价结果及项目完成程度</w:t>
      </w:r>
      <w:r>
        <w:rPr>
          <w:rFonts w:hint="default" w:ascii="Times New Roman" w:hAnsi="Times New Roman" w:eastAsia="仿宋_GB2312" w:cs="Times New Roman"/>
          <w:kern w:val="2"/>
          <w:sz w:val="32"/>
          <w:szCs w:val="32"/>
          <w:lang w:eastAsia="zh-CN"/>
        </w:rPr>
        <w:t>，</w:t>
      </w:r>
      <w:r>
        <w:rPr>
          <w:rFonts w:hint="eastAsia" w:ascii="仿宋" w:hAnsi="仿宋" w:eastAsia="仿宋"/>
          <w:b w:val="0"/>
          <w:bCs w:val="0"/>
          <w:kern w:val="2"/>
          <w:sz w:val="32"/>
          <w:szCs w:val="32"/>
          <w:lang w:val="en-US" w:eastAsia="zh-CN"/>
        </w:rPr>
        <w:t>2024年压减和取消低效无效项目99个，压减预算资金1.06亿元，</w:t>
      </w:r>
      <w:r>
        <w:rPr>
          <w:rFonts w:hint="eastAsia" w:ascii="仿宋" w:hAnsi="仿宋" w:eastAsia="仿宋"/>
          <w:kern w:val="2"/>
          <w:sz w:val="32"/>
          <w:szCs w:val="32"/>
        </w:rPr>
        <w:t>清理回收统筹</w:t>
      </w:r>
      <w:r>
        <w:rPr>
          <w:rFonts w:hint="eastAsia" w:ascii="仿宋" w:hAnsi="仿宋" w:eastAsia="仿宋"/>
          <w:kern w:val="2"/>
          <w:sz w:val="32"/>
          <w:szCs w:val="32"/>
          <w:lang w:val="en-US" w:eastAsia="zh-CN"/>
        </w:rPr>
        <w:t>财政</w:t>
      </w:r>
      <w:r>
        <w:rPr>
          <w:rFonts w:hint="eastAsia" w:ascii="仿宋" w:hAnsi="仿宋" w:eastAsia="仿宋"/>
          <w:kern w:val="2"/>
          <w:sz w:val="32"/>
          <w:szCs w:val="32"/>
        </w:rPr>
        <w:t>资金2</w:t>
      </w:r>
      <w:r>
        <w:rPr>
          <w:rFonts w:hint="eastAsia" w:ascii="仿宋" w:hAnsi="仿宋" w:eastAsia="仿宋"/>
          <w:kern w:val="2"/>
          <w:sz w:val="32"/>
          <w:szCs w:val="32"/>
          <w:lang w:val="en-US" w:eastAsia="zh-CN"/>
        </w:rPr>
        <w:t>.49亿元</w:t>
      </w:r>
      <w:r>
        <w:rPr>
          <w:rFonts w:hint="eastAsia" w:ascii="仿宋" w:hAnsi="仿宋" w:eastAsia="仿宋"/>
          <w:kern w:val="2"/>
          <w:sz w:val="32"/>
          <w:szCs w:val="32"/>
        </w:rPr>
        <w:t>。</w:t>
      </w:r>
    </w:p>
    <w:p w14:paraId="48920831">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bookmarkStart w:id="0" w:name="_GoBack"/>
      <w:bookmarkEnd w:id="0"/>
    </w:p>
    <w:sectPr>
      <w:pgSz w:w="11906" w:h="16838"/>
      <w:pgMar w:top="1984" w:right="1587"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MDI0Mzg1NmNlYTVkZDg1MTEwZWI2NzY0Zjg4NzUifQ=="/>
    <w:docVar w:name="KSO_WPS_MARK_KEY" w:val="7c1b42e0-ae93-411b-980f-079751db322d"/>
  </w:docVars>
  <w:rsids>
    <w:rsidRoot w:val="670F1756"/>
    <w:rsid w:val="06123942"/>
    <w:rsid w:val="09295955"/>
    <w:rsid w:val="0AF824F0"/>
    <w:rsid w:val="0C6663F8"/>
    <w:rsid w:val="0D63F1F2"/>
    <w:rsid w:val="155A34EB"/>
    <w:rsid w:val="165759FC"/>
    <w:rsid w:val="1C5172BA"/>
    <w:rsid w:val="1CCE50AB"/>
    <w:rsid w:val="1CD32679"/>
    <w:rsid w:val="23875985"/>
    <w:rsid w:val="25204C44"/>
    <w:rsid w:val="260550FF"/>
    <w:rsid w:val="2B3E30FF"/>
    <w:rsid w:val="33FF8604"/>
    <w:rsid w:val="3430031C"/>
    <w:rsid w:val="344775E1"/>
    <w:rsid w:val="35531DB4"/>
    <w:rsid w:val="37522FA1"/>
    <w:rsid w:val="37585548"/>
    <w:rsid w:val="3DF25DB2"/>
    <w:rsid w:val="3EB98788"/>
    <w:rsid w:val="457C0654"/>
    <w:rsid w:val="47CF0F0F"/>
    <w:rsid w:val="49E04A15"/>
    <w:rsid w:val="50A76ECD"/>
    <w:rsid w:val="50E107F1"/>
    <w:rsid w:val="53BE05FD"/>
    <w:rsid w:val="590649AC"/>
    <w:rsid w:val="5ACC7530"/>
    <w:rsid w:val="63CC6366"/>
    <w:rsid w:val="65875B4B"/>
    <w:rsid w:val="670F1756"/>
    <w:rsid w:val="6C6D0B73"/>
    <w:rsid w:val="6EAB3E08"/>
    <w:rsid w:val="6F216FBF"/>
    <w:rsid w:val="6F8E5804"/>
    <w:rsid w:val="6FF4A4A4"/>
    <w:rsid w:val="70CA41F7"/>
    <w:rsid w:val="736F4A6E"/>
    <w:rsid w:val="7A5B5C9A"/>
    <w:rsid w:val="7AEA15E0"/>
    <w:rsid w:val="7BF7B615"/>
    <w:rsid w:val="7F767DA0"/>
    <w:rsid w:val="7F9E1C28"/>
    <w:rsid w:val="7FFF9A24"/>
    <w:rsid w:val="975361C8"/>
    <w:rsid w:val="ABBD0A4D"/>
    <w:rsid w:val="BBF7904A"/>
    <w:rsid w:val="BF0F4B93"/>
    <w:rsid w:val="CBAF0671"/>
    <w:rsid w:val="CECE2E2F"/>
    <w:rsid w:val="DB7B08BB"/>
    <w:rsid w:val="EE7704F5"/>
    <w:rsid w:val="EFBF5540"/>
    <w:rsid w:val="F7BF9A6A"/>
    <w:rsid w:val="F7FDE062"/>
    <w:rsid w:val="FD7D1C56"/>
    <w:rsid w:val="FF7D42E6"/>
    <w:rsid w:val="FFDEC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3"/>
      <w:szCs w:val="33"/>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1486</Words>
  <Characters>1550</Characters>
  <Lines>0</Lines>
  <Paragraphs>0</Paragraphs>
  <TotalTime>7</TotalTime>
  <ScaleCrop>false</ScaleCrop>
  <LinksUpToDate>false</LinksUpToDate>
  <CharactersWithSpaces>1550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2024-06-07T15:53:00Z</dcterms:created>
  <dc:creator>lenovoczs</dc:creator>
  <cp:lastModifiedBy>甘愿</cp:lastModifiedBy>
  <dcterms:modified xsi:type="dcterms:W3CDTF">2025-10-20T01:29:58Z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2B4EAFA51B061386D4CCD6666C628256</vt:lpwstr>
  </property>
  <property fmtid="{D5CDD505-2E9C-101B-9397-08002B2CF9AE}" pid="4" name="KSOTemplateDocerSaveRecord">
    <vt:lpwstr>eyJoZGlkIjoiYjRjNzU1Y2E0ODQ1YTYyYmQ1ODY3ODU2NzRkNDBiOWQiLCJ1c2VySWQiOiIzMDU3MTc1ODQifQ==</vt:lpwstr>
  </property>
</Properties>
</file>