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979F6">
      <w:pPr>
        <w:keepNext w:val="0"/>
        <w:keepLines w:val="0"/>
        <w:pageBreakBefore w:val="0"/>
        <w:widowControl w:val="0"/>
        <w:kinsoku/>
        <w:wordWrap/>
        <w:overflowPunct/>
        <w:topLinePunct w:val="0"/>
        <w:autoSpaceDE/>
        <w:autoSpaceDN/>
        <w:bidi w:val="0"/>
        <w:adjustRightInd/>
        <w:snapToGrid/>
        <w:spacing w:line="620" w:lineRule="exact"/>
        <w:ind w:left="2880" w:leftChars="500" w:hanging="1280" w:hangingChars="4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Cs/>
          <w:color w:val="auto"/>
          <w:kern w:val="0"/>
          <w:sz w:val="32"/>
          <w:szCs w:val="32"/>
        </w:rPr>
        <w:t>附件</w:t>
      </w:r>
      <w:r>
        <w:rPr>
          <w:rFonts w:hint="default" w:ascii="Times New Roman" w:hAnsi="Times New Roman" w:eastAsia="仿宋_GB2312" w:cs="Times New Roman"/>
          <w:bCs/>
          <w:color w:val="auto"/>
          <w:kern w:val="0"/>
          <w:sz w:val="32"/>
          <w:szCs w:val="32"/>
          <w:lang w:eastAsia="zh-CN"/>
        </w:rPr>
        <w:t>：</w:t>
      </w:r>
      <w:r>
        <w:rPr>
          <w:rFonts w:hint="default" w:ascii="Times New Roman" w:hAnsi="Times New Roman" w:eastAsia="仿宋_GB2312" w:cs="Times New Roman"/>
          <w:color w:val="auto"/>
          <w:sz w:val="32"/>
          <w:szCs w:val="32"/>
        </w:rPr>
        <w:t>1</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2024年度巩固脱贫攻坚成果与乡村振兴</w:t>
      </w:r>
      <w:r>
        <w:rPr>
          <w:rFonts w:hint="eastAsia" w:eastAsia="仿宋_GB2312" w:cs="Times New Roman"/>
          <w:color w:val="auto"/>
          <w:sz w:val="32"/>
          <w:szCs w:val="32"/>
          <w:lang w:eastAsia="zh-CN"/>
        </w:rPr>
        <w:t>衔</w:t>
      </w:r>
      <w:r>
        <w:rPr>
          <w:rFonts w:hint="default" w:ascii="Times New Roman" w:hAnsi="Times New Roman" w:eastAsia="仿宋_GB2312" w:cs="Times New Roman"/>
          <w:color w:val="auto"/>
          <w:sz w:val="32"/>
          <w:szCs w:val="32"/>
          <w:lang w:eastAsia="zh-CN"/>
        </w:rPr>
        <w:t>接项目绩效评价</w:t>
      </w:r>
      <w:r>
        <w:rPr>
          <w:rFonts w:hint="eastAsia" w:eastAsia="仿宋_GB2312" w:cs="Times New Roman"/>
          <w:color w:val="auto"/>
          <w:sz w:val="32"/>
          <w:szCs w:val="32"/>
          <w:lang w:eastAsia="zh-CN"/>
        </w:rPr>
        <w:t>结果</w:t>
      </w:r>
    </w:p>
    <w:p w14:paraId="1366FC0E">
      <w:pPr>
        <w:keepNext w:val="0"/>
        <w:keepLines w:val="0"/>
        <w:pageBreakBefore w:val="0"/>
        <w:widowControl w:val="0"/>
        <w:kinsoku/>
        <w:wordWrap/>
        <w:overflowPunct/>
        <w:topLinePunct w:val="0"/>
        <w:autoSpaceDE/>
        <w:autoSpaceDN/>
        <w:bidi w:val="0"/>
        <w:adjustRightInd/>
        <w:snapToGrid/>
        <w:spacing w:line="620" w:lineRule="exact"/>
        <w:ind w:left="2880" w:leftChars="800" w:hanging="320" w:hangingChars="1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2024年度随州</w:t>
      </w:r>
      <w:r>
        <w:rPr>
          <w:rFonts w:hint="eastAsia" w:eastAsia="仿宋_GB2312" w:cs="Times New Roman"/>
          <w:color w:val="auto"/>
          <w:sz w:val="32"/>
          <w:szCs w:val="32"/>
          <w:lang w:val="en-US" w:eastAsia="zh-CN"/>
        </w:rPr>
        <w:t>市科技局部门整体支出</w:t>
      </w:r>
      <w:r>
        <w:rPr>
          <w:rFonts w:hint="default" w:ascii="Times New Roman" w:hAnsi="Times New Roman" w:eastAsia="仿宋_GB2312" w:cs="Times New Roman"/>
          <w:color w:val="auto"/>
          <w:sz w:val="32"/>
          <w:szCs w:val="32"/>
          <w:lang w:val="en-US" w:eastAsia="zh-CN"/>
        </w:rPr>
        <w:t>绩效评价</w:t>
      </w:r>
      <w:r>
        <w:rPr>
          <w:rFonts w:hint="eastAsia" w:eastAsia="仿宋_GB2312" w:cs="Times New Roman"/>
          <w:color w:val="auto"/>
          <w:sz w:val="32"/>
          <w:szCs w:val="32"/>
          <w:lang w:val="en-US" w:eastAsia="zh-CN"/>
        </w:rPr>
        <w:t>结果</w:t>
      </w:r>
    </w:p>
    <w:p w14:paraId="16BDF6A3">
      <w:pPr>
        <w:pStyle w:val="3"/>
        <w:bidi w:val="0"/>
        <w:rPr>
          <w:rFonts w:hint="eastAsia" w:eastAsia="方正小标宋_GBK" w:cs="Times New Roman"/>
          <w:b/>
          <w:bCs/>
          <w:color w:val="auto"/>
          <w:sz w:val="36"/>
          <w:szCs w:val="36"/>
          <w:highlight w:val="none"/>
          <w:lang w:val="en-US" w:eastAsia="zh-CN"/>
        </w:rPr>
      </w:pPr>
      <w:r>
        <w:rPr>
          <w:rFonts w:hint="eastAsia" w:eastAsia="方正小标宋_GBK" w:cs="Times New Roman"/>
          <w:b/>
          <w:bCs/>
          <w:color w:val="auto"/>
          <w:sz w:val="36"/>
          <w:szCs w:val="36"/>
          <w:highlight w:val="none"/>
          <w:lang w:val="en-US" w:eastAsia="zh-CN"/>
        </w:rPr>
        <w:br w:type="page"/>
      </w:r>
      <w:bookmarkStart w:id="0" w:name="_Toc32433"/>
      <w:bookmarkStart w:id="1" w:name="_Toc17696"/>
      <w:bookmarkStart w:id="2" w:name="_Toc23962"/>
      <w:bookmarkStart w:id="3" w:name="_Toc16939"/>
    </w:p>
    <w:p w14:paraId="0FE10E6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bCs/>
          <w:color w:val="auto"/>
          <w:sz w:val="36"/>
          <w:szCs w:val="36"/>
          <w:highlight w:val="none"/>
          <w:lang w:val="en-US" w:eastAsia="zh-CN"/>
        </w:rPr>
      </w:pPr>
      <w:r>
        <w:rPr>
          <w:rFonts w:hint="eastAsia" w:ascii="方正小标宋简体" w:hAnsi="方正小标宋简体" w:eastAsia="方正小标宋简体" w:cs="方正小标宋简体"/>
          <w:b/>
          <w:bCs/>
          <w:color w:val="auto"/>
          <w:sz w:val="36"/>
          <w:szCs w:val="36"/>
          <w:highlight w:val="none"/>
          <w:lang w:val="en-US" w:eastAsia="zh-CN"/>
        </w:rPr>
        <w:t>巩固脱贫攻坚成果与乡村振兴衔接项目</w:t>
      </w:r>
    </w:p>
    <w:p w14:paraId="1E78868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bCs/>
          <w:color w:val="auto"/>
          <w:sz w:val="36"/>
          <w:szCs w:val="36"/>
          <w:highlight w:val="none"/>
          <w:lang w:val="en-US" w:eastAsia="zh-CN"/>
        </w:rPr>
      </w:pPr>
      <w:r>
        <w:rPr>
          <w:rFonts w:hint="eastAsia" w:ascii="方正小标宋简体" w:hAnsi="方正小标宋简体" w:eastAsia="方正小标宋简体" w:cs="方正小标宋简体"/>
          <w:b/>
          <w:bCs/>
          <w:color w:val="auto"/>
          <w:sz w:val="36"/>
          <w:szCs w:val="36"/>
          <w:highlight w:val="none"/>
          <w:lang w:val="en-US" w:eastAsia="zh-Hans"/>
        </w:rPr>
        <w:t>绩效评价</w:t>
      </w:r>
      <w:r>
        <w:rPr>
          <w:rFonts w:hint="eastAsia" w:ascii="方正小标宋简体" w:hAnsi="方正小标宋简体" w:eastAsia="方正小标宋简体" w:cs="方正小标宋简体"/>
          <w:b/>
          <w:bCs/>
          <w:color w:val="auto"/>
          <w:sz w:val="36"/>
          <w:szCs w:val="36"/>
          <w:highlight w:val="none"/>
          <w:lang w:val="en-US" w:eastAsia="zh-CN"/>
        </w:rPr>
        <w:t>结果</w:t>
      </w:r>
    </w:p>
    <w:p w14:paraId="623AC4D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bCs/>
          <w:color w:val="auto"/>
          <w:sz w:val="36"/>
          <w:szCs w:val="36"/>
          <w:highlight w:val="none"/>
          <w:lang w:val="en-US" w:eastAsia="zh-CN"/>
        </w:rPr>
      </w:pPr>
    </w:p>
    <w:p w14:paraId="13DA4F52">
      <w:pPr>
        <w:pStyle w:val="3"/>
        <w:bidi w:val="0"/>
        <w:rPr>
          <w:rFonts w:hint="default"/>
          <w:color w:val="auto"/>
          <w:highlight w:val="none"/>
        </w:rPr>
      </w:pPr>
      <w:r>
        <w:rPr>
          <w:rFonts w:hint="default"/>
          <w:color w:val="auto"/>
          <w:highlight w:val="none"/>
          <w:lang w:val="en-US" w:eastAsia="zh-CN"/>
        </w:rPr>
        <w:t>1</w:t>
      </w:r>
      <w:r>
        <w:rPr>
          <w:rFonts w:hint="default"/>
          <w:color w:val="auto"/>
          <w:highlight w:val="none"/>
        </w:rPr>
        <w:t>评价结论</w:t>
      </w:r>
      <w:bookmarkEnd w:id="0"/>
      <w:bookmarkEnd w:id="1"/>
      <w:bookmarkEnd w:id="2"/>
      <w:bookmarkEnd w:id="3"/>
    </w:p>
    <w:p w14:paraId="16695076">
      <w:pPr>
        <w:pStyle w:val="4"/>
        <w:bidi w:val="0"/>
        <w:rPr>
          <w:rFonts w:hint="eastAsia"/>
          <w:color w:val="auto"/>
          <w:highlight w:val="none"/>
          <w:lang w:eastAsia="zh-CN"/>
        </w:rPr>
      </w:pPr>
      <w:bookmarkStart w:id="4" w:name="_Toc29388"/>
      <w:r>
        <w:rPr>
          <w:rFonts w:hint="eastAsia"/>
          <w:color w:val="auto"/>
          <w:highlight w:val="none"/>
          <w:lang w:val="en-US" w:eastAsia="zh-CN"/>
        </w:rPr>
        <w:t>1.1绩效</w:t>
      </w:r>
      <w:r>
        <w:rPr>
          <w:rFonts w:hint="eastAsia"/>
          <w:color w:val="auto"/>
          <w:highlight w:val="none"/>
          <w:lang w:eastAsia="zh-CN"/>
        </w:rPr>
        <w:t>评价分数和等级</w:t>
      </w:r>
      <w:bookmarkEnd w:id="4"/>
    </w:p>
    <w:p w14:paraId="38E01FC8">
      <w:pPr>
        <w:bidi w:val="0"/>
        <w:rPr>
          <w:rFonts w:hint="default"/>
        </w:rPr>
      </w:pPr>
      <w:r>
        <w:rPr>
          <w:rFonts w:hint="eastAsia"/>
          <w:lang w:val="en-US" w:eastAsia="zh-CN"/>
        </w:rPr>
        <w:t>随州市财政局</w:t>
      </w:r>
      <w:r>
        <w:rPr>
          <w:rFonts w:hint="default"/>
          <w:lang w:eastAsia="zh-CN"/>
        </w:rPr>
        <w:t>（</w:t>
      </w:r>
      <w:r>
        <w:rPr>
          <w:rFonts w:hint="default"/>
          <w:lang w:val="en-US" w:eastAsia="zh-CN"/>
        </w:rPr>
        <w:t>以下简称“</w:t>
      </w:r>
      <w:r>
        <w:rPr>
          <w:rFonts w:hint="eastAsia"/>
          <w:lang w:val="en-US" w:eastAsia="zh-CN"/>
        </w:rPr>
        <w:t>市财政局</w:t>
      </w:r>
      <w:r>
        <w:rPr>
          <w:rFonts w:hint="default"/>
          <w:lang w:val="en-US" w:eastAsia="zh-CN"/>
        </w:rPr>
        <w:t>”</w:t>
      </w:r>
      <w:r>
        <w:rPr>
          <w:rFonts w:hint="default"/>
          <w:lang w:eastAsia="zh-CN"/>
        </w:rPr>
        <w:t>）</w:t>
      </w:r>
      <w:r>
        <w:rPr>
          <w:rFonts w:hint="eastAsia"/>
          <w:lang w:eastAsia="zh-CN"/>
        </w:rPr>
        <w:t>巩</w:t>
      </w:r>
      <w:bookmarkStart w:id="145" w:name="_GoBack"/>
      <w:bookmarkEnd w:id="145"/>
      <w:r>
        <w:rPr>
          <w:rFonts w:hint="eastAsia"/>
          <w:lang w:eastAsia="zh-CN"/>
        </w:rPr>
        <w:t>固脱贫攻坚成果与乡村振兴衔接</w:t>
      </w:r>
      <w:r>
        <w:rPr>
          <w:rFonts w:hint="default"/>
          <w:lang w:eastAsia="zh-CN"/>
        </w:rPr>
        <w:t>项目</w:t>
      </w:r>
      <w:r>
        <w:rPr>
          <w:rFonts w:hint="default"/>
        </w:rPr>
        <w:t>绩效评价综合评分</w:t>
      </w:r>
      <w:r>
        <w:rPr>
          <w:rFonts w:hint="eastAsia"/>
          <w:lang w:val="en-US" w:eastAsia="zh-CN"/>
        </w:rPr>
        <w:t>91.93</w:t>
      </w:r>
      <w:r>
        <w:rPr>
          <w:rFonts w:hint="default"/>
        </w:rPr>
        <w:t>分，评价等级为“</w:t>
      </w:r>
      <w:r>
        <w:rPr>
          <w:rFonts w:hint="eastAsia"/>
          <w:lang w:val="en-US" w:eastAsia="zh-CN"/>
        </w:rPr>
        <w:t>优</w:t>
      </w:r>
      <w:r>
        <w:rPr>
          <w:rFonts w:hint="default"/>
        </w:rPr>
        <w:t>”。</w:t>
      </w:r>
    </w:p>
    <w:p w14:paraId="616690C6">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表1：绩效评价得分表</w:t>
      </w:r>
    </w:p>
    <w:tbl>
      <w:tblPr>
        <w:tblStyle w:val="16"/>
        <w:tblpPr w:leftFromText="180" w:rightFromText="180" w:vertAnchor="text" w:tblpXSpec="center" w:tblpY="1"/>
        <w:tblOverlap w:val="never"/>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91"/>
        <w:gridCol w:w="3440"/>
        <w:gridCol w:w="2715"/>
      </w:tblGrid>
      <w:tr w14:paraId="165C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shd w:val="pct90" w:color="FFFFFF" w:fill="auto"/>
            <w:noWrap/>
            <w:vAlign w:val="center"/>
          </w:tcPr>
          <w:p w14:paraId="40E845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一级指标</w:t>
            </w:r>
          </w:p>
        </w:tc>
        <w:tc>
          <w:tcPr>
            <w:tcW w:w="1922" w:type="pct"/>
            <w:tcBorders>
              <w:top w:val="single" w:color="000000" w:sz="4" w:space="0"/>
              <w:left w:val="single" w:color="000000" w:sz="4" w:space="0"/>
              <w:bottom w:val="single" w:color="000000" w:sz="4" w:space="0"/>
              <w:right w:val="single" w:color="000000" w:sz="4" w:space="0"/>
            </w:tcBorders>
            <w:shd w:val="pct90" w:color="FFFFFF" w:fill="auto"/>
            <w:noWrap w:val="0"/>
            <w:vAlign w:val="center"/>
          </w:tcPr>
          <w:p w14:paraId="5F5CBB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指标权重</w:t>
            </w:r>
          </w:p>
        </w:tc>
        <w:tc>
          <w:tcPr>
            <w:tcW w:w="1517" w:type="pct"/>
            <w:tcBorders>
              <w:top w:val="single" w:color="000000" w:sz="4" w:space="0"/>
              <w:left w:val="single" w:color="000000" w:sz="4" w:space="0"/>
              <w:bottom w:val="single" w:color="000000" w:sz="4" w:space="0"/>
              <w:right w:val="single" w:color="000000" w:sz="4" w:space="0"/>
            </w:tcBorders>
            <w:shd w:val="pct90" w:color="FFFFFF" w:fill="auto"/>
            <w:noWrap w:val="0"/>
            <w:vAlign w:val="center"/>
          </w:tcPr>
          <w:p w14:paraId="0E79F92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评价得分</w:t>
            </w:r>
          </w:p>
        </w:tc>
      </w:tr>
      <w:tr w14:paraId="55D7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18C730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决策</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631EE0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18</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4AE276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1</w:t>
            </w:r>
            <w:r>
              <w:rPr>
                <w:rFonts w:hint="eastAsia" w:eastAsia="宋体" w:cs="Times New Roman"/>
                <w:b w:val="0"/>
                <w:i w:val="0"/>
                <w:iCs w:val="0"/>
                <w:color w:val="auto"/>
                <w:kern w:val="0"/>
                <w:sz w:val="21"/>
                <w:szCs w:val="21"/>
                <w:highlight w:val="none"/>
                <w:u w:val="none"/>
                <w:lang w:val="en-US" w:eastAsia="zh-CN" w:bidi="ar"/>
              </w:rPr>
              <w:t>5</w:t>
            </w:r>
          </w:p>
        </w:tc>
      </w:tr>
      <w:tr w14:paraId="53AF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5243DF0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过程</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60A015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22</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704CEC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1</w:t>
            </w:r>
            <w:r>
              <w:rPr>
                <w:rFonts w:hint="eastAsia" w:eastAsia="宋体" w:cs="Times New Roman"/>
                <w:b w:val="0"/>
                <w:i w:val="0"/>
                <w:iCs w:val="0"/>
                <w:color w:val="auto"/>
                <w:kern w:val="0"/>
                <w:sz w:val="21"/>
                <w:szCs w:val="21"/>
                <w:highlight w:val="none"/>
                <w:u w:val="none"/>
                <w:lang w:val="en-US" w:eastAsia="zh-CN" w:bidi="ar"/>
              </w:rPr>
              <w:t>9.43</w:t>
            </w:r>
          </w:p>
        </w:tc>
      </w:tr>
      <w:tr w14:paraId="337A6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535F21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产出</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1BAB9D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40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1AF8CA3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3</w:t>
            </w:r>
            <w:r>
              <w:rPr>
                <w:rFonts w:hint="eastAsia" w:eastAsia="宋体" w:cs="Times New Roman"/>
                <w:b w:val="0"/>
                <w:i w:val="0"/>
                <w:iCs w:val="0"/>
                <w:color w:val="auto"/>
                <w:kern w:val="0"/>
                <w:sz w:val="21"/>
                <w:szCs w:val="21"/>
                <w:highlight w:val="none"/>
                <w:u w:val="none"/>
                <w:lang w:val="en-US" w:eastAsia="zh-CN" w:bidi="ar"/>
              </w:rPr>
              <w:t>8.5</w:t>
            </w:r>
          </w:p>
        </w:tc>
      </w:tr>
      <w:tr w14:paraId="7FE4F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7D161F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效果</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1ED8FC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20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621B1B0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1</w:t>
            </w:r>
            <w:r>
              <w:rPr>
                <w:rFonts w:hint="eastAsia" w:eastAsia="宋体" w:cs="Times New Roman"/>
                <w:b w:val="0"/>
                <w:i w:val="0"/>
                <w:iCs w:val="0"/>
                <w:color w:val="auto"/>
                <w:kern w:val="0"/>
                <w:sz w:val="21"/>
                <w:szCs w:val="21"/>
                <w:highlight w:val="none"/>
                <w:u w:val="none"/>
                <w:lang w:val="en-US" w:eastAsia="zh-CN" w:bidi="ar"/>
              </w:rPr>
              <w:t>9</w:t>
            </w:r>
          </w:p>
        </w:tc>
      </w:tr>
      <w:tr w14:paraId="72618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47B8D1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总体总分</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0A4DC8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100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11864F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lang w:val="en-US"/>
              </w:rPr>
            </w:pPr>
            <w:r>
              <w:rPr>
                <w:rFonts w:hint="default" w:ascii="Times New Roman" w:hAnsi="Times New Roman" w:eastAsia="宋体" w:cs="Times New Roman"/>
                <w:b/>
                <w:bCs/>
                <w:i w:val="0"/>
                <w:iCs w:val="0"/>
                <w:color w:val="auto"/>
                <w:kern w:val="0"/>
                <w:sz w:val="21"/>
                <w:szCs w:val="21"/>
                <w:highlight w:val="none"/>
                <w:u w:val="none"/>
                <w:lang w:val="en-US" w:eastAsia="zh-CN" w:bidi="ar"/>
              </w:rPr>
              <w:t>91.93</w:t>
            </w:r>
          </w:p>
        </w:tc>
      </w:tr>
    </w:tbl>
    <w:p w14:paraId="100D9F90">
      <w:pPr>
        <w:pStyle w:val="4"/>
        <w:bidi w:val="0"/>
        <w:rPr>
          <w:rFonts w:hint="default"/>
          <w:color w:val="auto"/>
          <w:highlight w:val="none"/>
          <w:lang w:val="en-US" w:eastAsia="zh-CN"/>
        </w:rPr>
      </w:pPr>
      <w:bookmarkStart w:id="5" w:name="_Toc22340"/>
      <w:r>
        <w:rPr>
          <w:rFonts w:hint="default"/>
          <w:color w:val="auto"/>
          <w:highlight w:val="none"/>
          <w:lang w:val="en-US" w:eastAsia="zh-CN"/>
        </w:rPr>
        <w:t>1.2绩效</w:t>
      </w:r>
      <w:r>
        <w:rPr>
          <w:rFonts w:hint="eastAsia"/>
          <w:color w:val="auto"/>
          <w:highlight w:val="none"/>
          <w:lang w:val="en-US" w:eastAsia="zh-CN"/>
        </w:rPr>
        <w:t>评价指标情况</w:t>
      </w:r>
      <w:bookmarkEnd w:id="5"/>
    </w:p>
    <w:p w14:paraId="1E937CB0">
      <w:pPr>
        <w:pStyle w:val="5"/>
        <w:bidi w:val="0"/>
        <w:rPr>
          <w:rFonts w:hint="default"/>
          <w:color w:val="auto"/>
          <w:highlight w:val="none"/>
          <w:lang w:val="en-US" w:eastAsia="zh-Hans"/>
        </w:rPr>
      </w:pPr>
      <w:bookmarkStart w:id="6" w:name="_Toc6695"/>
      <w:r>
        <w:rPr>
          <w:rFonts w:hint="default"/>
          <w:color w:val="auto"/>
          <w:highlight w:val="none"/>
          <w:lang w:val="en-US" w:eastAsia="zh-CN"/>
        </w:rPr>
        <w:t>1.2.1</w:t>
      </w:r>
      <w:r>
        <w:rPr>
          <w:rFonts w:hint="default"/>
          <w:color w:val="auto"/>
          <w:highlight w:val="none"/>
          <w:lang w:val="en-US" w:eastAsia="zh-Hans"/>
        </w:rPr>
        <w:t>决策</w:t>
      </w:r>
      <w:bookmarkEnd w:id="6"/>
    </w:p>
    <w:p w14:paraId="0114D0A6">
      <w:pPr>
        <w:bidi w:val="0"/>
        <w:rPr>
          <w:rFonts w:hint="default"/>
          <w:lang w:val="en-US" w:eastAsia="zh-CN"/>
        </w:rPr>
      </w:pPr>
      <w:r>
        <w:rPr>
          <w:rFonts w:hint="eastAsia"/>
          <w:b/>
          <w:bCs/>
          <w:lang w:val="en-US" w:eastAsia="zh-CN"/>
        </w:rPr>
        <w:t>项目立项（6分，得6分）：</w:t>
      </w:r>
      <w:r>
        <w:rPr>
          <w:rFonts w:hint="eastAsia"/>
          <w:b w:val="0"/>
          <w:bCs w:val="0"/>
          <w:lang w:val="en-US" w:eastAsia="zh-CN"/>
        </w:rPr>
        <w:t>符合政策法规、部门职责及发展规划，无重复建设，立项依据充分；依上级文件及资金分配方案立项，经市政府审议且完成绩效评估，程序合规。</w:t>
      </w:r>
    </w:p>
    <w:p w14:paraId="56432E1D">
      <w:pPr>
        <w:bidi w:val="0"/>
        <w:rPr>
          <w:rFonts w:hint="default"/>
          <w:color w:val="auto"/>
          <w:highlight w:val="none"/>
          <w:lang w:eastAsia="zh-Hans"/>
        </w:rPr>
      </w:pPr>
      <w:r>
        <w:rPr>
          <w:rFonts w:hint="eastAsia"/>
          <w:b/>
          <w:bCs/>
          <w:color w:val="auto"/>
          <w:highlight w:val="none"/>
          <w:lang w:val="en-US" w:eastAsia="zh-CN"/>
        </w:rPr>
        <w:t>绩效目标（6分，得4分，扣2分）：</w:t>
      </w:r>
      <w:r>
        <w:rPr>
          <w:rFonts w:hint="eastAsia"/>
          <w:color w:val="auto"/>
          <w:highlight w:val="none"/>
          <w:lang w:val="en-US" w:eastAsia="zh-CN"/>
        </w:rPr>
        <w:t>年度绩效目标表述“支持巩固拓展脱贫攻坚成果，衔接推进乡村振兴”不够细化</w:t>
      </w:r>
      <w:r>
        <w:rPr>
          <w:rFonts w:hint="default"/>
          <w:color w:val="auto"/>
          <w:highlight w:val="none"/>
          <w:lang w:eastAsia="zh-Hans"/>
        </w:rPr>
        <w:t>；部分指标（如种养业成活率、困难群众经济增长）缺乏明确考核依据。</w:t>
      </w:r>
    </w:p>
    <w:p w14:paraId="781F90F0">
      <w:pPr>
        <w:bidi w:val="0"/>
        <w:rPr>
          <w:rFonts w:hint="eastAsia"/>
          <w:color w:val="auto"/>
          <w:highlight w:val="none"/>
          <w:lang w:val="en-US" w:eastAsia="zh-CN"/>
        </w:rPr>
      </w:pPr>
      <w:r>
        <w:rPr>
          <w:rFonts w:hint="default"/>
          <w:b/>
          <w:bCs/>
          <w:color w:val="auto"/>
          <w:highlight w:val="none"/>
          <w:lang w:eastAsia="zh-Hans"/>
        </w:rPr>
        <w:t>资金投入（6分，得5分，扣1分）：</w:t>
      </w:r>
      <w:r>
        <w:rPr>
          <w:rFonts w:hint="default"/>
          <w:color w:val="auto"/>
          <w:highlight w:val="none"/>
          <w:lang w:eastAsia="zh-Hans"/>
        </w:rPr>
        <w:t>预算编制依据“</w:t>
      </w:r>
      <w:r>
        <w:rPr>
          <w:rFonts w:hint="eastAsia"/>
          <w:color w:val="auto"/>
          <w:highlight w:val="none"/>
          <w:lang w:val="en-US" w:eastAsia="zh-CN"/>
        </w:rPr>
        <w:t>市级</w:t>
      </w:r>
      <w:r>
        <w:rPr>
          <w:rFonts w:hint="default"/>
          <w:color w:val="auto"/>
          <w:highlight w:val="none"/>
          <w:lang w:eastAsia="zh-Hans"/>
        </w:rPr>
        <w:t>衔接资金投入不低于上年度”要求，额度充分但测算说明不够</w:t>
      </w:r>
      <w:r>
        <w:rPr>
          <w:rFonts w:hint="eastAsia"/>
          <w:color w:val="auto"/>
          <w:highlight w:val="none"/>
          <w:lang w:val="en-US" w:eastAsia="zh-CN"/>
        </w:rPr>
        <w:t>细化</w:t>
      </w:r>
      <w:r>
        <w:rPr>
          <w:rFonts w:hint="default"/>
          <w:color w:val="auto"/>
          <w:highlight w:val="none"/>
          <w:lang w:eastAsia="zh-Hans"/>
        </w:rPr>
        <w:t>；</w:t>
      </w:r>
      <w:r>
        <w:rPr>
          <w:rFonts w:hint="eastAsia"/>
          <w:color w:val="auto"/>
          <w:highlight w:val="none"/>
          <w:lang w:val="en-US" w:eastAsia="zh-CN"/>
        </w:rPr>
        <w:t>资金</w:t>
      </w:r>
      <w:r>
        <w:rPr>
          <w:rFonts w:hint="default"/>
          <w:color w:val="auto"/>
          <w:highlight w:val="none"/>
          <w:lang w:eastAsia="zh-Hans"/>
        </w:rPr>
        <w:t>分配符合省管理办法及地方方案，适配实际需求。</w:t>
      </w:r>
    </w:p>
    <w:p w14:paraId="144FFDE5">
      <w:pPr>
        <w:pStyle w:val="5"/>
        <w:bidi w:val="0"/>
        <w:rPr>
          <w:rFonts w:hint="default"/>
          <w:color w:val="auto"/>
          <w:highlight w:val="none"/>
          <w:lang w:val="en-US" w:eastAsia="zh-CN"/>
        </w:rPr>
      </w:pPr>
      <w:bookmarkStart w:id="7" w:name="_Toc11084"/>
      <w:r>
        <w:rPr>
          <w:rFonts w:hint="default"/>
          <w:color w:val="auto"/>
          <w:highlight w:val="none"/>
          <w:lang w:val="en-US" w:eastAsia="zh-CN"/>
        </w:rPr>
        <w:t>1.2.2过程</w:t>
      </w:r>
      <w:bookmarkEnd w:id="7"/>
    </w:p>
    <w:p w14:paraId="4320CCE0">
      <w:pPr>
        <w:bidi w:val="0"/>
        <w:rPr>
          <w:rFonts w:hint="default" w:eastAsia="仿宋" w:cs="Times New Roman"/>
          <w:b w:val="0"/>
          <w:color w:val="auto"/>
          <w:highlight w:val="none"/>
          <w:lang w:val="en-US" w:eastAsia="zh-CN"/>
        </w:rPr>
      </w:pPr>
      <w:r>
        <w:rPr>
          <w:rFonts w:hint="eastAsia" w:cs="Times New Roman"/>
          <w:b/>
          <w:bCs/>
          <w:color w:val="auto"/>
          <w:highlight w:val="none"/>
          <w:lang w:val="en-US" w:eastAsia="zh-CN"/>
        </w:rPr>
        <w:t>资金管理（12分，得10.43分，扣1.57分）：</w:t>
      </w:r>
      <w:r>
        <w:rPr>
          <w:rFonts w:hint="eastAsia" w:cs="Times New Roman"/>
          <w:b w:val="0"/>
          <w:color w:val="auto"/>
          <w:highlight w:val="none"/>
          <w:lang w:val="en-US" w:eastAsia="zh-CN"/>
        </w:rPr>
        <w:t>2024年度预算3,500.00万元，实际到位指标3,500.00万元，到位率100%；截至2024年12月31日实际执行2,126.53万元，执行率60.76%；资金按“一本通”拨付，未发现截留、挤占、挪用情况。</w:t>
      </w:r>
    </w:p>
    <w:p w14:paraId="5F425C5C">
      <w:pPr>
        <w:bidi w:val="0"/>
        <w:rPr>
          <w:rFonts w:hint="default"/>
          <w:color w:val="auto"/>
          <w:highlight w:val="none"/>
          <w:lang w:val="en-US" w:eastAsia="zh-CN"/>
        </w:rPr>
      </w:pPr>
      <w:r>
        <w:rPr>
          <w:rFonts w:hint="eastAsia" w:cs="Times New Roman"/>
          <w:b/>
          <w:bCs/>
          <w:color w:val="auto"/>
          <w:highlight w:val="none"/>
          <w:lang w:val="en-US" w:eastAsia="zh-CN"/>
        </w:rPr>
        <w:t>组织实施（10分，得9分，扣1分）：</w:t>
      </w:r>
      <w:r>
        <w:rPr>
          <w:rFonts w:hint="eastAsia" w:cs="Times New Roman"/>
          <w:b w:val="0"/>
          <w:color w:val="auto"/>
          <w:highlight w:val="none"/>
          <w:lang w:val="en-US" w:eastAsia="zh-CN"/>
        </w:rPr>
        <w:t>执行省衔接资金管理办法，三地有配套制度</w:t>
      </w:r>
      <w:r>
        <w:rPr>
          <w:rFonts w:hint="default" w:cs="Times New Roman"/>
          <w:b w:val="0"/>
          <w:color w:val="auto"/>
          <w:highlight w:val="none"/>
          <w:lang w:eastAsia="zh-Hans"/>
        </w:rPr>
        <w:t>；</w:t>
      </w:r>
      <w:r>
        <w:rPr>
          <w:rFonts w:hint="eastAsia" w:cs="Times New Roman"/>
          <w:b w:val="0"/>
          <w:color w:val="auto"/>
          <w:highlight w:val="none"/>
          <w:lang w:val="en-US" w:eastAsia="zh-CN"/>
        </w:rPr>
        <w:t>但制度执行不够有效</w:t>
      </w:r>
      <w:r>
        <w:rPr>
          <w:rFonts w:hint="eastAsia" w:cs="Times New Roman"/>
          <w:b w:val="0"/>
          <w:color w:val="auto"/>
          <w:highlight w:val="none"/>
          <w:lang w:eastAsia="zh-CN"/>
        </w:rPr>
        <w:t>，绩效自评与监控质量</w:t>
      </w:r>
      <w:r>
        <w:rPr>
          <w:rFonts w:hint="eastAsia" w:cs="Times New Roman"/>
          <w:b w:val="0"/>
          <w:color w:val="auto"/>
          <w:highlight w:val="none"/>
          <w:lang w:val="en-US" w:eastAsia="zh-CN"/>
        </w:rPr>
        <w:t>有待提升</w:t>
      </w:r>
      <w:r>
        <w:rPr>
          <w:rFonts w:hint="eastAsia" w:cs="Times New Roman"/>
          <w:b w:val="0"/>
          <w:color w:val="auto"/>
          <w:highlight w:val="none"/>
          <w:lang w:eastAsia="zh-CN"/>
        </w:rPr>
        <w:t>（</w:t>
      </w:r>
      <w:r>
        <w:rPr>
          <w:rFonts w:hint="eastAsia" w:cs="Times New Roman"/>
          <w:b w:val="0"/>
          <w:color w:val="auto"/>
          <w:highlight w:val="none"/>
          <w:lang w:val="en-US" w:eastAsia="zh-CN"/>
        </w:rPr>
        <w:t>如</w:t>
      </w:r>
      <w:r>
        <w:rPr>
          <w:rFonts w:hint="eastAsia" w:cs="Times New Roman"/>
          <w:b w:val="0"/>
          <w:color w:val="auto"/>
          <w:highlight w:val="none"/>
          <w:lang w:eastAsia="zh-CN"/>
        </w:rPr>
        <w:t>指标不一致、未定期监控）</w:t>
      </w:r>
      <w:r>
        <w:rPr>
          <w:rFonts w:hint="default" w:cs="Times New Roman"/>
          <w:b w:val="0"/>
          <w:color w:val="auto"/>
          <w:highlight w:val="none"/>
          <w:lang w:eastAsia="zh-Hans"/>
        </w:rPr>
        <w:t>。</w:t>
      </w:r>
    </w:p>
    <w:p w14:paraId="2B9A07F0">
      <w:pPr>
        <w:pStyle w:val="5"/>
        <w:bidi w:val="0"/>
        <w:rPr>
          <w:rFonts w:hint="default"/>
          <w:color w:val="auto"/>
          <w:highlight w:val="none"/>
          <w:lang w:eastAsia="zh-CN"/>
        </w:rPr>
      </w:pPr>
      <w:bookmarkStart w:id="8" w:name="_Toc10847"/>
      <w:r>
        <w:rPr>
          <w:rFonts w:hint="default"/>
          <w:color w:val="auto"/>
          <w:highlight w:val="none"/>
          <w:lang w:val="en-US" w:eastAsia="zh-CN"/>
        </w:rPr>
        <w:t>1.2.3产出</w:t>
      </w:r>
      <w:bookmarkEnd w:id="8"/>
    </w:p>
    <w:p w14:paraId="7B6A55B5">
      <w:pPr>
        <w:bidi w:val="0"/>
        <w:rPr>
          <w:rFonts w:hint="default" w:cs="Times New Roman"/>
          <w:b w:val="0"/>
          <w:color w:val="auto"/>
          <w:highlight w:val="none"/>
          <w:lang w:eastAsia="zh-Hans"/>
        </w:rPr>
      </w:pPr>
      <w:r>
        <w:rPr>
          <w:rFonts w:hint="eastAsia" w:cs="Times New Roman"/>
          <w:b/>
          <w:bCs/>
          <w:color w:val="auto"/>
          <w:highlight w:val="none"/>
          <w:lang w:val="en-US" w:eastAsia="zh-CN"/>
        </w:rPr>
        <w:t>产出数量（25分，得25分）：</w:t>
      </w:r>
      <w:r>
        <w:rPr>
          <w:rFonts w:hint="eastAsia" w:cs="Times New Roman"/>
          <w:b w:val="0"/>
          <w:color w:val="auto"/>
          <w:highlight w:val="none"/>
          <w:lang w:val="en-US" w:eastAsia="zh-CN"/>
        </w:rPr>
        <w:t>2024年</w:t>
      </w:r>
      <w:r>
        <w:rPr>
          <w:rFonts w:hint="default" w:cs="Times New Roman"/>
          <w:b w:val="0"/>
          <w:color w:val="auto"/>
          <w:highlight w:val="none"/>
          <w:lang w:eastAsia="zh-Hans"/>
        </w:rPr>
        <w:t>支持产业发展项目</w:t>
      </w:r>
      <w:r>
        <w:rPr>
          <w:rFonts w:hint="eastAsia" w:cs="Times New Roman"/>
          <w:b w:val="0"/>
          <w:color w:val="auto"/>
          <w:highlight w:val="none"/>
          <w:lang w:val="en-US" w:eastAsia="zh-CN"/>
        </w:rPr>
        <w:t>161个；支持农村基础设施建设64个/处；支持脱贫人口5283人稳定就业；支持农作物种植面积4113亩</w:t>
      </w:r>
      <w:r>
        <w:rPr>
          <w:rFonts w:hint="eastAsia" w:cs="Times New Roman"/>
          <w:b w:val="0"/>
          <w:color w:val="auto"/>
          <w:highlight w:val="none"/>
          <w:lang w:eastAsia="zh-CN"/>
        </w:rPr>
        <w:t>；支持畜牧养殖12050头/只，</w:t>
      </w:r>
      <w:r>
        <w:rPr>
          <w:rFonts w:hint="eastAsia" w:cs="Times New Roman"/>
          <w:b w:val="0"/>
          <w:color w:val="auto"/>
          <w:highlight w:val="none"/>
          <w:lang w:val="en-US" w:eastAsia="zh-CN"/>
        </w:rPr>
        <w:t>均达标</w:t>
      </w:r>
      <w:r>
        <w:rPr>
          <w:rFonts w:hint="default" w:cs="Times New Roman"/>
          <w:b w:val="0"/>
          <w:color w:val="auto"/>
          <w:highlight w:val="none"/>
          <w:lang w:eastAsia="zh-Hans"/>
        </w:rPr>
        <w:t>。</w:t>
      </w:r>
    </w:p>
    <w:p w14:paraId="4C7FDCF6">
      <w:pPr>
        <w:bidi w:val="0"/>
        <w:rPr>
          <w:rFonts w:hint="default" w:cs="Times New Roman"/>
          <w:b w:val="0"/>
          <w:color w:val="auto"/>
          <w:highlight w:val="none"/>
          <w:lang w:eastAsia="zh-Hans"/>
        </w:rPr>
      </w:pPr>
      <w:r>
        <w:rPr>
          <w:rFonts w:hint="eastAsia" w:cs="Times New Roman"/>
          <w:b/>
          <w:bCs/>
          <w:color w:val="auto"/>
          <w:highlight w:val="none"/>
          <w:lang w:val="en-US" w:eastAsia="zh-CN"/>
        </w:rPr>
        <w:t>产出质量（8分，得7.5分，扣0.5分）：</w:t>
      </w:r>
      <w:r>
        <w:rPr>
          <w:rFonts w:hint="eastAsia" w:cs="Times New Roman"/>
          <w:b w:val="0"/>
          <w:color w:val="auto"/>
          <w:highlight w:val="none"/>
          <w:lang w:val="en-US" w:eastAsia="zh-CN"/>
        </w:rPr>
        <w:t>三地基础设施建设验收合格率100%；种养业成活率98.67%（达标），但无台账佐证。</w:t>
      </w:r>
    </w:p>
    <w:p w14:paraId="1773BE08">
      <w:pPr>
        <w:bidi w:val="0"/>
        <w:rPr>
          <w:rFonts w:hint="default" w:cs="Times New Roman"/>
          <w:b w:val="0"/>
          <w:color w:val="auto"/>
          <w:highlight w:val="none"/>
          <w:lang w:eastAsia="zh-Hans"/>
        </w:rPr>
      </w:pPr>
      <w:r>
        <w:rPr>
          <w:rFonts w:hint="eastAsia" w:cs="Times New Roman"/>
          <w:b/>
          <w:bCs/>
          <w:color w:val="auto"/>
          <w:highlight w:val="none"/>
          <w:lang w:val="en-US" w:eastAsia="zh-CN"/>
        </w:rPr>
        <w:t>产出时效（4分，得3分，扣1分）：</w:t>
      </w:r>
      <w:r>
        <w:rPr>
          <w:rFonts w:hint="eastAsia" w:cs="Times New Roman"/>
          <w:b w:val="0"/>
          <w:color w:val="auto"/>
          <w:highlight w:val="none"/>
          <w:lang w:val="en-US" w:eastAsia="zh-CN"/>
        </w:rPr>
        <w:t>多数项目2024年完成，少量未完工，进度待加快</w:t>
      </w:r>
      <w:r>
        <w:rPr>
          <w:rFonts w:hint="default" w:cs="Times New Roman"/>
          <w:b w:val="0"/>
          <w:color w:val="auto"/>
          <w:highlight w:val="none"/>
          <w:lang w:eastAsia="zh-Hans"/>
        </w:rPr>
        <w:t>。</w:t>
      </w:r>
    </w:p>
    <w:p w14:paraId="240307E1">
      <w:pPr>
        <w:bidi w:val="0"/>
        <w:rPr>
          <w:rFonts w:hint="eastAsia" w:cs="Times New Roman"/>
          <w:b w:val="0"/>
          <w:color w:val="auto"/>
          <w:highlight w:val="none"/>
          <w:lang w:val="en-US" w:eastAsia="zh-CN"/>
        </w:rPr>
      </w:pPr>
      <w:r>
        <w:rPr>
          <w:rFonts w:hint="eastAsia" w:cs="Times New Roman"/>
          <w:b/>
          <w:bCs/>
          <w:color w:val="auto"/>
          <w:highlight w:val="none"/>
          <w:lang w:val="en-US" w:eastAsia="zh-CN"/>
        </w:rPr>
        <w:t>产出成本</w:t>
      </w:r>
      <w:r>
        <w:rPr>
          <w:rFonts w:hint="default" w:cs="Times New Roman"/>
          <w:b/>
          <w:bCs/>
          <w:color w:val="auto"/>
          <w:highlight w:val="none"/>
          <w:lang w:eastAsia="zh-Hans"/>
        </w:rPr>
        <w:t>（3分，得3分）：</w:t>
      </w:r>
      <w:r>
        <w:rPr>
          <w:rFonts w:hint="default" w:cs="Times New Roman"/>
          <w:b w:val="0"/>
          <w:color w:val="auto"/>
          <w:highlight w:val="none"/>
          <w:lang w:eastAsia="zh-Hans"/>
        </w:rPr>
        <w:t>成本控制良好，</w:t>
      </w:r>
      <w:r>
        <w:rPr>
          <w:rFonts w:hint="eastAsia" w:cs="Times New Roman"/>
          <w:b w:val="0"/>
          <w:color w:val="auto"/>
          <w:highlight w:val="none"/>
          <w:lang w:val="en-US" w:eastAsia="zh-CN"/>
        </w:rPr>
        <w:t>未发现</w:t>
      </w:r>
      <w:r>
        <w:rPr>
          <w:rFonts w:hint="default" w:cs="Times New Roman"/>
          <w:b w:val="0"/>
          <w:color w:val="auto"/>
          <w:highlight w:val="none"/>
          <w:lang w:eastAsia="zh-Hans"/>
        </w:rPr>
        <w:t>超预算情况。</w:t>
      </w:r>
    </w:p>
    <w:p w14:paraId="14A4FD47">
      <w:pPr>
        <w:pStyle w:val="5"/>
        <w:bidi w:val="0"/>
        <w:rPr>
          <w:rFonts w:hint="eastAsia"/>
          <w:color w:val="auto"/>
          <w:highlight w:val="none"/>
          <w:lang w:val="en-US" w:eastAsia="zh-CN"/>
        </w:rPr>
      </w:pPr>
      <w:bookmarkStart w:id="9" w:name="_Toc5584"/>
      <w:r>
        <w:rPr>
          <w:rFonts w:hint="default"/>
          <w:color w:val="auto"/>
          <w:highlight w:val="none"/>
          <w:lang w:val="en-US" w:eastAsia="zh-CN"/>
        </w:rPr>
        <w:t>1.2.4</w:t>
      </w:r>
      <w:r>
        <w:rPr>
          <w:rFonts w:hint="default"/>
          <w:color w:val="auto"/>
          <w:highlight w:val="none"/>
          <w:lang w:val="en-US" w:eastAsia="zh-Hans"/>
        </w:rPr>
        <w:t>效</w:t>
      </w:r>
      <w:r>
        <w:rPr>
          <w:rFonts w:hint="default"/>
          <w:color w:val="auto"/>
          <w:highlight w:val="none"/>
          <w:lang w:val="en-US" w:eastAsia="zh-CN"/>
        </w:rPr>
        <w:t>果</w:t>
      </w:r>
      <w:bookmarkEnd w:id="9"/>
    </w:p>
    <w:p w14:paraId="61FB4AA3">
      <w:pPr>
        <w:bidi w:val="0"/>
        <w:rPr>
          <w:rFonts w:hint="default" w:cs="Times New Roman"/>
          <w:b w:val="0"/>
          <w:color w:val="auto"/>
          <w:highlight w:val="none"/>
          <w:lang w:eastAsia="zh-Hans"/>
        </w:rPr>
      </w:pPr>
      <w:r>
        <w:rPr>
          <w:rFonts w:hint="eastAsia" w:cs="Times New Roman"/>
          <w:b/>
          <w:bCs/>
          <w:color w:val="auto"/>
          <w:highlight w:val="none"/>
          <w:lang w:val="en-US" w:eastAsia="zh-CN"/>
        </w:rPr>
        <w:t>社会效益（4分，得4分）：</w:t>
      </w:r>
      <w:r>
        <w:rPr>
          <w:rFonts w:hint="eastAsia" w:cs="Times New Roman"/>
          <w:b w:val="0"/>
          <w:color w:val="auto"/>
          <w:highlight w:val="none"/>
          <w:lang w:val="en-US" w:eastAsia="zh-CN"/>
        </w:rPr>
        <w:t>2024年三地完成64个/处基础设施建设，显著改善村民出行与农田灌溉条件</w:t>
      </w:r>
      <w:r>
        <w:rPr>
          <w:rFonts w:hint="default" w:cs="Times New Roman"/>
          <w:b w:val="0"/>
          <w:color w:val="auto"/>
          <w:highlight w:val="none"/>
          <w:lang w:eastAsia="zh-Hans"/>
        </w:rPr>
        <w:t>。</w:t>
      </w:r>
    </w:p>
    <w:p w14:paraId="27ACB9E5">
      <w:pPr>
        <w:bidi w:val="0"/>
        <w:rPr>
          <w:rFonts w:hint="eastAsia" w:cs="Times New Roman"/>
          <w:b w:val="0"/>
          <w:color w:val="auto"/>
          <w:highlight w:val="none"/>
          <w:lang w:val="en-US" w:eastAsia="zh-CN"/>
        </w:rPr>
      </w:pPr>
      <w:r>
        <w:rPr>
          <w:rFonts w:hint="eastAsia" w:cs="Times New Roman"/>
          <w:b/>
          <w:bCs/>
          <w:color w:val="auto"/>
          <w:highlight w:val="none"/>
          <w:lang w:val="en-US" w:eastAsia="zh-CN"/>
        </w:rPr>
        <w:t>经济效益（4分，得3.5分，扣0.5分）：</w:t>
      </w:r>
      <w:r>
        <w:rPr>
          <w:rFonts w:hint="eastAsia" w:cs="Times New Roman"/>
          <w:b w:val="0"/>
          <w:bCs w:val="0"/>
          <w:color w:val="auto"/>
          <w:highlight w:val="none"/>
          <w:lang w:val="en-US" w:eastAsia="zh-CN"/>
        </w:rPr>
        <w:t>161个产业项目推动产值与销售额增长，但统计难度大、</w:t>
      </w:r>
      <w:r>
        <w:rPr>
          <w:rFonts w:hint="eastAsia" w:cs="Times New Roman"/>
          <w:b w:val="0"/>
          <w:color w:val="auto"/>
          <w:highlight w:val="none"/>
          <w:lang w:val="en-US" w:eastAsia="zh-CN"/>
        </w:rPr>
        <w:t>佐证资料不足。</w:t>
      </w:r>
    </w:p>
    <w:p w14:paraId="394E7CC0">
      <w:pPr>
        <w:bidi w:val="0"/>
        <w:rPr>
          <w:rFonts w:hint="default" w:cs="Times New Roman"/>
          <w:b w:val="0"/>
          <w:color w:val="auto"/>
          <w:highlight w:val="none"/>
          <w:lang w:val="en-US" w:eastAsia="zh-Hans"/>
        </w:rPr>
      </w:pPr>
      <w:r>
        <w:rPr>
          <w:rFonts w:hint="eastAsia" w:cs="Times New Roman"/>
          <w:b/>
          <w:bCs/>
          <w:color w:val="auto"/>
          <w:highlight w:val="none"/>
          <w:lang w:val="en-US" w:eastAsia="zh-CN"/>
        </w:rPr>
        <w:t>生态效益（4分，得4分）：</w:t>
      </w:r>
      <w:r>
        <w:rPr>
          <w:rFonts w:hint="eastAsia" w:cs="Times New Roman"/>
          <w:b w:val="0"/>
          <w:color w:val="auto"/>
          <w:highlight w:val="none"/>
          <w:lang w:val="en-US" w:eastAsia="zh-CN"/>
        </w:rPr>
        <w:t>三地通过美丽乡村建设、环境整治，实现生态环境与人居环境双向提升。</w:t>
      </w:r>
    </w:p>
    <w:p w14:paraId="4D9EE482">
      <w:pPr>
        <w:bidi w:val="0"/>
        <w:rPr>
          <w:rFonts w:hint="default" w:cs="Times New Roman"/>
          <w:b w:val="0"/>
          <w:color w:val="auto"/>
          <w:highlight w:val="none"/>
          <w:lang w:eastAsia="zh-Hans"/>
        </w:rPr>
      </w:pPr>
      <w:r>
        <w:rPr>
          <w:rFonts w:hint="eastAsia" w:cs="Times New Roman"/>
          <w:b/>
          <w:bCs/>
          <w:color w:val="auto"/>
          <w:highlight w:val="none"/>
          <w:lang w:val="en-US" w:eastAsia="zh-CN"/>
        </w:rPr>
        <w:t>可持续影响效益（4分，得3.5分，扣0.5分）：</w:t>
      </w:r>
      <w:r>
        <w:rPr>
          <w:rFonts w:hint="eastAsia" w:cs="Times New Roman"/>
          <w:b w:val="0"/>
          <w:color w:val="auto"/>
          <w:highlight w:val="none"/>
          <w:lang w:val="en-US" w:eastAsia="zh-CN"/>
        </w:rPr>
        <w:t>多元化产业布局增强了抗风险能力，但部分项目进度滞后，拖慢产业发展节奏</w:t>
      </w:r>
      <w:r>
        <w:rPr>
          <w:rFonts w:hint="default" w:cs="Times New Roman"/>
          <w:b w:val="0"/>
          <w:color w:val="auto"/>
          <w:highlight w:val="none"/>
          <w:lang w:eastAsia="zh-Hans"/>
        </w:rPr>
        <w:t>。</w:t>
      </w:r>
    </w:p>
    <w:p w14:paraId="3A452132">
      <w:pPr>
        <w:bidi w:val="0"/>
        <w:rPr>
          <w:rFonts w:hint="eastAsia" w:cs="Times New Roman"/>
          <w:b w:val="0"/>
          <w:color w:val="auto"/>
          <w:highlight w:val="none"/>
          <w:lang w:val="en-US" w:eastAsia="zh-CN"/>
        </w:rPr>
      </w:pPr>
      <w:r>
        <w:rPr>
          <w:rFonts w:hint="eastAsia" w:cs="Times New Roman"/>
          <w:b/>
          <w:bCs/>
          <w:color w:val="auto"/>
          <w:highlight w:val="none"/>
          <w:lang w:val="en-US" w:eastAsia="zh-CN"/>
        </w:rPr>
        <w:t>满意度（4分，得4分）：</w:t>
      </w:r>
      <w:r>
        <w:rPr>
          <w:rFonts w:hint="eastAsia" w:cs="Times New Roman"/>
          <w:b w:val="0"/>
          <w:color w:val="auto"/>
          <w:highlight w:val="none"/>
          <w:lang w:val="en-US" w:eastAsia="zh-CN"/>
        </w:rPr>
        <w:t>245份问卷显示公众满意度94.58%</w:t>
      </w:r>
      <w:r>
        <w:rPr>
          <w:rFonts w:hint="default" w:cs="Times New Roman"/>
          <w:b w:val="0"/>
          <w:color w:val="auto"/>
          <w:highlight w:val="none"/>
          <w:lang w:eastAsia="zh-Hans"/>
        </w:rPr>
        <w:t>。</w:t>
      </w:r>
    </w:p>
    <w:p w14:paraId="6C6A8EED">
      <w:pPr>
        <w:pStyle w:val="4"/>
        <w:bidi w:val="0"/>
        <w:rPr>
          <w:rFonts w:hint="default"/>
          <w:color w:val="auto"/>
          <w:highlight w:val="none"/>
          <w:lang w:val="en-US" w:eastAsia="zh-Hans"/>
        </w:rPr>
      </w:pPr>
      <w:bookmarkStart w:id="10" w:name="_Toc22768"/>
      <w:r>
        <w:rPr>
          <w:rFonts w:hint="default"/>
          <w:color w:val="auto"/>
          <w:highlight w:val="none"/>
          <w:lang w:val="en-US" w:eastAsia="zh-CN"/>
        </w:rPr>
        <w:t>1.3</w:t>
      </w:r>
      <w:r>
        <w:rPr>
          <w:rFonts w:hint="eastAsia"/>
          <w:color w:val="auto"/>
          <w:highlight w:val="none"/>
          <w:lang w:val="en-US" w:eastAsia="zh-CN"/>
        </w:rPr>
        <w:t>项目成效、</w:t>
      </w:r>
      <w:r>
        <w:rPr>
          <w:rFonts w:hint="default"/>
          <w:color w:val="auto"/>
          <w:highlight w:val="none"/>
          <w:lang w:val="en-US" w:eastAsia="zh-CN"/>
        </w:rPr>
        <w:t>存在的问题</w:t>
      </w:r>
      <w:r>
        <w:rPr>
          <w:rFonts w:hint="default"/>
          <w:color w:val="auto"/>
          <w:highlight w:val="none"/>
          <w:lang w:val="en-US" w:eastAsia="zh-Hans"/>
        </w:rPr>
        <w:t>和原因</w:t>
      </w:r>
      <w:bookmarkEnd w:id="10"/>
    </w:p>
    <w:p w14:paraId="34325730">
      <w:pPr>
        <w:pStyle w:val="5"/>
        <w:bidi w:val="0"/>
        <w:rPr>
          <w:rFonts w:hint="default"/>
          <w:color w:val="auto"/>
          <w:highlight w:val="none"/>
          <w:lang w:val="en-US" w:eastAsia="zh-CN"/>
        </w:rPr>
      </w:pPr>
      <w:bookmarkStart w:id="11" w:name="_Toc227"/>
      <w:r>
        <w:rPr>
          <w:rFonts w:hint="default"/>
          <w:color w:val="auto"/>
          <w:highlight w:val="none"/>
          <w:lang w:val="en-US" w:eastAsia="zh-CN"/>
        </w:rPr>
        <w:t>1.3.1</w:t>
      </w:r>
      <w:r>
        <w:rPr>
          <w:rFonts w:hint="eastAsia"/>
          <w:color w:val="auto"/>
          <w:highlight w:val="none"/>
          <w:lang w:val="en-US" w:eastAsia="zh-CN"/>
        </w:rPr>
        <w:t>以前年度结果应用情况</w:t>
      </w:r>
      <w:bookmarkEnd w:id="11"/>
    </w:p>
    <w:p w14:paraId="2850BB8D">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color w:val="auto"/>
          <w:highlight w:val="none"/>
          <w:lang w:val="en-US" w:eastAsia="zh-CN"/>
        </w:rPr>
      </w:pPr>
      <w:r>
        <w:rPr>
          <w:rFonts w:hint="eastAsia" w:cs="Times New Roman"/>
          <w:b w:val="0"/>
          <w:color w:val="auto"/>
          <w:highlight w:val="none"/>
          <w:lang w:val="en-US" w:eastAsia="zh-CN"/>
        </w:rPr>
        <w:t>2023年3个问题中，“绩效目标不具体”“项目进度慢”仍有待改进，“效益指标不合适”已细化（社会效益、生态效益指标优化）。</w:t>
      </w:r>
    </w:p>
    <w:p w14:paraId="2ABC30A4">
      <w:pPr>
        <w:pStyle w:val="5"/>
        <w:bidi w:val="0"/>
        <w:rPr>
          <w:rFonts w:hint="default"/>
          <w:color w:val="auto"/>
          <w:highlight w:val="none"/>
          <w:lang w:val="en-US" w:eastAsia="zh-CN"/>
        </w:rPr>
      </w:pPr>
      <w:bookmarkStart w:id="12" w:name="_Toc28677"/>
      <w:r>
        <w:rPr>
          <w:rFonts w:hint="eastAsia"/>
          <w:color w:val="auto"/>
          <w:highlight w:val="none"/>
          <w:lang w:val="en-US" w:eastAsia="zh-CN"/>
        </w:rPr>
        <w:t>1.3.2本年度绩效问题和原因</w:t>
      </w:r>
      <w:bookmarkEnd w:id="12"/>
    </w:p>
    <w:p w14:paraId="06744FFC">
      <w:pPr>
        <w:pStyle w:val="6"/>
        <w:bidi w:val="0"/>
        <w:rPr>
          <w:rFonts w:hint="default"/>
          <w:color w:val="auto"/>
          <w:highlight w:val="none"/>
          <w:lang w:val="en-US" w:eastAsia="zh-CN"/>
        </w:rPr>
      </w:pPr>
      <w:r>
        <w:rPr>
          <w:rFonts w:hint="eastAsia"/>
          <w:color w:val="auto"/>
          <w:highlight w:val="none"/>
          <w:lang w:val="en-US" w:eastAsia="zh-CN"/>
        </w:rPr>
        <w:t>1.3.2.1项目决策管理不够完善</w:t>
      </w:r>
    </w:p>
    <w:p w14:paraId="68954D62">
      <w:pPr>
        <w:bidi w:val="0"/>
        <w:rPr>
          <w:rFonts w:hint="eastAsia"/>
          <w:color w:val="auto"/>
          <w:highlight w:val="none"/>
          <w:lang w:val="en-US" w:eastAsia="zh-CN"/>
        </w:rPr>
      </w:pPr>
      <w:r>
        <w:rPr>
          <w:rFonts w:hint="eastAsia"/>
          <w:b/>
          <w:bCs/>
          <w:color w:val="auto"/>
          <w:highlight w:val="none"/>
          <w:lang w:val="en-US" w:eastAsia="zh-CN"/>
        </w:rPr>
        <w:t>一是</w:t>
      </w:r>
      <w:r>
        <w:rPr>
          <w:rFonts w:hint="eastAsia"/>
          <w:b w:val="0"/>
          <w:bCs w:val="0"/>
          <w:color w:val="auto"/>
          <w:highlight w:val="none"/>
          <w:lang w:val="en-US" w:eastAsia="zh-CN"/>
        </w:rPr>
        <w:t>绩效目标设定不够细化。年度绩效目标表述宽泛，如“支持巩固拓展脱贫攻坚成果，衔</w:t>
      </w:r>
      <w:r>
        <w:rPr>
          <w:rFonts w:hint="eastAsia"/>
          <w:color w:val="auto"/>
          <w:highlight w:val="none"/>
          <w:lang w:val="en-US" w:eastAsia="zh-CN"/>
        </w:rPr>
        <w:t>接推进乡村振兴”，未能与预算资金量紧密关联，难以有效指导项目实施与资金分配。部分绩效指标未统一考核计算口径，如种养业成活率、困难群众经济增长等，指标的可衡量性与可考核性不足。</w:t>
      </w:r>
    </w:p>
    <w:p w14:paraId="50932079">
      <w:pPr>
        <w:bidi w:val="0"/>
        <w:rPr>
          <w:rFonts w:hint="default"/>
          <w:color w:val="auto"/>
          <w:highlight w:val="none"/>
          <w:lang w:val="en-US" w:eastAsia="zh-CN"/>
        </w:rPr>
      </w:pPr>
      <w:r>
        <w:rPr>
          <w:rFonts w:hint="eastAsia"/>
          <w:b/>
          <w:bCs/>
          <w:color w:val="auto"/>
          <w:highlight w:val="none"/>
          <w:lang w:val="en-US" w:eastAsia="zh-CN"/>
        </w:rPr>
        <w:t>二是</w:t>
      </w:r>
      <w:r>
        <w:rPr>
          <w:rFonts w:hint="eastAsia"/>
          <w:color w:val="auto"/>
          <w:highlight w:val="none"/>
          <w:lang w:val="en-US" w:eastAsia="zh-CN"/>
        </w:rPr>
        <w:t>预算编制说明不够具体。预算内容虽与项目需求匹配，但项目申报表中“项目支出明细测算”栏未细化项目活动及测算说明，预算编制论证工作有待完善。</w:t>
      </w:r>
    </w:p>
    <w:p w14:paraId="54484BDF">
      <w:pPr>
        <w:pStyle w:val="6"/>
        <w:widowControl/>
        <w:rPr>
          <w:rFonts w:hint="default" w:ascii="Times New Roman" w:hAnsi="Times New Roman" w:eastAsia="楷体" w:cs="Times New Roman"/>
          <w:b/>
          <w:bCs w:val="0"/>
          <w:color w:val="auto"/>
          <w:kern w:val="2"/>
          <w:sz w:val="32"/>
          <w:szCs w:val="32"/>
          <w:highlight w:val="none"/>
        </w:rPr>
      </w:pPr>
      <w:r>
        <w:rPr>
          <w:rFonts w:hint="default" w:ascii="Times New Roman" w:hAnsi="Times New Roman" w:eastAsia="楷体" w:cs="Times New Roman"/>
          <w:b/>
          <w:bCs w:val="0"/>
          <w:color w:val="auto"/>
          <w:kern w:val="2"/>
          <w:sz w:val="32"/>
          <w:szCs w:val="32"/>
          <w:highlight w:val="none"/>
        </w:rPr>
        <w:t>1.3.2.</w:t>
      </w:r>
      <w:r>
        <w:rPr>
          <w:rFonts w:hint="eastAsia" w:cs="Times New Roman"/>
          <w:b/>
          <w:bCs w:val="0"/>
          <w:color w:val="auto"/>
          <w:kern w:val="2"/>
          <w:sz w:val="32"/>
          <w:szCs w:val="32"/>
          <w:highlight w:val="none"/>
          <w:lang w:val="en-US" w:eastAsia="zh-CN"/>
        </w:rPr>
        <w:t>2</w:t>
      </w:r>
      <w:r>
        <w:rPr>
          <w:rFonts w:hint="default" w:ascii="楷体" w:hAnsi="楷体" w:eastAsia="楷体" w:cs="楷体"/>
          <w:b/>
          <w:bCs w:val="0"/>
          <w:color w:val="auto"/>
          <w:kern w:val="2"/>
          <w:sz w:val="32"/>
          <w:szCs w:val="32"/>
          <w:highlight w:val="none"/>
        </w:rPr>
        <w:t>项目</w:t>
      </w:r>
      <w:r>
        <w:rPr>
          <w:rFonts w:hint="eastAsia" w:ascii="楷体" w:hAnsi="楷体" w:cs="楷体"/>
          <w:b/>
          <w:bCs w:val="0"/>
          <w:color w:val="auto"/>
          <w:kern w:val="2"/>
          <w:sz w:val="32"/>
          <w:szCs w:val="32"/>
          <w:highlight w:val="none"/>
          <w:lang w:val="en-US" w:eastAsia="zh-CN"/>
        </w:rPr>
        <w:t>过程</w:t>
      </w:r>
      <w:r>
        <w:rPr>
          <w:rFonts w:hint="default" w:ascii="楷体" w:hAnsi="楷体" w:eastAsia="楷体" w:cs="楷体"/>
          <w:b/>
          <w:bCs w:val="0"/>
          <w:color w:val="auto"/>
          <w:kern w:val="2"/>
          <w:sz w:val="32"/>
          <w:szCs w:val="32"/>
          <w:highlight w:val="none"/>
        </w:rPr>
        <w:t>管理不够完善</w:t>
      </w:r>
    </w:p>
    <w:p w14:paraId="7CC665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 w:hAnsi="仿宋" w:cs="仿宋"/>
          <w:b w:val="0"/>
          <w:color w:val="auto"/>
          <w:kern w:val="2"/>
          <w:sz w:val="32"/>
          <w:szCs w:val="32"/>
          <w:highlight w:val="none"/>
          <w:lang w:val="en-US" w:eastAsia="zh-CN" w:bidi="ar"/>
        </w:rPr>
      </w:pPr>
      <w:r>
        <w:rPr>
          <w:rFonts w:hint="eastAsia" w:ascii="仿宋" w:hAnsi="仿宋" w:cs="仿宋"/>
          <w:b/>
          <w:bCs/>
          <w:color w:val="auto"/>
          <w:kern w:val="2"/>
          <w:sz w:val="32"/>
          <w:szCs w:val="32"/>
          <w:highlight w:val="none"/>
          <w:lang w:val="en-US" w:eastAsia="zh-CN" w:bidi="ar"/>
        </w:rPr>
        <w:t>一是</w:t>
      </w:r>
      <w:r>
        <w:rPr>
          <w:rFonts w:hint="eastAsia" w:ascii="仿宋" w:hAnsi="仿宋" w:cs="仿宋"/>
          <w:b w:val="0"/>
          <w:color w:val="auto"/>
          <w:kern w:val="2"/>
          <w:sz w:val="32"/>
          <w:szCs w:val="32"/>
          <w:highlight w:val="none"/>
          <w:lang w:val="en-US" w:eastAsia="zh-CN" w:bidi="ar"/>
        </w:rPr>
        <w:t>预算执行率偏低。截至</w:t>
      </w:r>
      <w:r>
        <w:rPr>
          <w:rFonts w:hint="default" w:ascii="Times New Roman Regular" w:hAnsi="Times New Roman Regular" w:cs="Times New Roman Regular"/>
          <w:b w:val="0"/>
          <w:color w:val="auto"/>
          <w:kern w:val="2"/>
          <w:sz w:val="32"/>
          <w:szCs w:val="32"/>
          <w:highlight w:val="none"/>
          <w:lang w:val="en-US" w:eastAsia="zh-CN" w:bidi="ar"/>
        </w:rPr>
        <w:t>2024年12月31日，三地整体预算执行率仅为60.76%</w:t>
      </w:r>
      <w:r>
        <w:rPr>
          <w:rFonts w:hint="eastAsia" w:ascii="仿宋" w:hAnsi="仿宋" w:cs="仿宋"/>
          <w:b w:val="0"/>
          <w:color w:val="auto"/>
          <w:kern w:val="2"/>
          <w:sz w:val="32"/>
          <w:szCs w:val="32"/>
          <w:highlight w:val="none"/>
          <w:lang w:val="en-US" w:eastAsia="zh-CN" w:bidi="ar"/>
        </w:rPr>
        <w:t>。</w:t>
      </w:r>
    </w:p>
    <w:p w14:paraId="2EA618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color w:val="auto"/>
          <w:highlight w:val="none"/>
        </w:rPr>
      </w:pPr>
      <w:r>
        <w:rPr>
          <w:rFonts w:hint="eastAsia" w:ascii="仿宋" w:hAnsi="仿宋" w:cs="仿宋"/>
          <w:b/>
          <w:bCs/>
          <w:color w:val="auto"/>
          <w:kern w:val="2"/>
          <w:sz w:val="32"/>
          <w:szCs w:val="32"/>
          <w:highlight w:val="none"/>
          <w:lang w:val="en-US" w:eastAsia="zh-CN" w:bidi="ar"/>
        </w:rPr>
        <w:t>二是</w:t>
      </w:r>
      <w:r>
        <w:rPr>
          <w:rFonts w:hint="eastAsia" w:ascii="仿宋" w:hAnsi="仿宋" w:cs="仿宋"/>
          <w:b w:val="0"/>
          <w:color w:val="auto"/>
          <w:kern w:val="2"/>
          <w:sz w:val="32"/>
          <w:szCs w:val="32"/>
          <w:highlight w:val="none"/>
          <w:lang w:val="en-US" w:eastAsia="zh-CN" w:bidi="ar"/>
        </w:rPr>
        <w:t>绩效管理制度执行不力。未严格落实绩效自评与监控工作。具体为：未对项目整体开展绩效自评或绩效监控，自评指标与年初预算分配设定的绩效指标不一致，使得绩效管理制度未能充分发挥对项目实施的监督与指导作用。</w:t>
      </w:r>
    </w:p>
    <w:p w14:paraId="5F3790C5">
      <w:pPr>
        <w:pStyle w:val="6"/>
        <w:bidi w:val="0"/>
        <w:rPr>
          <w:rFonts w:hint="default"/>
          <w:color w:val="auto"/>
          <w:highlight w:val="none"/>
          <w:lang w:val="en-US" w:eastAsia="zh-CN"/>
        </w:rPr>
      </w:pPr>
      <w:r>
        <w:rPr>
          <w:rFonts w:hint="eastAsia"/>
          <w:color w:val="auto"/>
          <w:highlight w:val="none"/>
          <w:lang w:val="en-US" w:eastAsia="zh-CN"/>
        </w:rPr>
        <w:t>1.3.2.3项目产出管理不够完善</w:t>
      </w:r>
    </w:p>
    <w:p w14:paraId="0EF9C9ED">
      <w:pPr>
        <w:bidi w:val="0"/>
        <w:rPr>
          <w:rFonts w:hint="default"/>
          <w:color w:val="auto"/>
          <w:highlight w:val="none"/>
          <w:lang w:val="en-US" w:eastAsia="zh-CN"/>
        </w:rPr>
      </w:pPr>
      <w:r>
        <w:rPr>
          <w:rFonts w:hint="eastAsia"/>
          <w:color w:val="auto"/>
          <w:highlight w:val="none"/>
          <w:lang w:val="en-US" w:eastAsia="zh-CN"/>
        </w:rPr>
        <w:t>佐证资料收集汇总不力。对于支持农作物种植面积、种养业成活率、困难群众经济收入等指标，其佐证资料由三地负责收集，但三地难以在短时间内收集完毕并整理好相关台账，考核难度大。</w:t>
      </w:r>
    </w:p>
    <w:p w14:paraId="2344A02B">
      <w:pPr>
        <w:pStyle w:val="4"/>
        <w:bidi w:val="0"/>
        <w:rPr>
          <w:rFonts w:hint="default"/>
          <w:color w:val="auto"/>
          <w:highlight w:val="none"/>
          <w:lang w:val="en-US" w:eastAsia="zh-CN"/>
        </w:rPr>
      </w:pPr>
      <w:bookmarkStart w:id="13" w:name="_Toc31967"/>
      <w:r>
        <w:rPr>
          <w:rFonts w:hint="default"/>
          <w:color w:val="auto"/>
          <w:highlight w:val="none"/>
          <w:lang w:val="en-US" w:eastAsia="zh-CN"/>
        </w:rPr>
        <w:t>1.4</w:t>
      </w:r>
      <w:r>
        <w:rPr>
          <w:rFonts w:hint="eastAsia"/>
          <w:color w:val="auto"/>
          <w:highlight w:val="none"/>
          <w:lang w:val="en-US" w:eastAsia="zh-CN"/>
        </w:rPr>
        <w:t>下一步拟改进措施</w:t>
      </w:r>
      <w:bookmarkEnd w:id="13"/>
    </w:p>
    <w:p w14:paraId="62968699">
      <w:pPr>
        <w:pStyle w:val="5"/>
        <w:bidi w:val="0"/>
        <w:rPr>
          <w:rFonts w:hint="default"/>
          <w:color w:val="auto"/>
          <w:highlight w:val="none"/>
          <w:lang w:val="en-US" w:eastAsia="zh-CN"/>
        </w:rPr>
      </w:pPr>
      <w:bookmarkStart w:id="14" w:name="_Toc23035"/>
      <w:r>
        <w:rPr>
          <w:rFonts w:hint="default"/>
          <w:color w:val="auto"/>
          <w:highlight w:val="none"/>
          <w:lang w:eastAsia="zh-CN"/>
        </w:rPr>
        <w:t>1</w:t>
      </w:r>
      <w:r>
        <w:rPr>
          <w:rFonts w:hint="default"/>
          <w:color w:val="auto"/>
          <w:highlight w:val="none"/>
          <w:lang w:val="en-US" w:eastAsia="zh-Hans"/>
        </w:rPr>
        <w:t>.</w:t>
      </w:r>
      <w:r>
        <w:rPr>
          <w:rFonts w:hint="default"/>
          <w:color w:val="auto"/>
          <w:highlight w:val="none"/>
          <w:lang w:val="en-US" w:eastAsia="zh-CN"/>
        </w:rPr>
        <w:t>4</w:t>
      </w:r>
      <w:r>
        <w:rPr>
          <w:rFonts w:hint="default"/>
          <w:color w:val="auto"/>
          <w:highlight w:val="none"/>
          <w:lang w:eastAsia="zh-Hans"/>
        </w:rPr>
        <w:t>.</w:t>
      </w:r>
      <w:r>
        <w:rPr>
          <w:rFonts w:hint="default"/>
          <w:color w:val="auto"/>
          <w:highlight w:val="none"/>
          <w:lang w:val="en-US" w:eastAsia="zh-CN"/>
        </w:rPr>
        <w:t>1</w:t>
      </w:r>
      <w:r>
        <w:rPr>
          <w:rFonts w:hint="eastAsia"/>
          <w:color w:val="auto"/>
          <w:highlight w:val="none"/>
          <w:lang w:val="en-US" w:eastAsia="zh-CN"/>
        </w:rPr>
        <w:t>拟整改情况</w:t>
      </w:r>
      <w:bookmarkEnd w:id="14"/>
    </w:p>
    <w:p w14:paraId="61AF5319">
      <w:pPr>
        <w:pStyle w:val="6"/>
        <w:bidi w:val="0"/>
        <w:rPr>
          <w:rFonts w:hint="default"/>
          <w:color w:val="auto"/>
          <w:highlight w:val="none"/>
          <w:lang w:val="en-US" w:eastAsia="zh-CN"/>
        </w:rPr>
      </w:pPr>
      <w:r>
        <w:rPr>
          <w:rFonts w:hint="eastAsia"/>
          <w:color w:val="auto"/>
          <w:highlight w:val="none"/>
          <w:lang w:val="en-US" w:eastAsia="zh-CN"/>
        </w:rPr>
        <w:t>1.4.1.1完善项目决策管理</w:t>
      </w:r>
    </w:p>
    <w:p w14:paraId="4B9F78A0">
      <w:pPr>
        <w:bidi w:val="0"/>
        <w:rPr>
          <w:rFonts w:hint="eastAsia"/>
          <w:lang w:val="en-US" w:eastAsia="zh-CN"/>
        </w:rPr>
      </w:pPr>
      <w:r>
        <w:rPr>
          <w:rFonts w:hint="eastAsia"/>
          <w:lang w:val="en-US" w:eastAsia="zh-CN"/>
        </w:rPr>
        <w:t>建议更加精准设定绩效目标。将年度绩效目标细化为可量化、可考核的三级指标。明确各项指标的考核依据与计算口径。</w:t>
      </w:r>
    </w:p>
    <w:p w14:paraId="4E452B56">
      <w:pPr>
        <w:bidi w:val="0"/>
        <w:rPr>
          <w:rFonts w:hint="default"/>
          <w:color w:val="auto"/>
          <w:highlight w:val="none"/>
          <w:lang w:val="en-US" w:eastAsia="zh-CN"/>
        </w:rPr>
      </w:pPr>
      <w:r>
        <w:rPr>
          <w:rFonts w:hint="eastAsia"/>
          <w:color w:val="auto"/>
          <w:highlight w:val="none"/>
          <w:lang w:val="en-US" w:eastAsia="zh-CN"/>
        </w:rPr>
        <w:t>建议完善预算编制依据。在预算编制前期，充分收集项目相关资料，包括成本分析报告等，细化预算支出测算依据。</w:t>
      </w:r>
    </w:p>
    <w:p w14:paraId="18F13E29">
      <w:pPr>
        <w:pStyle w:val="6"/>
        <w:bidi w:val="0"/>
        <w:rPr>
          <w:rFonts w:hint="default"/>
          <w:color w:val="auto"/>
          <w:highlight w:val="none"/>
          <w:lang w:val="en-US" w:eastAsia="zh-CN"/>
        </w:rPr>
      </w:pPr>
      <w:r>
        <w:rPr>
          <w:rFonts w:hint="eastAsia"/>
          <w:color w:val="auto"/>
          <w:highlight w:val="none"/>
          <w:lang w:val="en-US" w:eastAsia="zh-CN"/>
        </w:rPr>
        <w:t>1.4.1.2完善项目过程管理</w:t>
      </w:r>
    </w:p>
    <w:p w14:paraId="5524DE70">
      <w:pPr>
        <w:bidi w:val="0"/>
        <w:rPr>
          <w:rFonts w:hint="eastAsia"/>
          <w:lang w:val="en-US" w:eastAsia="zh-CN"/>
        </w:rPr>
      </w:pPr>
      <w:r>
        <w:rPr>
          <w:rFonts w:hint="eastAsia"/>
          <w:lang w:val="en-US" w:eastAsia="zh-CN"/>
        </w:rPr>
        <w:t>建议建立预算执行定期跟踪与预警机制，密切关注项目进度与资金使用情况，及时解决过程中发现的问题。</w:t>
      </w:r>
    </w:p>
    <w:p w14:paraId="7DED42A2">
      <w:pPr>
        <w:bidi w:val="0"/>
        <w:rPr>
          <w:rFonts w:hint="default"/>
          <w:lang w:val="en-US" w:eastAsia="zh-CN"/>
        </w:rPr>
      </w:pPr>
      <w:r>
        <w:rPr>
          <w:rFonts w:hint="eastAsia"/>
          <w:lang w:val="en-US" w:eastAsia="zh-CN"/>
        </w:rPr>
        <w:t>建议市财政农业科进一步完善相关制度，并定期开展绩效业务培训。建立健全绩效自评与监控考核机制，将考核结果与后续项目资金分配挂钩。</w:t>
      </w:r>
    </w:p>
    <w:p w14:paraId="1460D08E">
      <w:pPr>
        <w:pStyle w:val="6"/>
        <w:bidi w:val="0"/>
        <w:rPr>
          <w:rFonts w:hint="eastAsia" w:cs="Times New Roman"/>
          <w:b w:val="0"/>
          <w:color w:val="auto"/>
          <w:highlight w:val="none"/>
          <w:lang w:val="en-US" w:eastAsia="zh-CN"/>
        </w:rPr>
      </w:pPr>
      <w:r>
        <w:rPr>
          <w:rFonts w:hint="eastAsia" w:cs="Times New Roman"/>
          <w:b/>
          <w:color w:val="auto"/>
          <w:highlight w:val="none"/>
          <w:lang w:val="en-US" w:eastAsia="zh-CN"/>
        </w:rPr>
        <w:t>1.4.1.3完善产出管理</w:t>
      </w:r>
    </w:p>
    <w:p w14:paraId="70882BC9">
      <w:pPr>
        <w:bidi w:val="0"/>
        <w:rPr>
          <w:rFonts w:hint="eastAsia" w:cs="Times New Roman"/>
          <w:b w:val="0"/>
          <w:color w:val="auto"/>
          <w:highlight w:val="none"/>
          <w:lang w:val="en-US" w:eastAsia="zh-CN"/>
        </w:rPr>
      </w:pPr>
      <w:r>
        <w:rPr>
          <w:rFonts w:hint="eastAsia" w:cs="Times New Roman"/>
          <w:b w:val="0"/>
          <w:color w:val="auto"/>
          <w:highlight w:val="none"/>
          <w:lang w:val="en-US" w:eastAsia="zh-CN"/>
        </w:rPr>
        <w:t>建议建立完善的产出、效益统计体系，明确统计指标与方法，定期收集数据。</w:t>
      </w:r>
    </w:p>
    <w:p w14:paraId="794C8151">
      <w:pPr>
        <w:pStyle w:val="5"/>
        <w:bidi w:val="0"/>
        <w:rPr>
          <w:rFonts w:hint="default"/>
          <w:color w:val="auto"/>
          <w:highlight w:val="none"/>
          <w:lang w:val="en-US" w:eastAsia="zh-CN"/>
        </w:rPr>
      </w:pPr>
      <w:bookmarkStart w:id="15" w:name="_Toc14879"/>
      <w:r>
        <w:rPr>
          <w:rFonts w:hint="default"/>
          <w:color w:val="auto"/>
          <w:highlight w:val="none"/>
          <w:lang w:eastAsia="zh-CN"/>
        </w:rPr>
        <w:t>1</w:t>
      </w:r>
      <w:r>
        <w:rPr>
          <w:rFonts w:hint="default"/>
          <w:color w:val="auto"/>
          <w:highlight w:val="none"/>
          <w:lang w:val="en-US" w:eastAsia="zh-Hans"/>
        </w:rPr>
        <w:t>.</w:t>
      </w:r>
      <w:r>
        <w:rPr>
          <w:rFonts w:hint="default"/>
          <w:color w:val="auto"/>
          <w:highlight w:val="none"/>
          <w:lang w:val="en-US" w:eastAsia="zh-CN"/>
        </w:rPr>
        <w:t>4</w:t>
      </w:r>
      <w:r>
        <w:rPr>
          <w:rFonts w:hint="default"/>
          <w:color w:val="auto"/>
          <w:highlight w:val="none"/>
          <w:lang w:eastAsia="zh-Hans"/>
        </w:rPr>
        <w:t>.</w:t>
      </w:r>
      <w:r>
        <w:rPr>
          <w:rFonts w:hint="eastAsia"/>
          <w:color w:val="auto"/>
          <w:highlight w:val="none"/>
          <w:lang w:val="en-US" w:eastAsia="zh-CN"/>
        </w:rPr>
        <w:t>2拟与预算安排相结合情况</w:t>
      </w:r>
      <w:bookmarkEnd w:id="15"/>
    </w:p>
    <w:p w14:paraId="57F224F6">
      <w:pPr>
        <w:bidi w:val="0"/>
        <w:rPr>
          <w:rFonts w:hint="default"/>
          <w:color w:val="auto"/>
          <w:highlight w:val="none"/>
          <w:lang w:val="en-US" w:eastAsia="zh-CN"/>
        </w:rPr>
      </w:pPr>
      <w:r>
        <w:rPr>
          <w:rFonts w:hint="eastAsia"/>
          <w:color w:val="auto"/>
          <w:highlight w:val="none"/>
          <w:lang w:val="en-US" w:eastAsia="zh-CN"/>
        </w:rPr>
        <w:t>下年度建议结合2024年项目预算执行情况、2025年项目申报表等资料，对无明确测算依据的项目进行清理，推动财政资金高效使用。</w:t>
      </w:r>
    </w:p>
    <w:p w14:paraId="28BD5702">
      <w:pPr>
        <w:bidi w:val="0"/>
        <w:ind w:left="0" w:leftChars="0" w:firstLine="640" w:firstLineChars="200"/>
        <w:rPr>
          <w:rFonts w:hint="eastAsia"/>
          <w:b w:val="0"/>
          <w:bCs w:val="0"/>
          <w:color w:val="auto"/>
          <w:highlight w:val="none"/>
          <w:lang w:val="en-US" w:eastAsia="zh-CN"/>
        </w:rPr>
      </w:pPr>
      <w:bookmarkStart w:id="16" w:name="_Toc7391"/>
      <w:bookmarkStart w:id="17" w:name="_Toc10887"/>
      <w:bookmarkStart w:id="18" w:name="_Toc14158"/>
    </w:p>
    <w:p w14:paraId="29C3BE16">
      <w:pPr>
        <w:bidi w:val="0"/>
        <w:ind w:left="0" w:leftChars="0" w:firstLine="640" w:firstLineChars="200"/>
        <w:rPr>
          <w:rFonts w:hint="eastAsia"/>
          <w:color w:val="auto"/>
          <w:highlight w:val="none"/>
          <w:lang w:val="en-US" w:eastAsia="zh-CN"/>
        </w:rPr>
      </w:pPr>
      <w:r>
        <w:rPr>
          <w:rFonts w:hint="eastAsia"/>
          <w:b w:val="0"/>
          <w:bCs w:val="0"/>
          <w:color w:val="auto"/>
          <w:highlight w:val="none"/>
          <w:lang w:val="en-US" w:eastAsia="zh-CN"/>
        </w:rPr>
        <w:t>附件：</w:t>
      </w:r>
      <w:r>
        <w:rPr>
          <w:rFonts w:hint="eastAsia"/>
          <w:color w:val="auto"/>
          <w:highlight w:val="none"/>
          <w:lang w:val="en-US" w:eastAsia="zh-CN"/>
        </w:rPr>
        <w:t>巩固脱贫攻坚成果与乡村振兴衔接项目绩效评分表</w:t>
      </w:r>
    </w:p>
    <w:p w14:paraId="79A06BD9">
      <w:pPr>
        <w:bidi w:val="0"/>
        <w:ind w:left="0" w:leftChars="0" w:firstLine="640" w:firstLineChars="200"/>
        <w:rPr>
          <w:rFonts w:hint="default"/>
          <w:color w:val="auto"/>
          <w:highlight w:val="none"/>
          <w:lang w:val="en-US" w:eastAsia="zh-CN"/>
        </w:rPr>
      </w:pPr>
    </w:p>
    <w:bookmarkEnd w:id="16"/>
    <w:bookmarkEnd w:id="17"/>
    <w:bookmarkEnd w:id="18"/>
    <w:p w14:paraId="1C647000">
      <w:pPr>
        <w:bidi w:val="0"/>
        <w:rPr>
          <w:rFonts w:hint="default"/>
          <w:color w:val="auto"/>
          <w:highlight w:val="none"/>
        </w:rPr>
      </w:pPr>
    </w:p>
    <w:p w14:paraId="2F8E0F8E">
      <w:pPr>
        <w:bidi w:val="0"/>
        <w:ind w:left="0" w:leftChars="0" w:firstLine="0" w:firstLineChars="0"/>
        <w:rPr>
          <w:rFonts w:hint="eastAsia" w:eastAsia="仿宋"/>
          <w:color w:val="auto"/>
          <w:highlight w:val="none"/>
          <w:lang w:val="en-US" w:eastAsia="zh-CN"/>
        </w:rPr>
      </w:pPr>
      <w:r>
        <w:rPr>
          <w:rFonts w:hint="eastAsia"/>
          <w:color w:val="auto"/>
          <w:highlight w:val="none"/>
          <w:lang w:eastAsia="zh-CN"/>
        </w:rPr>
        <w:t>武汉中昌达会计师事务所（普通合伙）</w:t>
      </w:r>
      <w:r>
        <w:rPr>
          <w:rFonts w:hint="eastAsia"/>
          <w:color w:val="auto"/>
          <w:highlight w:val="none"/>
          <w:lang w:val="en-US" w:eastAsia="zh-CN"/>
        </w:rPr>
        <w:t xml:space="preserve"> </w:t>
      </w:r>
      <w:r>
        <w:rPr>
          <w:rFonts w:hint="default"/>
          <w:color w:val="auto"/>
          <w:highlight w:val="none"/>
        </w:rPr>
        <w:t xml:space="preserve"> </w:t>
      </w:r>
      <w:r>
        <w:rPr>
          <w:rFonts w:hint="default"/>
          <w:color w:val="auto"/>
          <w:highlight w:val="none"/>
          <w:lang w:val="en-US" w:eastAsia="zh-CN"/>
        </w:rPr>
        <w:t>主评人1</w:t>
      </w:r>
      <w:r>
        <w:rPr>
          <w:rFonts w:hint="default"/>
          <w:color w:val="auto"/>
          <w:highlight w:val="none"/>
        </w:rPr>
        <w:t>：</w:t>
      </w:r>
      <w:r>
        <w:rPr>
          <w:rFonts w:hint="eastAsia"/>
          <w:color w:val="auto"/>
          <w:highlight w:val="none"/>
          <w:lang w:eastAsia="zh-CN"/>
        </w:rPr>
        <w:t>王梦娇</w:t>
      </w:r>
    </w:p>
    <w:p w14:paraId="2B45B8C0">
      <w:pPr>
        <w:bidi w:val="0"/>
        <w:rPr>
          <w:rFonts w:hint="eastAsia" w:eastAsia="仿宋"/>
          <w:color w:val="auto"/>
          <w:highlight w:val="none"/>
          <w:lang w:val="en-US" w:eastAsia="zh-CN"/>
        </w:rPr>
      </w:pPr>
      <w:r>
        <w:rPr>
          <w:rFonts w:hint="default"/>
          <w:color w:val="auto"/>
          <w:highlight w:val="none"/>
        </w:rPr>
        <w:t xml:space="preserve">       中国 武汉          </w:t>
      </w:r>
      <w:r>
        <w:rPr>
          <w:rFonts w:hint="eastAsia"/>
          <w:color w:val="auto"/>
          <w:highlight w:val="none"/>
          <w:lang w:val="en-US" w:eastAsia="zh-CN"/>
        </w:rPr>
        <w:t xml:space="preserve">   </w:t>
      </w:r>
      <w:r>
        <w:rPr>
          <w:rFonts w:hint="default"/>
          <w:color w:val="auto"/>
          <w:highlight w:val="none"/>
        </w:rPr>
        <w:t xml:space="preserve">   </w:t>
      </w:r>
      <w:r>
        <w:rPr>
          <w:rFonts w:hint="default"/>
          <w:color w:val="auto"/>
          <w:highlight w:val="none"/>
          <w:lang w:val="en-US" w:eastAsia="zh-CN"/>
        </w:rPr>
        <w:t>主评人2</w:t>
      </w:r>
      <w:r>
        <w:rPr>
          <w:rFonts w:hint="default"/>
          <w:color w:val="auto"/>
          <w:highlight w:val="none"/>
        </w:rPr>
        <w:t>：</w:t>
      </w:r>
      <w:r>
        <w:rPr>
          <w:rFonts w:hint="eastAsia"/>
          <w:color w:val="auto"/>
          <w:highlight w:val="none"/>
          <w:lang w:eastAsia="zh-CN"/>
        </w:rPr>
        <w:t>田</w:t>
      </w:r>
      <w:r>
        <w:rPr>
          <w:rFonts w:hint="eastAsia"/>
          <w:color w:val="auto"/>
          <w:highlight w:val="none"/>
          <w:lang w:val="en-US" w:eastAsia="zh-CN"/>
        </w:rPr>
        <w:t xml:space="preserve">  </w:t>
      </w:r>
      <w:r>
        <w:rPr>
          <w:rFonts w:hint="eastAsia"/>
          <w:color w:val="auto"/>
          <w:highlight w:val="none"/>
          <w:lang w:eastAsia="zh-CN"/>
        </w:rPr>
        <w:t>鸣</w:t>
      </w:r>
    </w:p>
    <w:p w14:paraId="744C57CA">
      <w:pPr>
        <w:bidi w:val="0"/>
        <w:rPr>
          <w:rFonts w:hint="default"/>
          <w:color w:val="auto"/>
          <w:highlight w:val="none"/>
        </w:rPr>
      </w:pP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rPr>
        <w:t>202</w:t>
      </w:r>
      <w:r>
        <w:rPr>
          <w:rFonts w:hint="eastAsia"/>
          <w:color w:val="auto"/>
          <w:highlight w:val="none"/>
          <w:lang w:val="en-US" w:eastAsia="zh-CN"/>
        </w:rPr>
        <w:t>5</w:t>
      </w:r>
      <w:r>
        <w:rPr>
          <w:rFonts w:hint="default"/>
          <w:color w:val="auto"/>
          <w:highlight w:val="none"/>
        </w:rPr>
        <w:t>年</w:t>
      </w:r>
      <w:r>
        <w:rPr>
          <w:rFonts w:hint="eastAsia"/>
          <w:color w:val="auto"/>
          <w:highlight w:val="none"/>
          <w:lang w:val="en-US" w:eastAsia="zh-CN"/>
        </w:rPr>
        <w:t>8月30日</w:t>
      </w:r>
    </w:p>
    <w:p w14:paraId="63D682CB">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eastAsia="仿宋_GB2312" w:cs="Times New Roman"/>
          <w:b/>
          <w:bCs/>
          <w:kern w:val="0"/>
          <w:sz w:val="32"/>
          <w:szCs w:val="32"/>
          <w:lang w:val="en-US" w:eastAsia="zh-CN" w:bidi="en-US"/>
        </w:rPr>
      </w:pPr>
    </w:p>
    <w:p w14:paraId="6F5DB456">
      <w:pPr>
        <w:pStyle w:val="5"/>
        <w:rPr>
          <w:rFonts w:hint="eastAsia" w:eastAsia="方正小标宋_GBK" w:cs="Times New Roman"/>
          <w:b/>
          <w:bCs/>
          <w:color w:val="auto"/>
          <w:sz w:val="36"/>
          <w:szCs w:val="36"/>
          <w:highlight w:val="none"/>
          <w:lang w:val="en-US" w:eastAsia="zh-CN"/>
        </w:rPr>
      </w:pPr>
    </w:p>
    <w:p w14:paraId="4B9E6D2D">
      <w:pPr>
        <w:rPr>
          <w:rFonts w:hint="eastAsia"/>
          <w:lang w:val="en-US" w:eastAsia="zh-CN"/>
        </w:rPr>
      </w:pPr>
      <w:r>
        <w:rPr>
          <w:rFonts w:hint="eastAsia"/>
          <w:lang w:val="en-US" w:eastAsia="zh-CN"/>
        </w:rPr>
        <w:br w:type="page"/>
      </w:r>
    </w:p>
    <w:p w14:paraId="2768B291">
      <w:pPr>
        <w:spacing w:line="560" w:lineRule="exact"/>
        <w:ind w:left="0" w:leftChars="0" w:firstLine="0" w:firstLineChars="0"/>
        <w:jc w:val="center"/>
        <w:rPr>
          <w:rFonts w:hint="eastAsia" w:ascii="仿宋" w:hAnsi="仿宋" w:cs="仿宋"/>
          <w:b/>
          <w:bCs/>
          <w:sz w:val="44"/>
          <w:szCs w:val="44"/>
          <w:lang w:val="en-US" w:eastAsia="zh-CN"/>
        </w:rPr>
      </w:pPr>
      <w:r>
        <w:rPr>
          <w:rFonts w:hint="eastAsia" w:ascii="仿宋" w:hAnsi="仿宋" w:cs="仿宋"/>
          <w:b/>
          <w:bCs/>
          <w:sz w:val="44"/>
          <w:szCs w:val="44"/>
          <w:lang w:val="en-US" w:eastAsia="zh-CN"/>
        </w:rPr>
        <w:t>2024年度随州市职工基本医疗保险（含生育保险）基金项目</w:t>
      </w:r>
      <w:r>
        <w:rPr>
          <w:rFonts w:hint="default" w:ascii="仿宋" w:hAnsi="仿宋" w:cs="仿宋"/>
          <w:b/>
          <w:bCs/>
          <w:sz w:val="44"/>
          <w:szCs w:val="44"/>
          <w:lang w:val="en-US" w:eastAsia="zh-Hans"/>
        </w:rPr>
        <w:t>绩效评价</w:t>
      </w:r>
      <w:r>
        <w:rPr>
          <w:rFonts w:hint="eastAsia" w:ascii="仿宋" w:hAnsi="仿宋" w:cs="仿宋"/>
          <w:b/>
          <w:bCs/>
          <w:sz w:val="44"/>
          <w:szCs w:val="44"/>
          <w:lang w:val="en-US" w:eastAsia="zh-CN"/>
        </w:rPr>
        <w:t>结果</w:t>
      </w:r>
    </w:p>
    <w:p w14:paraId="0C2D328F">
      <w:pPr>
        <w:spacing w:line="560" w:lineRule="exact"/>
        <w:ind w:left="0" w:leftChars="0" w:firstLine="0" w:firstLineChars="0"/>
        <w:jc w:val="center"/>
        <w:rPr>
          <w:rFonts w:hint="eastAsia" w:ascii="仿宋" w:hAnsi="仿宋" w:cs="仿宋"/>
          <w:b/>
          <w:bCs/>
          <w:sz w:val="44"/>
          <w:szCs w:val="44"/>
          <w:lang w:val="en-US" w:eastAsia="zh-CN"/>
        </w:rPr>
      </w:pPr>
    </w:p>
    <w:p w14:paraId="704D1693">
      <w:pPr>
        <w:pStyle w:val="4"/>
        <w:bidi w:val="0"/>
        <w:rPr>
          <w:rFonts w:hint="eastAsia"/>
          <w:lang w:eastAsia="zh-CN"/>
        </w:rPr>
      </w:pPr>
      <w:bookmarkStart w:id="19" w:name="_Toc16472"/>
      <w:bookmarkStart w:id="20" w:name="_Toc12902"/>
      <w:bookmarkStart w:id="21" w:name="_Toc23032"/>
      <w:bookmarkStart w:id="22" w:name="_Toc24354"/>
      <w:r>
        <w:rPr>
          <w:rFonts w:hint="eastAsia"/>
          <w:lang w:val="en-US" w:eastAsia="zh-CN"/>
        </w:rPr>
        <w:t>1.1绩效</w:t>
      </w:r>
      <w:r>
        <w:rPr>
          <w:rFonts w:hint="eastAsia"/>
          <w:lang w:eastAsia="zh-CN"/>
        </w:rPr>
        <w:t>评价分数和等级</w:t>
      </w:r>
      <w:bookmarkEnd w:id="19"/>
      <w:bookmarkEnd w:id="20"/>
      <w:bookmarkEnd w:id="21"/>
      <w:bookmarkEnd w:id="22"/>
    </w:p>
    <w:p w14:paraId="171DF0E4">
      <w:pPr>
        <w:bidi w:val="0"/>
        <w:rPr>
          <w:rFonts w:hint="default"/>
        </w:rPr>
      </w:pPr>
      <w:r>
        <w:rPr>
          <w:rFonts w:hint="eastAsia"/>
          <w:lang w:val="en-US" w:eastAsia="zh-CN"/>
        </w:rPr>
        <w:t>随州市财政局</w:t>
      </w:r>
      <w:r>
        <w:rPr>
          <w:rFonts w:hint="default"/>
          <w:lang w:eastAsia="zh-CN"/>
        </w:rPr>
        <w:t>（</w:t>
      </w:r>
      <w:r>
        <w:rPr>
          <w:rFonts w:hint="default"/>
          <w:lang w:val="en-US" w:eastAsia="zh-CN"/>
        </w:rPr>
        <w:t>以下简称“</w:t>
      </w:r>
      <w:r>
        <w:rPr>
          <w:rFonts w:hint="eastAsia"/>
          <w:lang w:val="en-US" w:eastAsia="zh-CN"/>
        </w:rPr>
        <w:t>市财政局</w:t>
      </w:r>
      <w:r>
        <w:rPr>
          <w:rFonts w:hint="default"/>
          <w:lang w:val="en-US" w:eastAsia="zh-CN"/>
        </w:rPr>
        <w:t>”</w:t>
      </w:r>
      <w:r>
        <w:rPr>
          <w:rFonts w:hint="default"/>
          <w:lang w:eastAsia="zh-CN"/>
        </w:rPr>
        <w:t>）</w:t>
      </w:r>
      <w:r>
        <w:rPr>
          <w:rFonts w:hint="eastAsia"/>
          <w:lang w:eastAsia="zh-CN"/>
        </w:rPr>
        <w:t>职工基本医疗保险（含生育保险）基金项目</w:t>
      </w:r>
      <w:r>
        <w:rPr>
          <w:rFonts w:hint="default"/>
        </w:rPr>
        <w:t>绩效评价综合评分</w:t>
      </w:r>
      <w:r>
        <w:rPr>
          <w:rFonts w:hint="eastAsia"/>
          <w:lang w:val="en-US" w:eastAsia="zh-CN"/>
        </w:rPr>
        <w:t>89.87</w:t>
      </w:r>
      <w:r>
        <w:rPr>
          <w:rFonts w:hint="default"/>
        </w:rPr>
        <w:t>分，评价等级为“</w:t>
      </w:r>
      <w:r>
        <w:rPr>
          <w:rFonts w:hint="eastAsia"/>
          <w:lang w:val="en-US" w:eastAsia="zh-CN"/>
        </w:rPr>
        <w:t>良</w:t>
      </w:r>
      <w:r>
        <w:rPr>
          <w:rFonts w:hint="default"/>
        </w:rPr>
        <w:t>”。</w:t>
      </w:r>
    </w:p>
    <w:p w14:paraId="41B67369">
      <w:pPr>
        <w:bidi w:val="0"/>
        <w:ind w:left="0" w:leftChars="0" w:firstLine="0" w:firstLineChars="0"/>
        <w:jc w:val="center"/>
        <w:rPr>
          <w:rFonts w:hint="eastAsia"/>
          <w:b/>
          <w:bCs/>
          <w:color w:val="auto"/>
          <w:highlight w:val="none"/>
          <w:lang w:val="en-US" w:eastAsia="zh-CN"/>
        </w:rPr>
      </w:pPr>
      <w:r>
        <w:rPr>
          <w:rFonts w:hint="eastAsia"/>
          <w:b/>
          <w:bCs/>
          <w:color w:val="auto"/>
          <w:highlight w:val="none"/>
          <w:lang w:val="en-US" w:eastAsia="zh-CN"/>
        </w:rPr>
        <w:t>表1：绩效评价得分表</w:t>
      </w:r>
    </w:p>
    <w:tbl>
      <w:tblPr>
        <w:tblStyle w:val="16"/>
        <w:tblpPr w:leftFromText="180" w:rightFromText="180" w:vertAnchor="text" w:tblpXSpec="center" w:tblpY="1"/>
        <w:tblOverlap w:val="never"/>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91"/>
        <w:gridCol w:w="3440"/>
        <w:gridCol w:w="2715"/>
      </w:tblGrid>
      <w:tr w14:paraId="4D648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shd w:val="pct90" w:color="FFFFFF" w:fill="auto"/>
            <w:noWrap/>
            <w:vAlign w:val="center"/>
          </w:tcPr>
          <w:p w14:paraId="0085DE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一级指标</w:t>
            </w:r>
          </w:p>
        </w:tc>
        <w:tc>
          <w:tcPr>
            <w:tcW w:w="1922" w:type="pct"/>
            <w:tcBorders>
              <w:top w:val="single" w:color="000000" w:sz="4" w:space="0"/>
              <w:left w:val="single" w:color="000000" w:sz="4" w:space="0"/>
              <w:bottom w:val="single" w:color="000000" w:sz="4" w:space="0"/>
              <w:right w:val="single" w:color="000000" w:sz="4" w:space="0"/>
            </w:tcBorders>
            <w:shd w:val="pct90" w:color="FFFFFF" w:fill="auto"/>
            <w:noWrap w:val="0"/>
            <w:vAlign w:val="center"/>
          </w:tcPr>
          <w:p w14:paraId="129296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指标权重</w:t>
            </w:r>
          </w:p>
        </w:tc>
        <w:tc>
          <w:tcPr>
            <w:tcW w:w="1517" w:type="pct"/>
            <w:tcBorders>
              <w:top w:val="single" w:color="000000" w:sz="4" w:space="0"/>
              <w:left w:val="single" w:color="000000" w:sz="4" w:space="0"/>
              <w:bottom w:val="single" w:color="000000" w:sz="4" w:space="0"/>
              <w:right w:val="single" w:color="000000" w:sz="4" w:space="0"/>
            </w:tcBorders>
            <w:shd w:val="pct90" w:color="FFFFFF" w:fill="auto"/>
            <w:noWrap w:val="0"/>
            <w:vAlign w:val="center"/>
          </w:tcPr>
          <w:p w14:paraId="22A1AC4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评价得分</w:t>
            </w:r>
          </w:p>
        </w:tc>
      </w:tr>
      <w:tr w14:paraId="58915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3F5DE45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决策</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457781E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18</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01A9046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15.5</w:t>
            </w:r>
          </w:p>
        </w:tc>
      </w:tr>
      <w:tr w14:paraId="6C53C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01C59C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过程</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65F58E9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22</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17200C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19.</w:t>
            </w:r>
            <w:r>
              <w:rPr>
                <w:rFonts w:hint="eastAsia" w:eastAsia="宋体" w:cs="Times New Roman"/>
                <w:b w:val="0"/>
                <w:i w:val="0"/>
                <w:iCs w:val="0"/>
                <w:color w:val="000000"/>
                <w:kern w:val="0"/>
                <w:sz w:val="21"/>
                <w:szCs w:val="21"/>
                <w:highlight w:val="none"/>
                <w:u w:val="none"/>
                <w:lang w:val="en-US" w:eastAsia="zh-CN" w:bidi="ar"/>
              </w:rPr>
              <w:t>0</w:t>
            </w:r>
            <w:r>
              <w:rPr>
                <w:rFonts w:hint="default" w:ascii="Times New Roman" w:hAnsi="Times New Roman" w:eastAsia="宋体" w:cs="Times New Roman"/>
                <w:b w:val="0"/>
                <w:i w:val="0"/>
                <w:iCs w:val="0"/>
                <w:color w:val="000000"/>
                <w:kern w:val="0"/>
                <w:sz w:val="21"/>
                <w:szCs w:val="21"/>
                <w:highlight w:val="none"/>
                <w:u w:val="none"/>
                <w:lang w:val="en-US" w:eastAsia="zh-CN" w:bidi="ar"/>
              </w:rPr>
              <w:t>9</w:t>
            </w:r>
          </w:p>
        </w:tc>
      </w:tr>
      <w:tr w14:paraId="48AE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053B06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产出</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41E460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40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06C223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39.28</w:t>
            </w:r>
          </w:p>
        </w:tc>
      </w:tr>
      <w:tr w14:paraId="5C9EF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5AD723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b w:val="0"/>
                <w:i w:val="0"/>
                <w:iCs w:val="0"/>
                <w:color w:val="auto"/>
                <w:kern w:val="0"/>
                <w:sz w:val="21"/>
                <w:szCs w:val="21"/>
                <w:highlight w:val="none"/>
                <w:u w:val="none"/>
                <w:lang w:val="en-US" w:eastAsia="zh-CN" w:bidi="ar"/>
              </w:rPr>
              <w:t>效果</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713CC9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b w:val="0"/>
                <w:i w:val="0"/>
                <w:iCs w:val="0"/>
                <w:color w:val="auto"/>
                <w:kern w:val="0"/>
                <w:sz w:val="21"/>
                <w:szCs w:val="21"/>
                <w:highlight w:val="none"/>
                <w:u w:val="none"/>
                <w:lang w:val="en-US" w:eastAsia="zh-CN" w:bidi="ar"/>
              </w:rPr>
              <w:t>20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6A6AD4F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firstLine="0" w:firstLineChars="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eastAsia="宋体" w:cs="Times New Roman"/>
                <w:b w:val="0"/>
                <w:i w:val="0"/>
                <w:iCs w:val="0"/>
                <w:color w:val="000000"/>
                <w:kern w:val="0"/>
                <w:sz w:val="21"/>
                <w:szCs w:val="21"/>
                <w:highlight w:val="none"/>
                <w:u w:val="none"/>
                <w:lang w:val="en-US" w:eastAsia="zh-CN" w:bidi="ar"/>
              </w:rPr>
              <w:t>16</w:t>
            </w:r>
          </w:p>
        </w:tc>
      </w:tr>
      <w:tr w14:paraId="137A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59" w:type="pct"/>
            <w:tcBorders>
              <w:top w:val="single" w:color="000000" w:sz="4" w:space="0"/>
              <w:left w:val="single" w:color="000000" w:sz="4" w:space="0"/>
              <w:bottom w:val="single" w:color="000000" w:sz="4" w:space="0"/>
              <w:right w:val="single" w:color="000000" w:sz="4" w:space="0"/>
            </w:tcBorders>
            <w:noWrap w:val="0"/>
            <w:vAlign w:val="center"/>
          </w:tcPr>
          <w:p w14:paraId="116030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总体总分</w:t>
            </w:r>
          </w:p>
        </w:tc>
        <w:tc>
          <w:tcPr>
            <w:tcW w:w="1922" w:type="pct"/>
            <w:tcBorders>
              <w:top w:val="single" w:color="000000" w:sz="4" w:space="0"/>
              <w:left w:val="single" w:color="000000" w:sz="4" w:space="0"/>
              <w:bottom w:val="single" w:color="000000" w:sz="4" w:space="0"/>
              <w:right w:val="single" w:color="000000" w:sz="4" w:space="0"/>
            </w:tcBorders>
            <w:noWrap w:val="0"/>
            <w:vAlign w:val="center"/>
          </w:tcPr>
          <w:p w14:paraId="4040F7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100</w:t>
            </w:r>
          </w:p>
        </w:tc>
        <w:tc>
          <w:tcPr>
            <w:tcW w:w="1517" w:type="pct"/>
            <w:tcBorders>
              <w:top w:val="single" w:color="000000" w:sz="4" w:space="0"/>
              <w:left w:val="single" w:color="000000" w:sz="4" w:space="0"/>
              <w:bottom w:val="single" w:color="000000" w:sz="4" w:space="0"/>
              <w:right w:val="single" w:color="000000" w:sz="4" w:space="0"/>
            </w:tcBorders>
            <w:noWrap w:val="0"/>
            <w:vAlign w:val="center"/>
          </w:tcPr>
          <w:p w14:paraId="058914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lang w:val="en-US"/>
              </w:rPr>
            </w:pPr>
            <w:r>
              <w:rPr>
                <w:rFonts w:hint="eastAsia" w:eastAsia="宋体" w:cs="Times New Roman"/>
                <w:b/>
                <w:bCs/>
                <w:i w:val="0"/>
                <w:iCs w:val="0"/>
                <w:color w:val="auto"/>
                <w:kern w:val="0"/>
                <w:sz w:val="21"/>
                <w:szCs w:val="21"/>
                <w:highlight w:val="none"/>
                <w:u w:val="none"/>
                <w:lang w:val="en-US" w:eastAsia="zh-CN" w:bidi="ar"/>
              </w:rPr>
              <w:t>89.8</w:t>
            </w:r>
            <w:r>
              <w:rPr>
                <w:rFonts w:hint="default" w:ascii="Times New Roman" w:hAnsi="Times New Roman" w:eastAsia="宋体" w:cs="Times New Roman"/>
                <w:b/>
                <w:bCs/>
                <w:i w:val="0"/>
                <w:iCs w:val="0"/>
                <w:color w:val="auto"/>
                <w:kern w:val="0"/>
                <w:sz w:val="21"/>
                <w:szCs w:val="21"/>
                <w:highlight w:val="none"/>
                <w:u w:val="none"/>
                <w:lang w:val="en-US" w:eastAsia="zh-CN" w:bidi="ar"/>
              </w:rPr>
              <w:t>7</w:t>
            </w:r>
          </w:p>
        </w:tc>
      </w:tr>
    </w:tbl>
    <w:p w14:paraId="7194FC2B">
      <w:pPr>
        <w:pStyle w:val="4"/>
        <w:bidi w:val="0"/>
        <w:rPr>
          <w:rFonts w:hint="default" w:cs="Times New Roman"/>
          <w:b/>
          <w:lang w:val="en-US" w:eastAsia="zh-CN"/>
        </w:rPr>
      </w:pPr>
      <w:bookmarkStart w:id="23" w:name="_Toc29769"/>
      <w:bookmarkStart w:id="24" w:name="_Toc26689"/>
      <w:bookmarkStart w:id="25" w:name="_Toc2830"/>
      <w:bookmarkStart w:id="26" w:name="_Toc191403879"/>
      <w:bookmarkStart w:id="27" w:name="_Toc25228"/>
      <w:bookmarkStart w:id="28" w:name="_Toc77278772"/>
      <w:r>
        <w:rPr>
          <w:rFonts w:hint="default" w:cs="Times New Roman"/>
          <w:b/>
          <w:lang w:val="en-US" w:eastAsia="zh-CN"/>
        </w:rPr>
        <w:t>1.2</w:t>
      </w:r>
      <w:bookmarkEnd w:id="23"/>
      <w:r>
        <w:rPr>
          <w:rFonts w:hint="default" w:cs="Times New Roman"/>
          <w:b/>
          <w:lang w:val="en-US" w:eastAsia="zh-CN"/>
        </w:rPr>
        <w:t>绩效</w:t>
      </w:r>
      <w:bookmarkEnd w:id="24"/>
      <w:bookmarkEnd w:id="25"/>
      <w:r>
        <w:rPr>
          <w:rFonts w:hint="eastAsia" w:cs="Times New Roman"/>
          <w:b/>
          <w:lang w:val="en-US" w:eastAsia="zh-CN"/>
        </w:rPr>
        <w:t>评价指标情况</w:t>
      </w:r>
      <w:bookmarkEnd w:id="26"/>
      <w:bookmarkEnd w:id="27"/>
    </w:p>
    <w:p w14:paraId="1ACF9F9D">
      <w:pPr>
        <w:pStyle w:val="5"/>
        <w:bidi w:val="0"/>
        <w:rPr>
          <w:rFonts w:hint="default" w:cs="Times New Roman"/>
          <w:color w:val="auto"/>
          <w:highlight w:val="none"/>
          <w:lang w:val="en-US" w:eastAsia="zh-Hans"/>
        </w:rPr>
      </w:pPr>
      <w:bookmarkStart w:id="29" w:name="_Toc25144"/>
      <w:bookmarkStart w:id="30" w:name="_Toc2141974794"/>
      <w:bookmarkStart w:id="31" w:name="_Toc4155"/>
      <w:r>
        <w:rPr>
          <w:rFonts w:hint="default" w:cs="Times New Roman"/>
          <w:color w:val="auto"/>
          <w:highlight w:val="none"/>
          <w:lang w:val="en-US" w:eastAsia="zh-CN"/>
        </w:rPr>
        <w:t>1.2.1</w:t>
      </w:r>
      <w:r>
        <w:rPr>
          <w:rFonts w:hint="default" w:cs="Times New Roman"/>
          <w:color w:val="auto"/>
          <w:highlight w:val="none"/>
          <w:lang w:val="en-US" w:eastAsia="zh-Hans"/>
        </w:rPr>
        <w:t>决策</w:t>
      </w:r>
      <w:bookmarkEnd w:id="29"/>
      <w:bookmarkEnd w:id="30"/>
      <w:bookmarkEnd w:id="31"/>
    </w:p>
    <w:p w14:paraId="25FA2C52">
      <w:pPr>
        <w:bidi w:val="0"/>
        <w:rPr>
          <w:rFonts w:hint="default" w:eastAsia="仿宋" w:cs="Times New Roman"/>
          <w:b w:val="0"/>
          <w:color w:val="auto"/>
          <w:highlight w:val="none"/>
          <w:lang w:val="en-US" w:eastAsia="zh-CN"/>
        </w:rPr>
      </w:pPr>
      <w:r>
        <w:rPr>
          <w:rFonts w:hint="eastAsia" w:cs="Times New Roman"/>
          <w:b/>
          <w:bCs/>
          <w:color w:val="auto"/>
          <w:highlight w:val="none"/>
          <w:lang w:val="en-US" w:eastAsia="zh-CN"/>
        </w:rPr>
        <w:t>项目立项（6分，得5.5分，扣0.5分）：</w:t>
      </w:r>
      <w:r>
        <w:rPr>
          <w:rFonts w:hint="eastAsia" w:cs="Times New Roman"/>
          <w:b w:val="0"/>
          <w:color w:val="auto"/>
          <w:highlight w:val="none"/>
          <w:lang w:val="en-US" w:eastAsia="zh-CN"/>
        </w:rPr>
        <w:t>符合法规政策、发展规划及部门职责，但相关部门未公开项目预算绩效相关内容；立项程序规范。</w:t>
      </w:r>
    </w:p>
    <w:p w14:paraId="26C6A3CE">
      <w:pPr>
        <w:bidi w:val="0"/>
        <w:rPr>
          <w:rFonts w:hint="default" w:cs="Times New Roman"/>
          <w:b w:val="0"/>
          <w:color w:val="auto"/>
          <w:highlight w:val="none"/>
          <w:lang w:eastAsia="zh-Hans"/>
        </w:rPr>
      </w:pPr>
      <w:r>
        <w:rPr>
          <w:rFonts w:hint="eastAsia" w:cs="Times New Roman"/>
          <w:b/>
          <w:bCs/>
          <w:color w:val="auto"/>
          <w:highlight w:val="none"/>
          <w:lang w:val="en-US" w:eastAsia="zh-CN"/>
        </w:rPr>
        <w:t>绩效目标（6分，得4分，扣2分）：</w:t>
      </w:r>
      <w:r>
        <w:rPr>
          <w:rFonts w:hint="eastAsia" w:cs="Times New Roman"/>
          <w:b w:val="0"/>
          <w:color w:val="auto"/>
          <w:highlight w:val="none"/>
          <w:lang w:val="en-US" w:eastAsia="zh-CN"/>
        </w:rPr>
        <w:t>项目仅见年度绩效目标，未见长期绩效目标，绩效目标体系不完整</w:t>
      </w:r>
      <w:r>
        <w:rPr>
          <w:rFonts w:hint="default" w:cs="Times New Roman"/>
          <w:b w:val="0"/>
          <w:color w:val="auto"/>
          <w:highlight w:val="none"/>
          <w:lang w:eastAsia="zh-Hans"/>
        </w:rPr>
        <w:t>；</w:t>
      </w:r>
      <w:r>
        <w:rPr>
          <w:rFonts w:hint="eastAsia" w:cs="Times New Roman"/>
          <w:b w:val="0"/>
          <w:color w:val="auto"/>
          <w:highlight w:val="none"/>
          <w:lang w:eastAsia="zh-CN"/>
        </w:rPr>
        <w:t>少量地区分解的三级指标与市医保局存在差异</w:t>
      </w:r>
      <w:r>
        <w:rPr>
          <w:rFonts w:hint="default" w:cs="Times New Roman"/>
          <w:b w:val="0"/>
          <w:color w:val="auto"/>
          <w:highlight w:val="none"/>
          <w:lang w:eastAsia="zh-Hans"/>
        </w:rPr>
        <w:t>。</w:t>
      </w:r>
    </w:p>
    <w:p w14:paraId="3BDBED6F">
      <w:pPr>
        <w:bidi w:val="0"/>
        <w:rPr>
          <w:rFonts w:hint="eastAsia" w:cs="Times New Roman"/>
          <w:b w:val="0"/>
          <w:color w:val="auto"/>
          <w:highlight w:val="none"/>
          <w:lang w:val="en-US" w:eastAsia="zh-CN"/>
        </w:rPr>
      </w:pPr>
      <w:r>
        <w:rPr>
          <w:rFonts w:hint="default" w:cs="Times New Roman"/>
          <w:b/>
          <w:bCs/>
          <w:color w:val="auto"/>
          <w:highlight w:val="none"/>
          <w:lang w:eastAsia="zh-Hans"/>
        </w:rPr>
        <w:t>资金投入（6分，得6分）：</w:t>
      </w:r>
      <w:r>
        <w:rPr>
          <w:rFonts w:hint="default" w:cs="Times New Roman"/>
          <w:b w:val="0"/>
          <w:color w:val="auto"/>
          <w:highlight w:val="none"/>
          <w:lang w:eastAsia="zh-Hans"/>
        </w:rPr>
        <w:t>项目预算编制经科学论证</w:t>
      </w:r>
      <w:r>
        <w:rPr>
          <w:rFonts w:hint="eastAsia" w:cs="Times New Roman"/>
          <w:b w:val="0"/>
          <w:color w:val="auto"/>
          <w:highlight w:val="none"/>
          <w:lang w:eastAsia="zh-CN"/>
        </w:rPr>
        <w:t>，</w:t>
      </w:r>
      <w:r>
        <w:rPr>
          <w:rFonts w:hint="default" w:cs="Times New Roman"/>
          <w:b w:val="0"/>
          <w:color w:val="auto"/>
          <w:highlight w:val="none"/>
          <w:lang w:eastAsia="zh-Hans"/>
        </w:rPr>
        <w:t>与项目匹配；资金分配</w:t>
      </w:r>
      <w:r>
        <w:rPr>
          <w:rFonts w:hint="eastAsia" w:cs="Times New Roman"/>
          <w:b w:val="0"/>
          <w:color w:val="auto"/>
          <w:highlight w:val="none"/>
          <w:lang w:val="en-US" w:eastAsia="zh-CN"/>
        </w:rPr>
        <w:t>依据充分，</w:t>
      </w:r>
      <w:r>
        <w:rPr>
          <w:rFonts w:hint="default" w:cs="Times New Roman"/>
          <w:b w:val="0"/>
          <w:color w:val="auto"/>
          <w:highlight w:val="none"/>
          <w:lang w:eastAsia="zh-Hans"/>
        </w:rPr>
        <w:t>适配地方实际。</w:t>
      </w:r>
    </w:p>
    <w:p w14:paraId="31EE2EDF">
      <w:pPr>
        <w:pStyle w:val="5"/>
        <w:bidi w:val="0"/>
        <w:rPr>
          <w:rFonts w:hint="default" w:cs="Times New Roman"/>
          <w:color w:val="auto"/>
          <w:highlight w:val="none"/>
          <w:lang w:val="en-US" w:eastAsia="zh-CN"/>
        </w:rPr>
      </w:pPr>
      <w:bookmarkStart w:id="32" w:name="_Toc13904"/>
      <w:bookmarkStart w:id="33" w:name="_Toc9949"/>
      <w:bookmarkStart w:id="34" w:name="_Toc1901988097"/>
      <w:r>
        <w:rPr>
          <w:rFonts w:hint="default" w:cs="Times New Roman"/>
          <w:color w:val="auto"/>
          <w:highlight w:val="none"/>
          <w:lang w:val="en-US" w:eastAsia="zh-CN"/>
        </w:rPr>
        <w:t>1.2.2过程</w:t>
      </w:r>
      <w:bookmarkEnd w:id="32"/>
      <w:bookmarkEnd w:id="33"/>
      <w:bookmarkEnd w:id="34"/>
    </w:p>
    <w:p w14:paraId="058BC543">
      <w:pPr>
        <w:bidi w:val="0"/>
        <w:rPr>
          <w:rFonts w:hint="default" w:eastAsia="仿宋" w:cs="Times New Roman"/>
          <w:b w:val="0"/>
          <w:color w:val="auto"/>
          <w:highlight w:val="none"/>
          <w:lang w:val="en-US" w:eastAsia="zh-CN"/>
        </w:rPr>
      </w:pPr>
      <w:r>
        <w:rPr>
          <w:rFonts w:hint="eastAsia" w:cs="Times New Roman"/>
          <w:b/>
          <w:bCs/>
          <w:color w:val="auto"/>
          <w:highlight w:val="none"/>
          <w:lang w:val="en-US" w:eastAsia="zh-CN"/>
        </w:rPr>
        <w:t>资金管理（13分，得12.59分，扣0.41分）：</w:t>
      </w:r>
      <w:r>
        <w:rPr>
          <w:rFonts w:hint="eastAsia" w:cs="Times New Roman"/>
          <w:b w:val="0"/>
          <w:color w:val="auto"/>
          <w:highlight w:val="none"/>
          <w:lang w:val="en-US" w:eastAsia="zh-CN"/>
        </w:rPr>
        <w:t>2024年项目预算数101,523.40万元，实际到位106,099.50万元，到位率104.51%；2024年实际支出95,130.22万元，执行率89.66%；资金使用合规。</w:t>
      </w:r>
    </w:p>
    <w:p w14:paraId="6075CC0B">
      <w:pPr>
        <w:bidi w:val="0"/>
        <w:rPr>
          <w:rFonts w:hint="default" w:cs="Times New Roman"/>
          <w:b w:val="0"/>
          <w:color w:val="auto"/>
          <w:highlight w:val="none"/>
          <w:lang w:val="en-US" w:eastAsia="zh-CN"/>
        </w:rPr>
      </w:pPr>
      <w:r>
        <w:rPr>
          <w:rFonts w:hint="eastAsia" w:cs="Times New Roman"/>
          <w:b/>
          <w:bCs/>
          <w:color w:val="auto"/>
          <w:highlight w:val="none"/>
          <w:lang w:val="en-US" w:eastAsia="zh-CN"/>
        </w:rPr>
        <w:t>组织实施（9分，得6.5分，扣2.5分）：</w:t>
      </w:r>
      <w:r>
        <w:rPr>
          <w:rFonts w:hint="eastAsia" w:cs="Times New Roman"/>
          <w:b w:val="0"/>
          <w:color w:val="auto"/>
          <w:highlight w:val="none"/>
          <w:lang w:val="en-US" w:eastAsia="zh-CN"/>
        </w:rPr>
        <w:t>随州市各医疗保障局的财务和业务管理制度健全</w:t>
      </w:r>
      <w:r>
        <w:rPr>
          <w:rFonts w:hint="default" w:cs="Times New Roman"/>
          <w:b w:val="0"/>
          <w:color w:val="auto"/>
          <w:highlight w:val="none"/>
          <w:lang w:eastAsia="zh-Hans"/>
        </w:rPr>
        <w:t>；但部分地区绩效自评与监控质量</w:t>
      </w:r>
      <w:r>
        <w:rPr>
          <w:rFonts w:hint="eastAsia" w:cs="Times New Roman"/>
          <w:b w:val="0"/>
          <w:color w:val="auto"/>
          <w:highlight w:val="none"/>
          <w:lang w:val="en-US" w:eastAsia="zh-CN"/>
        </w:rPr>
        <w:t>有待提升，制度执行层面存在短板</w:t>
      </w:r>
      <w:r>
        <w:rPr>
          <w:rFonts w:hint="default" w:cs="Times New Roman"/>
          <w:b w:val="0"/>
          <w:color w:val="auto"/>
          <w:highlight w:val="none"/>
          <w:lang w:eastAsia="zh-Hans"/>
        </w:rPr>
        <w:t>。</w:t>
      </w:r>
    </w:p>
    <w:p w14:paraId="794AE5B1">
      <w:pPr>
        <w:pStyle w:val="5"/>
        <w:bidi w:val="0"/>
        <w:rPr>
          <w:rFonts w:hint="default" w:cs="Times New Roman"/>
          <w:color w:val="auto"/>
          <w:highlight w:val="none"/>
          <w:lang w:eastAsia="zh-CN"/>
        </w:rPr>
      </w:pPr>
      <w:bookmarkStart w:id="35" w:name="_Toc1419860684"/>
      <w:bookmarkStart w:id="36" w:name="_Toc8900"/>
      <w:bookmarkStart w:id="37" w:name="_Toc28059"/>
      <w:r>
        <w:rPr>
          <w:rFonts w:hint="default" w:cs="Times New Roman"/>
          <w:color w:val="auto"/>
          <w:highlight w:val="none"/>
          <w:lang w:val="en-US" w:eastAsia="zh-CN"/>
        </w:rPr>
        <w:t>1.2.3产出</w:t>
      </w:r>
      <w:bookmarkEnd w:id="35"/>
      <w:bookmarkEnd w:id="36"/>
      <w:bookmarkEnd w:id="37"/>
    </w:p>
    <w:p w14:paraId="235D0142">
      <w:pPr>
        <w:bidi w:val="0"/>
        <w:rPr>
          <w:rFonts w:hint="default" w:cs="Times New Roman"/>
          <w:b w:val="0"/>
          <w:color w:val="auto"/>
          <w:highlight w:val="none"/>
          <w:lang w:eastAsia="zh-Hans"/>
        </w:rPr>
      </w:pPr>
      <w:r>
        <w:rPr>
          <w:rFonts w:hint="eastAsia" w:cs="Times New Roman"/>
          <w:b/>
          <w:bCs/>
          <w:color w:val="auto"/>
          <w:highlight w:val="none"/>
          <w:lang w:val="en-US" w:eastAsia="zh-CN"/>
        </w:rPr>
        <w:t>产出数量（15分，得14.28分，扣0.72分）：</w:t>
      </w:r>
      <w:r>
        <w:rPr>
          <w:rFonts w:hint="eastAsia" w:cs="Times New Roman"/>
          <w:b w:val="0"/>
          <w:color w:val="auto"/>
          <w:highlight w:val="none"/>
          <w:lang w:val="en-US" w:eastAsia="zh-CN"/>
        </w:rPr>
        <w:t>2024年</w:t>
      </w:r>
      <w:r>
        <w:rPr>
          <w:rFonts w:hint="default" w:cs="Times New Roman"/>
          <w:b w:val="0"/>
          <w:color w:val="auto"/>
          <w:highlight w:val="none"/>
          <w:lang w:eastAsia="zh-Hans"/>
        </w:rPr>
        <w:t>参保计划完成率</w:t>
      </w:r>
      <w:r>
        <w:rPr>
          <w:rFonts w:hint="eastAsia" w:cs="Times New Roman"/>
          <w:b w:val="0"/>
          <w:color w:val="auto"/>
          <w:highlight w:val="none"/>
          <w:lang w:val="en-US" w:eastAsia="zh-CN"/>
        </w:rPr>
        <w:t>101.9%（目标100%）；社会保险费收入101,351.87万元（目标98,547.40万元）；社会保险待遇支出94,319.58万元（目标82,402.24万元），因超出目标幅度较小且符合基金保障需求，按评分规则酌情扣0.72分</w:t>
      </w:r>
      <w:r>
        <w:rPr>
          <w:rFonts w:hint="default" w:cs="Times New Roman"/>
          <w:b w:val="0"/>
          <w:color w:val="auto"/>
          <w:highlight w:val="none"/>
          <w:lang w:eastAsia="zh-Hans"/>
        </w:rPr>
        <w:t>。</w:t>
      </w:r>
    </w:p>
    <w:p w14:paraId="3DE16E05">
      <w:pPr>
        <w:bidi w:val="0"/>
        <w:rPr>
          <w:rFonts w:hint="default" w:cs="Times New Roman"/>
          <w:b w:val="0"/>
          <w:color w:val="auto"/>
          <w:highlight w:val="none"/>
          <w:lang w:eastAsia="zh-Hans"/>
        </w:rPr>
      </w:pPr>
      <w:r>
        <w:rPr>
          <w:rFonts w:hint="eastAsia" w:cs="Times New Roman"/>
          <w:b/>
          <w:bCs/>
          <w:color w:val="auto"/>
          <w:highlight w:val="none"/>
          <w:lang w:val="en-US" w:eastAsia="zh-CN"/>
        </w:rPr>
        <w:t>产出质量（15分，得15分）：</w:t>
      </w:r>
      <w:r>
        <w:rPr>
          <w:rFonts w:hint="eastAsia" w:cs="Times New Roman"/>
          <w:b w:val="0"/>
          <w:color w:val="auto"/>
          <w:highlight w:val="none"/>
          <w:lang w:val="en-US" w:eastAsia="zh-CN"/>
        </w:rPr>
        <w:t>2024年社会保险费收入占基金收入比重95.53%，社会保险待遇支出占基金支出比重99.15%，其他支出占基金支出比重0.85%，均达标。</w:t>
      </w:r>
    </w:p>
    <w:p w14:paraId="712C3816">
      <w:pPr>
        <w:bidi w:val="0"/>
        <w:rPr>
          <w:rFonts w:hint="default" w:cs="Times New Roman"/>
          <w:b w:val="0"/>
          <w:color w:val="auto"/>
          <w:highlight w:val="none"/>
          <w:lang w:eastAsia="zh-Hans"/>
        </w:rPr>
      </w:pPr>
      <w:r>
        <w:rPr>
          <w:rFonts w:hint="eastAsia" w:cs="Times New Roman"/>
          <w:b/>
          <w:bCs/>
          <w:color w:val="auto"/>
          <w:highlight w:val="none"/>
          <w:lang w:val="en-US" w:eastAsia="zh-CN"/>
        </w:rPr>
        <w:t>产出时效（5分，得5分）：</w:t>
      </w:r>
      <w:r>
        <w:rPr>
          <w:rFonts w:hint="eastAsia" w:cs="Times New Roman"/>
          <w:b w:val="0"/>
          <w:color w:val="auto"/>
          <w:highlight w:val="none"/>
          <w:lang w:val="en-US" w:eastAsia="zh-CN"/>
        </w:rPr>
        <w:t>未发现待遇支付超时情况</w:t>
      </w:r>
      <w:r>
        <w:rPr>
          <w:rFonts w:hint="default" w:cs="Times New Roman"/>
          <w:b w:val="0"/>
          <w:color w:val="auto"/>
          <w:highlight w:val="none"/>
          <w:lang w:eastAsia="zh-Hans"/>
        </w:rPr>
        <w:t>。</w:t>
      </w:r>
    </w:p>
    <w:p w14:paraId="393C5726">
      <w:pPr>
        <w:bidi w:val="0"/>
        <w:rPr>
          <w:rFonts w:hint="eastAsia" w:cs="Times New Roman"/>
          <w:b w:val="0"/>
          <w:color w:val="auto"/>
          <w:highlight w:val="none"/>
          <w:lang w:val="en-US" w:eastAsia="zh-CN"/>
        </w:rPr>
      </w:pPr>
      <w:r>
        <w:rPr>
          <w:rFonts w:hint="eastAsia" w:cs="Times New Roman"/>
          <w:b/>
          <w:bCs/>
          <w:color w:val="auto"/>
          <w:highlight w:val="none"/>
          <w:lang w:val="en-US" w:eastAsia="zh-CN"/>
        </w:rPr>
        <w:t>产出成本（5分，得5分）：</w:t>
      </w:r>
      <w:r>
        <w:rPr>
          <w:rFonts w:hint="eastAsia" w:cs="Times New Roman"/>
          <w:b w:val="0"/>
          <w:color w:val="auto"/>
          <w:highlight w:val="none"/>
          <w:lang w:val="en-US" w:eastAsia="zh-CN"/>
        </w:rPr>
        <w:t>2024年全市职工医保基金运行无赤字</w:t>
      </w:r>
      <w:r>
        <w:rPr>
          <w:rFonts w:hint="default" w:cs="Times New Roman"/>
          <w:b w:val="0"/>
          <w:color w:val="auto"/>
          <w:highlight w:val="none"/>
          <w:lang w:eastAsia="zh-Hans"/>
        </w:rPr>
        <w:t>。</w:t>
      </w:r>
    </w:p>
    <w:p w14:paraId="63AB7630">
      <w:pPr>
        <w:pStyle w:val="5"/>
        <w:bidi w:val="0"/>
        <w:rPr>
          <w:rFonts w:hint="default" w:cs="Times New Roman"/>
          <w:color w:val="auto"/>
          <w:highlight w:val="none"/>
          <w:lang w:val="en-US" w:eastAsia="zh-CN"/>
        </w:rPr>
      </w:pPr>
      <w:bookmarkStart w:id="38" w:name="_Toc760230524"/>
      <w:bookmarkStart w:id="39" w:name="_Toc31845"/>
      <w:bookmarkStart w:id="40" w:name="_Toc22308"/>
      <w:r>
        <w:rPr>
          <w:rFonts w:hint="default" w:cs="Times New Roman"/>
          <w:color w:val="auto"/>
          <w:highlight w:val="none"/>
          <w:lang w:val="en-US" w:eastAsia="zh-CN"/>
        </w:rPr>
        <w:t>1.2.4</w:t>
      </w:r>
      <w:r>
        <w:rPr>
          <w:rFonts w:hint="default" w:cs="Times New Roman"/>
          <w:color w:val="auto"/>
          <w:highlight w:val="none"/>
          <w:lang w:val="en-US" w:eastAsia="zh-Hans"/>
        </w:rPr>
        <w:t>效</w:t>
      </w:r>
      <w:r>
        <w:rPr>
          <w:rFonts w:hint="default" w:cs="Times New Roman"/>
          <w:color w:val="auto"/>
          <w:highlight w:val="none"/>
          <w:lang w:val="en-US" w:eastAsia="zh-CN"/>
        </w:rPr>
        <w:t>果</w:t>
      </w:r>
      <w:bookmarkEnd w:id="38"/>
      <w:bookmarkEnd w:id="39"/>
      <w:bookmarkEnd w:id="40"/>
    </w:p>
    <w:p w14:paraId="56697250">
      <w:pPr>
        <w:bidi w:val="0"/>
        <w:rPr>
          <w:rFonts w:hint="default" w:cs="Times New Roman"/>
          <w:b w:val="0"/>
          <w:color w:val="auto"/>
          <w:highlight w:val="none"/>
          <w:lang w:eastAsia="zh-Hans"/>
        </w:rPr>
      </w:pPr>
      <w:r>
        <w:rPr>
          <w:rFonts w:hint="eastAsia" w:cs="Times New Roman"/>
          <w:b/>
          <w:bCs/>
          <w:color w:val="auto"/>
          <w:highlight w:val="none"/>
          <w:lang w:val="en-US" w:eastAsia="zh-CN"/>
        </w:rPr>
        <w:t>社会效益（8分，得8分）：</w:t>
      </w:r>
      <w:r>
        <w:rPr>
          <w:rFonts w:hint="eastAsia" w:cs="Times New Roman"/>
          <w:b w:val="0"/>
          <w:color w:val="auto"/>
          <w:highlight w:val="none"/>
          <w:lang w:val="en-US" w:eastAsia="zh-CN"/>
        </w:rPr>
        <w:t>2024年职工医保政策范围内住院费用报销比例83.45%</w:t>
      </w:r>
      <w:r>
        <w:rPr>
          <w:rFonts w:hint="eastAsia" w:cs="Times New Roman"/>
          <w:b w:val="0"/>
          <w:color w:val="auto"/>
          <w:highlight w:val="none"/>
          <w:lang w:eastAsia="zh-CN"/>
        </w:rPr>
        <w:t>；普通门（急）诊基金支付比例48.59%，</w:t>
      </w:r>
      <w:r>
        <w:rPr>
          <w:rFonts w:hint="eastAsia" w:cs="Times New Roman"/>
          <w:b w:val="0"/>
          <w:color w:val="auto"/>
          <w:highlight w:val="none"/>
          <w:lang w:val="en-US" w:eastAsia="zh-CN"/>
        </w:rPr>
        <w:t>均达标</w:t>
      </w:r>
      <w:r>
        <w:rPr>
          <w:rFonts w:hint="default" w:cs="Times New Roman"/>
          <w:b w:val="0"/>
          <w:color w:val="auto"/>
          <w:highlight w:val="none"/>
          <w:lang w:eastAsia="zh-Hans"/>
        </w:rPr>
        <w:t>。</w:t>
      </w:r>
    </w:p>
    <w:p w14:paraId="6FC1858B">
      <w:pPr>
        <w:bidi w:val="0"/>
        <w:rPr>
          <w:rFonts w:hint="default" w:cs="Times New Roman"/>
          <w:b w:val="0"/>
          <w:color w:val="auto"/>
          <w:highlight w:val="none"/>
          <w:lang w:eastAsia="zh-Hans"/>
        </w:rPr>
      </w:pPr>
      <w:r>
        <w:rPr>
          <w:rFonts w:hint="eastAsia" w:cs="Times New Roman"/>
          <w:b/>
          <w:bCs/>
          <w:color w:val="auto"/>
          <w:highlight w:val="none"/>
          <w:lang w:val="en-US" w:eastAsia="zh-CN"/>
        </w:rPr>
        <w:t>经济效益（4分，得4分）：</w:t>
      </w:r>
      <w:r>
        <w:rPr>
          <w:rFonts w:hint="eastAsia" w:cs="Times New Roman"/>
          <w:b w:val="0"/>
          <w:color w:val="auto"/>
          <w:highlight w:val="none"/>
          <w:lang w:val="en-US" w:eastAsia="zh-CN"/>
        </w:rPr>
        <w:t>2024年职工医保基金利息收益率1.21%，达标。</w:t>
      </w:r>
    </w:p>
    <w:p w14:paraId="3C828886">
      <w:pPr>
        <w:bidi w:val="0"/>
        <w:rPr>
          <w:rFonts w:hint="default" w:cs="Times New Roman"/>
          <w:b w:val="0"/>
          <w:color w:val="auto"/>
          <w:highlight w:val="none"/>
          <w:lang w:eastAsia="zh-Hans"/>
        </w:rPr>
      </w:pPr>
      <w:r>
        <w:rPr>
          <w:rFonts w:hint="eastAsia" w:cs="Times New Roman"/>
          <w:b/>
          <w:bCs/>
          <w:color w:val="auto"/>
          <w:highlight w:val="none"/>
          <w:lang w:val="en-US" w:eastAsia="zh-CN"/>
        </w:rPr>
        <w:t>可持续影响效益（4分，得0分，扣4分）：</w:t>
      </w:r>
      <w:r>
        <w:rPr>
          <w:rFonts w:hint="eastAsia" w:cs="Times New Roman"/>
          <w:b w:val="0"/>
          <w:color w:val="auto"/>
          <w:highlight w:val="none"/>
          <w:lang w:val="en-US" w:eastAsia="zh-CN"/>
        </w:rPr>
        <w:t>2024年随州市职工医保统筹基金静态可支付月数为36.5个月</w:t>
      </w:r>
      <w:r>
        <w:rPr>
          <w:rFonts w:hint="eastAsia" w:cs="Times New Roman"/>
          <w:b w:val="0"/>
          <w:color w:val="auto"/>
          <w:highlight w:val="none"/>
          <w:lang w:eastAsia="zh-CN"/>
        </w:rPr>
        <w:t>，</w:t>
      </w:r>
      <w:r>
        <w:rPr>
          <w:rFonts w:hint="eastAsia" w:cs="Times New Roman"/>
          <w:b w:val="0"/>
          <w:color w:val="auto"/>
          <w:highlight w:val="none"/>
          <w:lang w:val="en-US" w:eastAsia="zh-CN"/>
        </w:rPr>
        <w:t>远超12-15个月合理区间，使用效率待提升</w:t>
      </w:r>
      <w:r>
        <w:rPr>
          <w:rFonts w:hint="default" w:cs="Times New Roman"/>
          <w:b w:val="0"/>
          <w:color w:val="auto"/>
          <w:highlight w:val="none"/>
          <w:lang w:eastAsia="zh-Hans"/>
        </w:rPr>
        <w:t>。</w:t>
      </w:r>
    </w:p>
    <w:p w14:paraId="67947C8E">
      <w:pPr>
        <w:bidi w:val="0"/>
        <w:rPr>
          <w:rFonts w:hint="eastAsia" w:cs="Times New Roman"/>
          <w:b w:val="0"/>
          <w:color w:val="auto"/>
          <w:highlight w:val="none"/>
          <w:lang w:val="en-US" w:eastAsia="zh-CN"/>
        </w:rPr>
      </w:pPr>
      <w:r>
        <w:rPr>
          <w:rFonts w:hint="eastAsia" w:cs="Times New Roman"/>
          <w:b/>
          <w:bCs/>
          <w:color w:val="auto"/>
          <w:highlight w:val="none"/>
          <w:lang w:val="en-US" w:eastAsia="zh-CN"/>
        </w:rPr>
        <w:t>满意度</w:t>
      </w:r>
      <w:r>
        <w:rPr>
          <w:rFonts w:hint="default" w:cs="Times New Roman"/>
          <w:b/>
          <w:bCs/>
          <w:color w:val="auto"/>
          <w:highlight w:val="none"/>
          <w:lang w:eastAsia="zh-Hans"/>
        </w:rPr>
        <w:t>（4分，得4分）：</w:t>
      </w:r>
      <w:r>
        <w:rPr>
          <w:rFonts w:hint="default" w:cs="Times New Roman"/>
          <w:b w:val="0"/>
          <w:color w:val="auto"/>
          <w:highlight w:val="none"/>
          <w:lang w:eastAsia="zh-Hans"/>
        </w:rPr>
        <w:t>参保对象满意度97.01%，达标。</w:t>
      </w:r>
    </w:p>
    <w:p w14:paraId="7E181CDA">
      <w:pPr>
        <w:pStyle w:val="4"/>
        <w:bidi w:val="0"/>
        <w:rPr>
          <w:rFonts w:hint="default" w:cs="Times New Roman"/>
          <w:b/>
          <w:color w:val="auto"/>
          <w:highlight w:val="none"/>
          <w:lang w:val="en-US" w:eastAsia="zh-Hans"/>
        </w:rPr>
      </w:pPr>
      <w:bookmarkStart w:id="41" w:name="_Toc30586"/>
      <w:bookmarkStart w:id="42" w:name="_Toc31768"/>
      <w:bookmarkStart w:id="43" w:name="_Toc28930"/>
      <w:bookmarkStart w:id="44" w:name="_Toc1814200865"/>
      <w:bookmarkStart w:id="45" w:name="_Toc24106"/>
      <w:r>
        <w:rPr>
          <w:rFonts w:hint="default" w:cs="Times New Roman"/>
          <w:b/>
          <w:color w:val="auto"/>
          <w:highlight w:val="none"/>
          <w:lang w:val="en-US" w:eastAsia="zh-CN"/>
        </w:rPr>
        <w:t>1.3</w:t>
      </w:r>
      <w:r>
        <w:rPr>
          <w:rFonts w:hint="eastAsia" w:cs="Times New Roman"/>
          <w:b/>
          <w:color w:val="auto"/>
          <w:highlight w:val="none"/>
          <w:lang w:val="en-US" w:eastAsia="zh-CN"/>
        </w:rPr>
        <w:t>项目成效、</w:t>
      </w:r>
      <w:r>
        <w:rPr>
          <w:rFonts w:hint="default" w:cs="Times New Roman"/>
          <w:b/>
          <w:color w:val="auto"/>
          <w:highlight w:val="none"/>
          <w:lang w:val="en-US" w:eastAsia="zh-CN"/>
        </w:rPr>
        <w:t>存在的问题</w:t>
      </w:r>
      <w:r>
        <w:rPr>
          <w:rFonts w:hint="default" w:cs="Times New Roman"/>
          <w:b/>
          <w:color w:val="auto"/>
          <w:highlight w:val="none"/>
          <w:lang w:val="en-US" w:eastAsia="zh-Hans"/>
        </w:rPr>
        <w:t>和原因</w:t>
      </w:r>
      <w:bookmarkEnd w:id="41"/>
      <w:bookmarkEnd w:id="42"/>
      <w:bookmarkEnd w:id="43"/>
      <w:bookmarkEnd w:id="44"/>
      <w:bookmarkEnd w:id="45"/>
    </w:p>
    <w:p w14:paraId="43D5A219">
      <w:pPr>
        <w:pStyle w:val="5"/>
        <w:bidi w:val="0"/>
        <w:rPr>
          <w:rFonts w:hint="default" w:cs="Times New Roman"/>
          <w:color w:val="auto"/>
          <w:highlight w:val="none"/>
          <w:lang w:val="en-US" w:eastAsia="zh-CN"/>
        </w:rPr>
      </w:pPr>
      <w:bookmarkStart w:id="46" w:name="_Toc20957"/>
      <w:bookmarkStart w:id="47" w:name="_Toc10462"/>
      <w:bookmarkStart w:id="48" w:name="_Toc1301117949"/>
      <w:bookmarkStart w:id="49" w:name="_Toc77278775"/>
      <w:r>
        <w:rPr>
          <w:rFonts w:hint="default" w:cs="Times New Roman"/>
          <w:color w:val="auto"/>
          <w:highlight w:val="none"/>
          <w:lang w:val="en-US" w:eastAsia="zh-CN"/>
        </w:rPr>
        <w:t>1.3.1</w:t>
      </w:r>
      <w:bookmarkEnd w:id="46"/>
      <w:r>
        <w:rPr>
          <w:rFonts w:hint="eastAsia" w:cs="Times New Roman"/>
          <w:color w:val="auto"/>
          <w:highlight w:val="none"/>
          <w:lang w:val="en-US" w:eastAsia="zh-CN"/>
        </w:rPr>
        <w:t>以前年度结果应用情况</w:t>
      </w:r>
      <w:bookmarkEnd w:id="47"/>
      <w:bookmarkEnd w:id="48"/>
    </w:p>
    <w:p w14:paraId="1C53060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cs="Times New Roman"/>
          <w:b w:val="0"/>
          <w:color w:val="auto"/>
          <w:highlight w:val="none"/>
          <w:lang w:val="en-US" w:eastAsia="zh-CN"/>
        </w:rPr>
      </w:pPr>
      <w:r>
        <w:rPr>
          <w:rFonts w:hint="eastAsia" w:cs="Times New Roman"/>
          <w:b w:val="0"/>
          <w:color w:val="auto"/>
          <w:highlight w:val="none"/>
          <w:lang w:val="en-US" w:eastAsia="zh-CN"/>
        </w:rPr>
        <w:t>该项目以前年度未开展绩效评价，无历史结果可应用。</w:t>
      </w:r>
    </w:p>
    <w:p w14:paraId="075E4878">
      <w:pPr>
        <w:pStyle w:val="5"/>
        <w:bidi w:val="0"/>
        <w:rPr>
          <w:rFonts w:hint="default" w:cs="Times New Roman"/>
          <w:color w:val="auto"/>
          <w:highlight w:val="none"/>
          <w:lang w:val="en-US" w:eastAsia="zh-CN"/>
        </w:rPr>
      </w:pPr>
      <w:bookmarkStart w:id="50" w:name="_Toc26981"/>
      <w:bookmarkStart w:id="51" w:name="_Toc63391442"/>
      <w:r>
        <w:rPr>
          <w:rFonts w:hint="eastAsia" w:cs="Times New Roman"/>
          <w:color w:val="auto"/>
          <w:highlight w:val="none"/>
          <w:lang w:val="en-US" w:eastAsia="zh-CN"/>
        </w:rPr>
        <w:t>1.3.2本年度绩效问题和原因</w:t>
      </w:r>
      <w:bookmarkEnd w:id="50"/>
      <w:bookmarkEnd w:id="51"/>
    </w:p>
    <w:p w14:paraId="0576466F">
      <w:pPr>
        <w:pStyle w:val="6"/>
        <w:bidi w:val="0"/>
        <w:rPr>
          <w:rFonts w:hint="default" w:cs="Times New Roman"/>
          <w:b/>
          <w:color w:val="auto"/>
          <w:highlight w:val="none"/>
          <w:lang w:val="en-US" w:eastAsia="zh-CN"/>
        </w:rPr>
      </w:pPr>
      <w:r>
        <w:rPr>
          <w:rFonts w:hint="eastAsia" w:cs="Times New Roman"/>
          <w:b/>
          <w:color w:val="auto"/>
          <w:highlight w:val="none"/>
          <w:lang w:val="en-US" w:eastAsia="zh-CN"/>
        </w:rPr>
        <w:t>1.3.2.1项目绩效目标管理有待加强</w:t>
      </w:r>
    </w:p>
    <w:p w14:paraId="438BED6C">
      <w:pPr>
        <w:bidi w:val="0"/>
        <w:rPr>
          <w:rFonts w:hint="eastAsia" w:cs="Times New Roman"/>
          <w:b w:val="0"/>
          <w:color w:val="auto"/>
          <w:highlight w:val="none"/>
          <w:lang w:val="en-US" w:eastAsia="zh-CN"/>
        </w:rPr>
      </w:pPr>
      <w:r>
        <w:rPr>
          <w:rFonts w:hint="eastAsia" w:cs="Times New Roman"/>
          <w:b w:val="0"/>
          <w:color w:val="auto"/>
          <w:highlight w:val="none"/>
          <w:lang w:val="en-US" w:eastAsia="zh-CN"/>
        </w:rPr>
        <w:t>项目绩效目标管理有待加强主要体现在三个方面：</w:t>
      </w:r>
    </w:p>
    <w:p w14:paraId="5B2DF22B">
      <w:pPr>
        <w:bidi w:val="0"/>
        <w:rPr>
          <w:rFonts w:hint="default" w:cs="Times New Roman"/>
          <w:b w:val="0"/>
          <w:color w:val="auto"/>
          <w:highlight w:val="none"/>
          <w:lang w:val="en-US" w:eastAsia="zh-CN"/>
        </w:rPr>
      </w:pPr>
      <w:r>
        <w:rPr>
          <w:rFonts w:hint="eastAsia" w:cs="Times New Roman"/>
          <w:b/>
          <w:bCs/>
          <w:color w:val="auto"/>
          <w:highlight w:val="none"/>
          <w:lang w:val="en-US" w:eastAsia="zh-CN"/>
        </w:rPr>
        <w:t>一是</w:t>
      </w:r>
      <w:r>
        <w:rPr>
          <w:rFonts w:hint="eastAsia" w:cs="Times New Roman"/>
          <w:b w:val="0"/>
          <w:color w:val="auto"/>
          <w:highlight w:val="none"/>
          <w:lang w:val="en-US" w:eastAsia="zh-CN"/>
        </w:rPr>
        <w:t>未见绩效目标申报表。2024年随州市医疗保障局未将本基金重要预算</w:t>
      </w:r>
      <w:r>
        <w:rPr>
          <w:rFonts w:hint="eastAsia" w:cs="Times New Roman"/>
          <w:b w:val="0"/>
          <w:i w:val="0"/>
          <w:iCs w:val="0"/>
          <w:color w:val="auto"/>
          <w:highlight w:val="none"/>
          <w:lang w:val="en-US" w:eastAsia="zh-CN"/>
        </w:rPr>
        <w:t>绩效目标向社会公开</w:t>
      </w:r>
      <w:r>
        <w:rPr>
          <w:rFonts w:hint="eastAsia" w:cs="Times New Roman"/>
          <w:b w:val="0"/>
          <w:color w:val="auto"/>
          <w:highlight w:val="none"/>
          <w:lang w:val="en-US" w:eastAsia="zh-CN"/>
        </w:rPr>
        <w:t>。</w:t>
      </w:r>
    </w:p>
    <w:p w14:paraId="4DDF4FD2">
      <w:pPr>
        <w:bidi w:val="0"/>
        <w:rPr>
          <w:rFonts w:hint="eastAsia" w:cs="Times New Roman"/>
          <w:b w:val="0"/>
          <w:color w:val="auto"/>
          <w:highlight w:val="none"/>
          <w:lang w:val="en-US" w:eastAsia="zh-CN"/>
        </w:rPr>
      </w:pPr>
      <w:r>
        <w:rPr>
          <w:rFonts w:hint="eastAsia" w:cs="Times New Roman"/>
          <w:b/>
          <w:bCs/>
          <w:color w:val="auto"/>
          <w:highlight w:val="none"/>
          <w:lang w:val="en-US" w:eastAsia="zh-CN"/>
        </w:rPr>
        <w:t>二是</w:t>
      </w:r>
      <w:r>
        <w:rPr>
          <w:rFonts w:hint="eastAsia" w:cs="Times New Roman"/>
          <w:b w:val="0"/>
          <w:color w:val="auto"/>
          <w:highlight w:val="none"/>
          <w:lang w:val="en-US" w:eastAsia="zh-CN"/>
        </w:rPr>
        <w:t>未区分总体目标和年度目标。自评结果仅体现了年度目标，未见项目总体目标。</w:t>
      </w:r>
    </w:p>
    <w:p w14:paraId="796BFEFB">
      <w:pPr>
        <w:bidi w:val="0"/>
        <w:rPr>
          <w:rFonts w:hint="default" w:cs="Times New Roman"/>
          <w:b w:val="0"/>
          <w:color w:val="auto"/>
          <w:highlight w:val="none"/>
          <w:lang w:val="en-US" w:eastAsia="zh-CN"/>
        </w:rPr>
      </w:pPr>
      <w:r>
        <w:rPr>
          <w:rFonts w:hint="eastAsia" w:cs="Times New Roman"/>
          <w:b/>
          <w:bCs/>
          <w:color w:val="auto"/>
          <w:highlight w:val="none"/>
          <w:lang w:val="en-US" w:eastAsia="zh-CN"/>
        </w:rPr>
        <w:t>三是</w:t>
      </w:r>
      <w:r>
        <w:rPr>
          <w:rFonts w:hint="eastAsia" w:cs="Times New Roman"/>
          <w:b w:val="0"/>
          <w:color w:val="auto"/>
          <w:highlight w:val="none"/>
          <w:lang w:val="en-US" w:eastAsia="zh-CN"/>
        </w:rPr>
        <w:t>未统一全市的绩效指标。存在县（市、区）医疗保障局分解的绩效指标与市医疗保障局差异较大，其定性指标占比偏高，部分指标值设置未体现挑战性，难以有效发挥激励作用。</w:t>
      </w:r>
    </w:p>
    <w:p w14:paraId="4C6E2FEB">
      <w:pPr>
        <w:pStyle w:val="6"/>
        <w:widowControl/>
        <w:rPr>
          <w:rFonts w:hint="default" w:ascii="Times New Roman" w:hAnsi="Times New Roman" w:eastAsia="楷体" w:cs="Times New Roman"/>
          <w:b/>
          <w:bCs w:val="0"/>
          <w:kern w:val="2"/>
          <w:sz w:val="32"/>
          <w:szCs w:val="32"/>
          <w:highlight w:val="none"/>
        </w:rPr>
      </w:pPr>
      <w:r>
        <w:rPr>
          <w:rFonts w:hint="default" w:ascii="Times New Roman" w:hAnsi="Times New Roman" w:eastAsia="楷体" w:cs="Times New Roman"/>
          <w:b/>
          <w:bCs w:val="0"/>
          <w:kern w:val="2"/>
          <w:sz w:val="32"/>
          <w:szCs w:val="32"/>
          <w:highlight w:val="none"/>
        </w:rPr>
        <w:t>1.3.2.</w:t>
      </w:r>
      <w:r>
        <w:rPr>
          <w:rFonts w:hint="eastAsia" w:cs="Times New Roman"/>
          <w:b/>
          <w:bCs w:val="0"/>
          <w:kern w:val="2"/>
          <w:sz w:val="32"/>
          <w:szCs w:val="32"/>
          <w:highlight w:val="none"/>
          <w:lang w:val="en-US" w:eastAsia="zh-CN"/>
        </w:rPr>
        <w:t>2</w:t>
      </w:r>
      <w:r>
        <w:rPr>
          <w:rFonts w:hint="default" w:ascii="楷体" w:hAnsi="楷体" w:eastAsia="楷体" w:cs="楷体"/>
          <w:b/>
          <w:bCs w:val="0"/>
          <w:kern w:val="2"/>
          <w:sz w:val="32"/>
          <w:szCs w:val="32"/>
          <w:highlight w:val="none"/>
        </w:rPr>
        <w:t>项目绩效</w:t>
      </w:r>
      <w:r>
        <w:rPr>
          <w:rFonts w:hint="eastAsia" w:ascii="楷体" w:hAnsi="楷体" w:cs="楷体"/>
          <w:b/>
          <w:bCs w:val="0"/>
          <w:kern w:val="2"/>
          <w:sz w:val="32"/>
          <w:szCs w:val="32"/>
          <w:highlight w:val="none"/>
          <w:lang w:val="en-US" w:eastAsia="zh-CN"/>
        </w:rPr>
        <w:t>监控和自评质量有待提高</w:t>
      </w:r>
    </w:p>
    <w:p w14:paraId="525B2D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 w:hAnsi="仿宋" w:eastAsia="仿宋" w:cs="仿宋"/>
          <w:b w:val="0"/>
          <w:kern w:val="2"/>
          <w:sz w:val="32"/>
          <w:szCs w:val="32"/>
          <w:highlight w:val="none"/>
          <w:lang w:val="en-US" w:eastAsia="zh-CN" w:bidi="ar"/>
        </w:rPr>
      </w:pPr>
      <w:r>
        <w:rPr>
          <w:rFonts w:hint="default" w:ascii="仿宋" w:hAnsi="仿宋" w:eastAsia="仿宋" w:cs="仿宋"/>
          <w:b w:val="0"/>
          <w:kern w:val="2"/>
          <w:sz w:val="32"/>
          <w:szCs w:val="32"/>
          <w:highlight w:val="none"/>
          <w:lang w:val="en-US" w:eastAsia="zh-CN" w:bidi="ar"/>
        </w:rPr>
        <w:t>项目绩效管理不够完善主要体现在两个方面：</w:t>
      </w:r>
    </w:p>
    <w:p w14:paraId="1CE166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default" w:ascii="仿宋" w:hAnsi="仿宋" w:cs="仿宋"/>
          <w:b w:val="0"/>
          <w:kern w:val="2"/>
          <w:sz w:val="32"/>
          <w:szCs w:val="32"/>
          <w:highlight w:val="none"/>
          <w:lang w:val="en-US" w:eastAsia="zh-CN" w:bidi="ar"/>
        </w:rPr>
      </w:pPr>
      <w:r>
        <w:rPr>
          <w:rFonts w:hint="eastAsia" w:ascii="仿宋" w:hAnsi="仿宋" w:cs="仿宋"/>
          <w:b/>
          <w:bCs/>
          <w:kern w:val="2"/>
          <w:sz w:val="32"/>
          <w:szCs w:val="32"/>
          <w:highlight w:val="none"/>
          <w:lang w:val="en-US" w:eastAsia="zh-CN" w:bidi="ar"/>
        </w:rPr>
        <w:t>一是</w:t>
      </w:r>
      <w:r>
        <w:rPr>
          <w:rFonts w:hint="eastAsia" w:ascii="仿宋" w:hAnsi="仿宋" w:cs="仿宋"/>
          <w:b w:val="0"/>
          <w:kern w:val="2"/>
          <w:sz w:val="32"/>
          <w:szCs w:val="32"/>
          <w:highlight w:val="none"/>
          <w:lang w:val="en-US" w:eastAsia="zh-CN" w:bidi="ar"/>
        </w:rPr>
        <w:t>部分地区没有及时完成绩效运行监控。据现场走访，随州市医疗保障局和广水市医疗保障局无绩效监控资料，不符合预算绩效管理要求。</w:t>
      </w:r>
    </w:p>
    <w:p w14:paraId="32904F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仿宋" w:hAnsi="仿宋" w:cs="仿宋"/>
          <w:b w:val="0"/>
          <w:kern w:val="2"/>
          <w:sz w:val="32"/>
          <w:szCs w:val="32"/>
          <w:highlight w:val="none"/>
          <w:lang w:val="en-US" w:eastAsia="zh-CN" w:bidi="ar"/>
        </w:rPr>
      </w:pPr>
      <w:r>
        <w:rPr>
          <w:rFonts w:hint="eastAsia" w:ascii="仿宋" w:hAnsi="仿宋" w:cs="仿宋"/>
          <w:b/>
          <w:bCs/>
          <w:kern w:val="2"/>
          <w:sz w:val="32"/>
          <w:szCs w:val="32"/>
          <w:highlight w:val="none"/>
          <w:lang w:val="en-US" w:eastAsia="zh-CN" w:bidi="ar"/>
        </w:rPr>
        <w:t>二是</w:t>
      </w:r>
      <w:r>
        <w:rPr>
          <w:rFonts w:hint="eastAsia" w:ascii="仿宋" w:hAnsi="仿宋" w:cs="仿宋"/>
          <w:b w:val="0"/>
          <w:kern w:val="2"/>
          <w:sz w:val="32"/>
          <w:szCs w:val="32"/>
          <w:highlight w:val="none"/>
          <w:lang w:val="en-US" w:eastAsia="zh-CN" w:bidi="ar"/>
        </w:rPr>
        <w:t>自评结果中部分绩效指标完成情况分析不够具体</w:t>
      </w:r>
      <w:r>
        <w:rPr>
          <w:rFonts w:hint="default" w:ascii="仿宋" w:hAnsi="仿宋" w:eastAsia="仿宋" w:cs="仿宋"/>
          <w:b w:val="0"/>
          <w:kern w:val="2"/>
          <w:sz w:val="32"/>
          <w:szCs w:val="32"/>
          <w:highlight w:val="none"/>
          <w:lang w:val="en-US" w:eastAsia="zh-CN" w:bidi="ar"/>
        </w:rPr>
        <w:t>。</w:t>
      </w:r>
      <w:r>
        <w:rPr>
          <w:rFonts w:hint="eastAsia" w:ascii="仿宋" w:hAnsi="仿宋" w:cs="仿宋"/>
          <w:b w:val="0"/>
          <w:kern w:val="2"/>
          <w:sz w:val="32"/>
          <w:szCs w:val="32"/>
          <w:highlight w:val="none"/>
          <w:lang w:val="en-US" w:eastAsia="zh-CN" w:bidi="ar"/>
        </w:rPr>
        <w:t>随州市各医疗保障局的绩效自评报告均存在部分定性指标或定量指标未结合数据、事实深入分析完成情况及差异原因的问题。</w:t>
      </w:r>
    </w:p>
    <w:p w14:paraId="35EEB126">
      <w:pPr>
        <w:pStyle w:val="6"/>
        <w:widowControl/>
        <w:rPr>
          <w:rFonts w:hint="default" w:ascii="Times New Roman" w:hAnsi="Times New Roman" w:eastAsia="楷体" w:cs="Times New Roman"/>
          <w:b/>
          <w:bCs w:val="0"/>
          <w:kern w:val="2"/>
          <w:sz w:val="32"/>
          <w:szCs w:val="32"/>
          <w:highlight w:val="none"/>
        </w:rPr>
      </w:pPr>
      <w:r>
        <w:rPr>
          <w:rFonts w:hint="default" w:ascii="Times New Roman" w:hAnsi="Times New Roman" w:eastAsia="楷体" w:cs="Times New Roman"/>
          <w:b/>
          <w:bCs w:val="0"/>
          <w:kern w:val="2"/>
          <w:sz w:val="32"/>
          <w:szCs w:val="32"/>
          <w:highlight w:val="none"/>
        </w:rPr>
        <w:t>1.3.2.</w:t>
      </w:r>
      <w:r>
        <w:rPr>
          <w:rFonts w:hint="eastAsia" w:cs="Times New Roman"/>
          <w:b/>
          <w:bCs w:val="0"/>
          <w:kern w:val="2"/>
          <w:sz w:val="32"/>
          <w:szCs w:val="32"/>
          <w:highlight w:val="none"/>
          <w:lang w:val="en-US" w:eastAsia="zh-CN"/>
        </w:rPr>
        <w:t>3</w:t>
      </w:r>
      <w:r>
        <w:rPr>
          <w:rFonts w:hint="default" w:ascii="楷体" w:hAnsi="楷体" w:eastAsia="楷体" w:cs="楷体"/>
          <w:b/>
          <w:bCs w:val="0"/>
          <w:kern w:val="2"/>
          <w:sz w:val="32"/>
          <w:szCs w:val="32"/>
          <w:highlight w:val="none"/>
        </w:rPr>
        <w:t>资源配置效率</w:t>
      </w:r>
      <w:r>
        <w:rPr>
          <w:rFonts w:hint="eastAsia" w:ascii="楷体" w:hAnsi="楷体" w:cs="楷体"/>
          <w:b/>
          <w:bCs w:val="0"/>
          <w:kern w:val="2"/>
          <w:sz w:val="32"/>
          <w:szCs w:val="32"/>
          <w:highlight w:val="none"/>
          <w:lang w:val="en-US" w:eastAsia="zh-CN"/>
        </w:rPr>
        <w:t>有</w:t>
      </w:r>
      <w:r>
        <w:rPr>
          <w:rFonts w:hint="default" w:ascii="楷体" w:hAnsi="楷体" w:eastAsia="楷体" w:cs="楷体"/>
          <w:b/>
          <w:bCs w:val="0"/>
          <w:kern w:val="2"/>
          <w:sz w:val="32"/>
          <w:szCs w:val="32"/>
          <w:highlight w:val="none"/>
        </w:rPr>
        <w:t>待提升</w:t>
      </w:r>
    </w:p>
    <w:p w14:paraId="595A7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 w:hAnsi="仿宋" w:cs="仿宋"/>
          <w:b w:val="0"/>
          <w:kern w:val="2"/>
          <w:sz w:val="32"/>
          <w:szCs w:val="32"/>
          <w:highlight w:val="none"/>
          <w:lang w:val="en-US" w:eastAsia="zh-CN" w:bidi="ar"/>
        </w:rPr>
      </w:pPr>
      <w:r>
        <w:rPr>
          <w:rFonts w:hint="default" w:ascii="仿宋" w:hAnsi="仿宋" w:eastAsia="仿宋" w:cs="仿宋"/>
          <w:b w:val="0"/>
          <w:kern w:val="2"/>
          <w:sz w:val="32"/>
          <w:szCs w:val="32"/>
          <w:highlight w:val="none"/>
          <w:lang w:val="en-US" w:eastAsia="zh-CN" w:bidi="ar"/>
        </w:rPr>
        <w:t>项目资源配置效率有待提升主要体现在：职工医保统筹基金静态可支付月数</w:t>
      </w:r>
      <w:r>
        <w:rPr>
          <w:rFonts w:hint="default" w:ascii="Times New Roman" w:hAnsi="Times New Roman" w:eastAsia="仿宋" w:cs="Times New Roman"/>
          <w:b w:val="0"/>
          <w:kern w:val="2"/>
          <w:sz w:val="32"/>
          <w:szCs w:val="32"/>
          <w:highlight w:val="none"/>
          <w:lang w:val="en-US" w:eastAsia="zh-CN" w:bidi="ar"/>
        </w:rPr>
        <w:t>36.5个月，远超12-15</w:t>
      </w:r>
      <w:r>
        <w:rPr>
          <w:rFonts w:hint="default" w:ascii="仿宋" w:hAnsi="仿宋" w:eastAsia="仿宋" w:cs="仿宋"/>
          <w:b w:val="0"/>
          <w:kern w:val="2"/>
          <w:sz w:val="32"/>
          <w:szCs w:val="32"/>
          <w:highlight w:val="none"/>
          <w:lang w:val="en-US" w:eastAsia="zh-CN" w:bidi="ar"/>
        </w:rPr>
        <w:t>个月的合理目标区间，基金结余规模偏大，存在资源闲置，未充分发挥基金“保障民生、优化待遇”的潜力。</w:t>
      </w:r>
    </w:p>
    <w:p w14:paraId="57213D1C">
      <w:pPr>
        <w:pStyle w:val="4"/>
        <w:bidi w:val="0"/>
        <w:rPr>
          <w:rFonts w:hint="default" w:cs="Times New Roman"/>
          <w:b/>
          <w:color w:val="auto"/>
          <w:highlight w:val="none"/>
          <w:lang w:val="en-US" w:eastAsia="zh-CN"/>
        </w:rPr>
      </w:pPr>
      <w:bookmarkStart w:id="52" w:name="_Toc25194"/>
      <w:bookmarkStart w:id="53" w:name="_Toc14271"/>
      <w:bookmarkStart w:id="54" w:name="_Toc13272"/>
      <w:bookmarkStart w:id="55" w:name="_Toc268076782"/>
      <w:r>
        <w:rPr>
          <w:rFonts w:hint="default" w:cs="Times New Roman"/>
          <w:b/>
          <w:color w:val="auto"/>
          <w:highlight w:val="none"/>
          <w:lang w:val="en-US" w:eastAsia="zh-CN"/>
        </w:rPr>
        <w:t>1.4</w:t>
      </w:r>
      <w:bookmarkEnd w:id="49"/>
      <w:bookmarkEnd w:id="52"/>
      <w:bookmarkEnd w:id="53"/>
      <w:r>
        <w:rPr>
          <w:rFonts w:hint="eastAsia" w:cs="Times New Roman"/>
          <w:b/>
          <w:color w:val="auto"/>
          <w:highlight w:val="none"/>
          <w:lang w:val="en-US" w:eastAsia="zh-CN"/>
        </w:rPr>
        <w:t>下一步拟改进措施</w:t>
      </w:r>
      <w:bookmarkEnd w:id="54"/>
      <w:bookmarkEnd w:id="55"/>
    </w:p>
    <w:p w14:paraId="777CE87C">
      <w:pPr>
        <w:pStyle w:val="5"/>
        <w:bidi w:val="0"/>
        <w:rPr>
          <w:rFonts w:hint="default" w:cs="Times New Roman"/>
          <w:color w:val="auto"/>
          <w:highlight w:val="none"/>
          <w:lang w:val="en-US" w:eastAsia="zh-CN"/>
        </w:rPr>
      </w:pPr>
      <w:bookmarkStart w:id="56" w:name="_Toc9880"/>
      <w:bookmarkStart w:id="57" w:name="_Toc145783668"/>
      <w:bookmarkStart w:id="58" w:name="_Toc7971"/>
      <w:r>
        <w:rPr>
          <w:rFonts w:hint="default" w:cs="Times New Roman"/>
          <w:color w:val="auto"/>
          <w:highlight w:val="none"/>
          <w:lang w:eastAsia="zh-CN"/>
        </w:rPr>
        <w:t>1</w:t>
      </w:r>
      <w:r>
        <w:rPr>
          <w:rFonts w:hint="default" w:cs="Times New Roman"/>
          <w:color w:val="auto"/>
          <w:highlight w:val="none"/>
          <w:lang w:val="en-US" w:eastAsia="zh-Hans"/>
        </w:rPr>
        <w:t>.</w:t>
      </w:r>
      <w:r>
        <w:rPr>
          <w:rFonts w:hint="default" w:cs="Times New Roman"/>
          <w:color w:val="auto"/>
          <w:highlight w:val="none"/>
          <w:lang w:val="en-US" w:eastAsia="zh-CN"/>
        </w:rPr>
        <w:t>4</w:t>
      </w:r>
      <w:r>
        <w:rPr>
          <w:rFonts w:hint="default" w:cs="Times New Roman"/>
          <w:color w:val="auto"/>
          <w:highlight w:val="none"/>
          <w:lang w:eastAsia="zh-Hans"/>
        </w:rPr>
        <w:t>.</w:t>
      </w:r>
      <w:r>
        <w:rPr>
          <w:rFonts w:hint="default" w:cs="Times New Roman"/>
          <w:color w:val="auto"/>
          <w:highlight w:val="none"/>
          <w:lang w:val="en-US" w:eastAsia="zh-CN"/>
        </w:rPr>
        <w:t>1</w:t>
      </w:r>
      <w:r>
        <w:rPr>
          <w:rFonts w:hint="eastAsia" w:cs="Times New Roman"/>
          <w:color w:val="auto"/>
          <w:highlight w:val="none"/>
          <w:lang w:val="en-US" w:eastAsia="zh-CN"/>
        </w:rPr>
        <w:t>拟整改情况</w:t>
      </w:r>
      <w:bookmarkEnd w:id="56"/>
      <w:bookmarkEnd w:id="57"/>
    </w:p>
    <w:p w14:paraId="4F32BF4C">
      <w:pPr>
        <w:pStyle w:val="6"/>
        <w:bidi w:val="0"/>
        <w:rPr>
          <w:rFonts w:hint="default" w:cs="Times New Roman"/>
          <w:b/>
          <w:color w:val="auto"/>
          <w:highlight w:val="none"/>
          <w:lang w:val="en-US" w:eastAsia="zh-CN"/>
        </w:rPr>
      </w:pPr>
      <w:r>
        <w:rPr>
          <w:rFonts w:hint="eastAsia" w:cs="Times New Roman"/>
          <w:b/>
          <w:color w:val="auto"/>
          <w:highlight w:val="none"/>
          <w:lang w:val="en-US" w:eastAsia="zh-CN"/>
        </w:rPr>
        <w:t>1.4.1.1</w:t>
      </w:r>
      <w:bookmarkEnd w:id="58"/>
      <w:r>
        <w:rPr>
          <w:rFonts w:hint="eastAsia" w:cs="Times New Roman"/>
          <w:b/>
          <w:color w:val="auto"/>
          <w:highlight w:val="none"/>
          <w:lang w:val="en-US" w:eastAsia="zh-CN"/>
        </w:rPr>
        <w:t>加强绩效目标管理</w:t>
      </w:r>
    </w:p>
    <w:p w14:paraId="5DA25DE3">
      <w:pPr>
        <w:bidi w:val="0"/>
        <w:rPr>
          <w:rFonts w:hint="default" w:cs="Times New Roman"/>
          <w:b w:val="0"/>
          <w:color w:val="auto"/>
          <w:highlight w:val="none"/>
          <w:lang w:val="en-US" w:eastAsia="zh-CN"/>
        </w:rPr>
      </w:pPr>
      <w:r>
        <w:rPr>
          <w:rFonts w:hint="eastAsia" w:cs="Times New Roman"/>
          <w:b w:val="0"/>
          <w:color w:val="auto"/>
          <w:highlight w:val="none"/>
          <w:lang w:val="en-US" w:eastAsia="zh-CN"/>
        </w:rPr>
        <w:t>针对绩效目标管理问题，应严格按照《湖北省社会保险基金预算绩效管理办法》相关内容执行，逐步推动社会保险基金预算重要绩效目标向社会公开；项目绩效目标表按时间段区分总体目标和年度目标；随州市医疗保障局应参考省级层面下达的绩效目标和指标，将其分解下达各核算区，各核算区配合做好绩效目标和指标管理工作。</w:t>
      </w:r>
    </w:p>
    <w:p w14:paraId="1A6CB426">
      <w:pPr>
        <w:pStyle w:val="6"/>
        <w:bidi w:val="0"/>
        <w:rPr>
          <w:rFonts w:hint="default" w:cs="Times New Roman"/>
          <w:b/>
          <w:color w:val="auto"/>
          <w:highlight w:val="none"/>
          <w:lang w:val="en-US" w:eastAsia="zh-CN"/>
        </w:rPr>
      </w:pPr>
      <w:r>
        <w:rPr>
          <w:rFonts w:hint="eastAsia" w:cs="Times New Roman"/>
          <w:b/>
          <w:color w:val="auto"/>
          <w:highlight w:val="none"/>
          <w:lang w:val="en-US" w:eastAsia="zh-CN"/>
        </w:rPr>
        <w:t>1.4.1.2加强绩效监控和自评管理</w:t>
      </w:r>
    </w:p>
    <w:p w14:paraId="03F2B802">
      <w:pPr>
        <w:bidi w:val="0"/>
        <w:rPr>
          <w:rFonts w:hint="default" w:cs="Times New Roman"/>
          <w:b w:val="0"/>
          <w:color w:val="auto"/>
          <w:highlight w:val="none"/>
          <w:lang w:val="en-US" w:eastAsia="zh-CN"/>
        </w:rPr>
      </w:pPr>
      <w:r>
        <w:rPr>
          <w:rFonts w:hint="eastAsia" w:cs="Times New Roman"/>
          <w:b w:val="0"/>
          <w:color w:val="auto"/>
          <w:highlight w:val="none"/>
          <w:lang w:val="en-US" w:eastAsia="zh-CN"/>
        </w:rPr>
        <w:t>针对绩效监控和自评管理问题，应遵循“预算和绩效管理一体化”原则，各地医疗保障局应于当年基金预算执行情况报出前，开展绩效运行监控，按照规范格式填写绩效运行监控表，并报送财政部门审核汇总；自评主要根据年初绩效目标及指标开展绩效评价，不得另行设定绩效评价指标，指标分析要做到有理有据。</w:t>
      </w:r>
    </w:p>
    <w:p w14:paraId="4D6F7139">
      <w:pPr>
        <w:pStyle w:val="6"/>
        <w:bidi w:val="0"/>
        <w:rPr>
          <w:rFonts w:hint="default" w:cs="Times New Roman"/>
          <w:b/>
          <w:color w:val="auto"/>
          <w:highlight w:val="none"/>
          <w:lang w:val="en-US" w:eastAsia="zh-CN"/>
        </w:rPr>
      </w:pPr>
      <w:r>
        <w:rPr>
          <w:rFonts w:hint="eastAsia" w:cs="Times New Roman"/>
          <w:b/>
          <w:color w:val="auto"/>
          <w:highlight w:val="none"/>
          <w:lang w:val="en-US" w:eastAsia="zh-CN"/>
        </w:rPr>
        <w:t>1.4.1.3优化基金收支结构</w:t>
      </w:r>
    </w:p>
    <w:p w14:paraId="01FD2691">
      <w:pPr>
        <w:bidi w:val="0"/>
        <w:rPr>
          <w:rFonts w:hint="default" w:cs="Times New Roman"/>
          <w:b w:val="0"/>
          <w:color w:val="auto"/>
          <w:highlight w:val="none"/>
          <w:lang w:val="en-US" w:eastAsia="zh-CN"/>
        </w:rPr>
      </w:pPr>
      <w:r>
        <w:rPr>
          <w:rFonts w:hint="eastAsia" w:cs="Times New Roman"/>
          <w:b w:val="0"/>
          <w:color w:val="auto"/>
          <w:highlight w:val="none"/>
          <w:lang w:val="en-US" w:eastAsia="zh-CN"/>
        </w:rPr>
        <w:t>针对资源配置效率问题，建议分别从基金收入、基金支出、年初结余等方面细致分析基金可支付月数偏高的原因，学习基金可支付月数较理想的地市做法，适度优化待遇保障，在基金可支付能力范围内，研究完善职工医保实施细则、扩大生育保险待遇覆盖范围、缩短职工医保医疗机构结算周期。</w:t>
      </w:r>
    </w:p>
    <w:p w14:paraId="6253A451">
      <w:pPr>
        <w:pStyle w:val="5"/>
        <w:bidi w:val="0"/>
        <w:rPr>
          <w:rFonts w:hint="default" w:cs="Times New Roman"/>
          <w:color w:val="auto"/>
          <w:highlight w:val="none"/>
          <w:lang w:val="en-US" w:eastAsia="zh-CN"/>
        </w:rPr>
      </w:pPr>
      <w:bookmarkStart w:id="59" w:name="_Toc13696"/>
      <w:bookmarkStart w:id="60" w:name="_Toc2054750496"/>
      <w:r>
        <w:rPr>
          <w:rFonts w:hint="default" w:cs="Times New Roman"/>
          <w:color w:val="auto"/>
          <w:highlight w:val="none"/>
          <w:lang w:eastAsia="zh-CN"/>
        </w:rPr>
        <w:t>1</w:t>
      </w:r>
      <w:r>
        <w:rPr>
          <w:rFonts w:hint="default" w:cs="Times New Roman"/>
          <w:color w:val="auto"/>
          <w:highlight w:val="none"/>
          <w:lang w:val="en-US" w:eastAsia="zh-Hans"/>
        </w:rPr>
        <w:t>.</w:t>
      </w:r>
      <w:r>
        <w:rPr>
          <w:rFonts w:hint="default" w:cs="Times New Roman"/>
          <w:color w:val="auto"/>
          <w:highlight w:val="none"/>
          <w:lang w:val="en-US" w:eastAsia="zh-CN"/>
        </w:rPr>
        <w:t>4</w:t>
      </w:r>
      <w:r>
        <w:rPr>
          <w:rFonts w:hint="default" w:cs="Times New Roman"/>
          <w:color w:val="auto"/>
          <w:highlight w:val="none"/>
          <w:lang w:eastAsia="zh-Hans"/>
        </w:rPr>
        <w:t>.</w:t>
      </w:r>
      <w:r>
        <w:rPr>
          <w:rFonts w:hint="eastAsia" w:cs="Times New Roman"/>
          <w:color w:val="auto"/>
          <w:highlight w:val="none"/>
          <w:lang w:val="en-US" w:eastAsia="zh-CN"/>
        </w:rPr>
        <w:t>2拟与预算安排相结合情况</w:t>
      </w:r>
      <w:bookmarkEnd w:id="59"/>
      <w:bookmarkEnd w:id="60"/>
    </w:p>
    <w:p w14:paraId="34A689A1">
      <w:pPr>
        <w:bidi w:val="0"/>
        <w:rPr>
          <w:rFonts w:hint="eastAsia" w:cs="Times New Roman"/>
          <w:b w:val="0"/>
          <w:color w:val="auto"/>
          <w:highlight w:val="none"/>
          <w:lang w:val="en-US" w:eastAsia="zh-CN"/>
        </w:rPr>
      </w:pPr>
      <w:r>
        <w:rPr>
          <w:rFonts w:hint="eastAsia" w:cs="Times New Roman"/>
          <w:b w:val="0"/>
          <w:color w:val="auto"/>
          <w:highlight w:val="none"/>
          <w:lang w:val="en-US" w:eastAsia="zh-CN"/>
        </w:rPr>
        <w:t>下年度建议结合2024年基金收支表、2025年度基金收支计划、绩效目标表等资料安排预算，提升资金效益。</w:t>
      </w:r>
    </w:p>
    <w:bookmarkEnd w:id="28"/>
    <w:p w14:paraId="55A28090">
      <w:pPr>
        <w:pageBreakBefore w:val="0"/>
        <w:kinsoku/>
        <w:wordWrap/>
        <w:overflowPunct/>
        <w:topLinePunct w:val="0"/>
        <w:bidi w:val="0"/>
        <w:spacing w:line="560" w:lineRule="exact"/>
        <w:ind w:firstLine="643" w:firstLineChars="200"/>
        <w:jc w:val="both"/>
        <w:textAlignment w:val="baseline"/>
        <w:rPr>
          <w:rFonts w:hint="default" w:ascii="Times New Roman" w:hAnsi="Times New Roman" w:cs="Times New Roman"/>
          <w:b/>
          <w:bCs/>
          <w:color w:val="auto"/>
          <w:kern w:val="2"/>
          <w:sz w:val="32"/>
          <w:szCs w:val="32"/>
          <w:highlight w:val="none"/>
          <w:lang w:val="en-US" w:eastAsia="zh-CN" w:bidi="ar-SA"/>
        </w:rPr>
      </w:pPr>
      <w:bookmarkStart w:id="61" w:name="_Toc18911"/>
    </w:p>
    <w:p w14:paraId="216AAAF3">
      <w:pPr>
        <w:bidi w:val="0"/>
        <w:rPr>
          <w:rFonts w:hint="default"/>
          <w:color w:val="auto"/>
          <w:highlight w:val="none"/>
          <w:lang w:val="en-US" w:eastAsia="zh-CN"/>
        </w:rPr>
      </w:pPr>
    </w:p>
    <w:bookmarkEnd w:id="61"/>
    <w:p w14:paraId="5BD7E7EA">
      <w:pPr>
        <w:bidi w:val="0"/>
        <w:rPr>
          <w:rFonts w:hint="default"/>
          <w:color w:val="auto"/>
          <w:highlight w:val="none"/>
        </w:rPr>
      </w:pPr>
    </w:p>
    <w:p w14:paraId="69D9F7BC">
      <w:pPr>
        <w:bidi w:val="0"/>
        <w:rPr>
          <w:rFonts w:hint="default"/>
          <w:color w:val="auto"/>
          <w:highlight w:val="none"/>
        </w:rPr>
      </w:pPr>
    </w:p>
    <w:p w14:paraId="65DEFD65">
      <w:pPr>
        <w:bidi w:val="0"/>
        <w:ind w:left="0" w:leftChars="0" w:firstLine="0" w:firstLineChars="0"/>
        <w:rPr>
          <w:rFonts w:hint="eastAsia" w:eastAsia="仿宋"/>
          <w:color w:val="auto"/>
          <w:highlight w:val="none"/>
          <w:lang w:val="en-US" w:eastAsia="zh-CN"/>
        </w:rPr>
      </w:pPr>
      <w:r>
        <w:rPr>
          <w:rFonts w:hint="eastAsia"/>
          <w:color w:val="auto"/>
          <w:highlight w:val="none"/>
          <w:lang w:eastAsia="zh-CN"/>
        </w:rPr>
        <w:t>武汉中昌达会计师事务所（普通合伙）</w:t>
      </w: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lang w:val="en-US" w:eastAsia="zh-CN"/>
        </w:rPr>
        <w:t>主评人1</w:t>
      </w:r>
      <w:r>
        <w:rPr>
          <w:rFonts w:hint="default"/>
          <w:color w:val="auto"/>
          <w:highlight w:val="none"/>
        </w:rPr>
        <w:t>：</w:t>
      </w:r>
      <w:r>
        <w:rPr>
          <w:rFonts w:hint="eastAsia"/>
          <w:color w:val="auto"/>
          <w:highlight w:val="none"/>
          <w:lang w:eastAsia="zh-CN"/>
        </w:rPr>
        <w:t>王梦娇</w:t>
      </w:r>
    </w:p>
    <w:p w14:paraId="75907878">
      <w:pPr>
        <w:bidi w:val="0"/>
        <w:rPr>
          <w:rFonts w:hint="eastAsia" w:eastAsia="仿宋"/>
          <w:color w:val="auto"/>
          <w:highlight w:val="none"/>
          <w:lang w:val="en-US" w:eastAsia="zh-CN"/>
        </w:rPr>
      </w:pPr>
      <w:r>
        <w:rPr>
          <w:rFonts w:hint="default"/>
          <w:color w:val="auto"/>
          <w:highlight w:val="none"/>
        </w:rPr>
        <w:t xml:space="preserve">       </w:t>
      </w:r>
      <w:r>
        <w:rPr>
          <w:rFonts w:hint="default"/>
          <w:color w:val="auto"/>
          <w:highlight w:val="none"/>
          <w:lang w:val="en-US" w:eastAsia="zh-CN"/>
        </w:rPr>
        <w:t xml:space="preserve"> </w:t>
      </w:r>
      <w:r>
        <w:rPr>
          <w:rFonts w:hint="default"/>
          <w:color w:val="auto"/>
          <w:highlight w:val="none"/>
        </w:rPr>
        <w:t xml:space="preserve">中国 武汉            </w:t>
      </w:r>
      <w:r>
        <w:rPr>
          <w:rFonts w:hint="eastAsia"/>
          <w:color w:val="auto"/>
          <w:highlight w:val="none"/>
          <w:lang w:val="en-US" w:eastAsia="zh-CN"/>
        </w:rPr>
        <w:t xml:space="preserve">  </w:t>
      </w:r>
      <w:r>
        <w:rPr>
          <w:rFonts w:hint="default"/>
          <w:color w:val="auto"/>
          <w:highlight w:val="none"/>
        </w:rPr>
        <w:t xml:space="preserve"> </w:t>
      </w:r>
      <w:r>
        <w:rPr>
          <w:rFonts w:hint="default"/>
          <w:color w:val="auto"/>
          <w:highlight w:val="none"/>
          <w:lang w:val="en-US" w:eastAsia="zh-CN"/>
        </w:rPr>
        <w:t>主评人2</w:t>
      </w:r>
      <w:r>
        <w:rPr>
          <w:rFonts w:hint="default"/>
          <w:color w:val="auto"/>
          <w:highlight w:val="none"/>
        </w:rPr>
        <w:t>：</w:t>
      </w:r>
      <w:r>
        <w:rPr>
          <w:rFonts w:hint="eastAsia"/>
          <w:color w:val="auto"/>
          <w:highlight w:val="none"/>
          <w:lang w:eastAsia="zh-CN"/>
        </w:rPr>
        <w:t>田鸣</w:t>
      </w:r>
    </w:p>
    <w:p w14:paraId="062C2829">
      <w:pPr>
        <w:ind w:left="0" w:leftChars="0" w:firstLine="0" w:firstLineChars="0"/>
        <w:rPr>
          <w:rFonts w:hint="eastAsia"/>
          <w:color w:val="auto"/>
          <w:highlight w:val="none"/>
          <w:lang w:val="en-US" w:eastAsia="zh-CN"/>
        </w:rPr>
      </w:pP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rPr>
        <w:t xml:space="preserve"> 202</w:t>
      </w:r>
      <w:r>
        <w:rPr>
          <w:rFonts w:hint="eastAsia"/>
          <w:color w:val="auto"/>
          <w:highlight w:val="none"/>
          <w:lang w:val="en-US" w:eastAsia="zh-CN"/>
        </w:rPr>
        <w:t>5</w:t>
      </w:r>
      <w:r>
        <w:rPr>
          <w:rFonts w:hint="default"/>
          <w:color w:val="auto"/>
          <w:highlight w:val="none"/>
        </w:rPr>
        <w:t>年</w:t>
      </w:r>
      <w:r>
        <w:rPr>
          <w:rFonts w:hint="eastAsia"/>
          <w:color w:val="auto"/>
          <w:highlight w:val="none"/>
          <w:lang w:val="en-US" w:eastAsia="zh-CN"/>
        </w:rPr>
        <w:t>8月30日</w:t>
      </w:r>
    </w:p>
    <w:p w14:paraId="3A59C774">
      <w:pPr>
        <w:rPr>
          <w:rFonts w:hint="eastAsia"/>
          <w:color w:val="auto"/>
          <w:highlight w:val="none"/>
          <w:lang w:val="en-US" w:eastAsia="zh-CN"/>
        </w:rPr>
      </w:pPr>
      <w:r>
        <w:rPr>
          <w:rFonts w:hint="eastAsia"/>
          <w:color w:val="auto"/>
          <w:highlight w:val="none"/>
          <w:lang w:val="en-US" w:eastAsia="zh-CN"/>
        </w:rPr>
        <w:br w:type="page"/>
      </w:r>
    </w:p>
    <w:p w14:paraId="556F37D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bCs/>
          <w:color w:val="auto"/>
          <w:sz w:val="36"/>
          <w:szCs w:val="36"/>
          <w:highlight w:val="none"/>
          <w:lang w:val="en-US" w:eastAsia="zh-CN"/>
        </w:rPr>
      </w:pPr>
      <w:bookmarkStart w:id="62" w:name="_Toc31670"/>
      <w:r>
        <w:rPr>
          <w:rFonts w:hint="eastAsia" w:ascii="方正小标宋简体" w:hAnsi="方正小标宋简体" w:eastAsia="方正小标宋简体" w:cs="方正小标宋简体"/>
          <w:b/>
          <w:bCs/>
          <w:color w:val="auto"/>
          <w:sz w:val="36"/>
          <w:szCs w:val="36"/>
          <w:highlight w:val="none"/>
          <w:lang w:val="en-US" w:eastAsia="zh-CN"/>
        </w:rPr>
        <w:t>随州市科学技术局部门整体支出绩效评价结果</w:t>
      </w:r>
    </w:p>
    <w:p w14:paraId="4FB51F2E">
      <w:pPr>
        <w:keepNext w:val="0"/>
        <w:keepLines w:val="0"/>
        <w:pageBreakBefore w:val="0"/>
        <w:widowControl w:val="0"/>
        <w:kinsoku/>
        <w:wordWrap/>
        <w:overflowPunct/>
        <w:topLinePunct w:val="0"/>
        <w:autoSpaceDE/>
        <w:autoSpaceDN/>
        <w:bidi w:val="0"/>
        <w:adjustRightInd/>
        <w:spacing w:beforeAutospacing="0" w:afterAutospacing="0" w:line="580" w:lineRule="exact"/>
        <w:ind w:firstLine="883" w:firstLineChars="200"/>
        <w:textAlignment w:val="center"/>
        <w:outlineLvl w:val="1"/>
        <w:rPr>
          <w:rFonts w:hint="eastAsia" w:ascii="宋体" w:hAnsi="宋体" w:eastAsia="宋体" w:cs="宋体"/>
          <w:b/>
          <w:bCs/>
          <w:color w:val="auto"/>
          <w:sz w:val="44"/>
          <w:szCs w:val="44"/>
        </w:rPr>
      </w:pPr>
    </w:p>
    <w:p w14:paraId="7ABE87C6">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eastAsia="zh-CN"/>
        </w:rPr>
      </w:pPr>
      <w:r>
        <w:rPr>
          <w:rFonts w:hint="eastAsia" w:ascii="黑体" w:hAnsi="黑体" w:eastAsia="黑体" w:cs="黑体"/>
          <w:color w:val="auto"/>
          <w:kern w:val="0"/>
          <w:sz w:val="32"/>
          <w:highlight w:val="none"/>
          <w:lang w:eastAsia="zh-CN"/>
        </w:rPr>
        <w:t>一、部门职责</w:t>
      </w:r>
      <w:bookmarkEnd w:id="62"/>
    </w:p>
    <w:p w14:paraId="6FE042FE">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3" w:name="_Toc8293"/>
      <w:r>
        <w:rPr>
          <w:rFonts w:hint="eastAsia" w:ascii="仿宋" w:hAnsi="仿宋" w:eastAsia="仿宋" w:cs="仿宋"/>
          <w:color w:val="auto"/>
          <w:kern w:val="0"/>
          <w:sz w:val="32"/>
          <w:highlight w:val="none"/>
          <w:lang w:val="en-US" w:eastAsia="zh-CN"/>
        </w:rPr>
        <w:t>(一)贯彻执行党和国家、省委省政府和市委市政府关于科技创新工作的方针政策和法律法规;组织提出全市科技发展战略和科技促进经济与社会发展战略;研究拟订全市科技发展的规范性文件和科技促进经济社会发展的政策措施，并负责组织实施。</w:t>
      </w:r>
      <w:bookmarkEnd w:id="63"/>
    </w:p>
    <w:p w14:paraId="678AB1BC">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4" w:name="_Toc6928"/>
      <w:r>
        <w:rPr>
          <w:rFonts w:hint="eastAsia" w:ascii="仿宋" w:hAnsi="仿宋" w:eastAsia="仿宋" w:cs="仿宋"/>
          <w:color w:val="auto"/>
          <w:kern w:val="0"/>
          <w:sz w:val="32"/>
          <w:highlight w:val="none"/>
          <w:lang w:val="en-US" w:eastAsia="zh-CN"/>
        </w:rPr>
        <w:t>(二)统筹推进全市科技创新体系建设和科技体制改革。优化科研体系建设，指导科研机构改革发展，推动企业科技创新能力建设，承担推进科技军民融合发展相关工作，推进重大科技决策咨询制度建设。</w:t>
      </w:r>
      <w:bookmarkEnd w:id="64"/>
    </w:p>
    <w:p w14:paraId="67EF8C6E">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5" w:name="_Toc15325"/>
      <w:r>
        <w:rPr>
          <w:rFonts w:hint="eastAsia" w:ascii="仿宋" w:hAnsi="仿宋" w:eastAsia="仿宋" w:cs="仿宋"/>
          <w:color w:val="auto"/>
          <w:kern w:val="0"/>
          <w:sz w:val="32"/>
          <w:highlight w:val="none"/>
          <w:lang w:val="en-US" w:eastAsia="zh-CN"/>
        </w:rPr>
        <w:t>(三)编制市级科技计划，并负责组织实施。会同有关部门提出优化配置科技资源的政策措施建议，推动多元化科技投入体系建设。</w:t>
      </w:r>
      <w:bookmarkEnd w:id="65"/>
    </w:p>
    <w:p w14:paraId="46278C80">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6" w:name="_Toc1595"/>
      <w:r>
        <w:rPr>
          <w:rFonts w:hint="eastAsia" w:ascii="仿宋" w:hAnsi="仿宋" w:eastAsia="仿宋" w:cs="仿宋"/>
          <w:color w:val="auto"/>
          <w:kern w:val="0"/>
          <w:sz w:val="32"/>
          <w:highlight w:val="none"/>
          <w:lang w:val="en-US" w:eastAsia="zh-CN"/>
        </w:rPr>
        <w:t>(四)拟订全市基础研究规划和措施，并组织实施。拟订科技创新基地建设规划，并负责组织实施。</w:t>
      </w:r>
      <w:bookmarkEnd w:id="66"/>
    </w:p>
    <w:p w14:paraId="2CB3B9AF">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7" w:name="_Toc17216"/>
      <w:r>
        <w:rPr>
          <w:rFonts w:hint="eastAsia" w:ascii="仿宋" w:hAnsi="仿宋" w:eastAsia="仿宋" w:cs="仿宋"/>
          <w:color w:val="auto"/>
          <w:kern w:val="0"/>
          <w:sz w:val="32"/>
          <w:highlight w:val="none"/>
          <w:lang w:val="en-US" w:eastAsia="zh-CN"/>
        </w:rPr>
        <w:t>(五)组织拟订全市高新技术发展及产业化、科技促进农业农村和社会发展的政策措施，并负责组织实施。</w:t>
      </w:r>
      <w:bookmarkEnd w:id="67"/>
    </w:p>
    <w:p w14:paraId="561950B3">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68" w:name="_Toc4229"/>
      <w:r>
        <w:rPr>
          <w:rFonts w:hint="eastAsia" w:ascii="仿宋" w:hAnsi="仿宋" w:eastAsia="仿宋" w:cs="仿宋"/>
          <w:color w:val="auto"/>
          <w:kern w:val="0"/>
          <w:sz w:val="32"/>
          <w:highlight w:val="none"/>
          <w:lang w:val="en-US" w:eastAsia="zh-CN"/>
        </w:rPr>
        <w:t>(六)牵头全市技术转移体系建设，拟订科技成果转移转化和</w:t>
      </w:r>
      <w:bookmarkEnd w:id="68"/>
    </w:p>
    <w:p w14:paraId="734C082C">
      <w:pPr>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outlineLvl w:val="1"/>
        <w:rPr>
          <w:rFonts w:hint="eastAsia" w:ascii="仿宋" w:hAnsi="仿宋" w:eastAsia="仿宋" w:cs="仿宋"/>
          <w:color w:val="auto"/>
          <w:kern w:val="0"/>
          <w:sz w:val="32"/>
          <w:highlight w:val="none"/>
          <w:lang w:val="en-US" w:eastAsia="zh-CN"/>
        </w:rPr>
      </w:pPr>
      <w:bookmarkStart w:id="69" w:name="_Toc20904"/>
      <w:r>
        <w:rPr>
          <w:rFonts w:hint="eastAsia" w:ascii="仿宋" w:hAnsi="仿宋" w:eastAsia="仿宋" w:cs="仿宋"/>
          <w:color w:val="auto"/>
          <w:kern w:val="0"/>
          <w:sz w:val="32"/>
          <w:highlight w:val="none"/>
          <w:lang w:val="en-US" w:eastAsia="zh-CN"/>
        </w:rPr>
        <w:t>促进产学研结合的相关政策措施并监督实施。指导科技服务业、</w:t>
      </w:r>
      <w:bookmarkEnd w:id="69"/>
    </w:p>
    <w:p w14:paraId="2B358BFD">
      <w:pPr>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outlineLvl w:val="1"/>
        <w:rPr>
          <w:rFonts w:hint="eastAsia" w:ascii="仿宋" w:hAnsi="仿宋" w:eastAsia="仿宋" w:cs="仿宋"/>
          <w:color w:val="auto"/>
          <w:kern w:val="0"/>
          <w:sz w:val="32"/>
          <w:highlight w:val="none"/>
          <w:lang w:val="en-US" w:eastAsia="zh-CN"/>
        </w:rPr>
      </w:pPr>
      <w:bookmarkStart w:id="70" w:name="_Toc12699"/>
      <w:r>
        <w:rPr>
          <w:rFonts w:hint="eastAsia" w:ascii="仿宋" w:hAnsi="仿宋" w:eastAsia="仿宋" w:cs="仿宋"/>
          <w:color w:val="auto"/>
          <w:kern w:val="0"/>
          <w:sz w:val="32"/>
          <w:highlight w:val="none"/>
          <w:lang w:val="en-US" w:eastAsia="zh-CN"/>
        </w:rPr>
        <w:t>技术市场和科技中介组织发展。</w:t>
      </w:r>
      <w:bookmarkEnd w:id="70"/>
    </w:p>
    <w:p w14:paraId="3C470DCD">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1" w:name="_Toc3362"/>
      <w:r>
        <w:rPr>
          <w:rFonts w:hint="eastAsia" w:ascii="仿宋" w:hAnsi="仿宋" w:eastAsia="仿宋" w:cs="仿宋"/>
          <w:color w:val="auto"/>
          <w:kern w:val="0"/>
          <w:sz w:val="32"/>
          <w:highlight w:val="none"/>
          <w:lang w:val="en-US" w:eastAsia="zh-CN"/>
        </w:rPr>
        <w:t>(七)统筹全市区域科技创新体系建设，指导全市科技资源合理布局、协同创新能力建设，推动科技园区建设。</w:t>
      </w:r>
      <w:bookmarkEnd w:id="71"/>
    </w:p>
    <w:p w14:paraId="2A1630A8">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2" w:name="_Toc6173"/>
      <w:r>
        <w:rPr>
          <w:rFonts w:hint="eastAsia" w:ascii="仿宋" w:hAnsi="仿宋" w:eastAsia="仿宋" w:cs="仿宋"/>
          <w:color w:val="auto"/>
          <w:kern w:val="0"/>
          <w:sz w:val="32"/>
          <w:highlight w:val="none"/>
          <w:lang w:val="en-US" w:eastAsia="zh-CN"/>
        </w:rPr>
        <w:t>(八)负责科技监督评价体系建设和相关科技评估管理，指导科技评价机制改革，统筹科研诚信建设。指导全市科技安全工作。</w:t>
      </w:r>
      <w:bookmarkEnd w:id="72"/>
    </w:p>
    <w:p w14:paraId="279BE7B2">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3" w:name="_Toc12141"/>
      <w:r>
        <w:rPr>
          <w:rFonts w:hint="eastAsia" w:ascii="仿宋" w:hAnsi="仿宋" w:eastAsia="仿宋" w:cs="仿宋"/>
          <w:color w:val="auto"/>
          <w:kern w:val="0"/>
          <w:sz w:val="32"/>
          <w:highlight w:val="none"/>
          <w:lang w:val="en-US" w:eastAsia="zh-CN"/>
        </w:rPr>
        <w:t>(九)组织开展全市对外科技合作工作。负责引进国外智力工作，建立外国专家联系服务机制。会同有关部门拟订全市科技人才队伍建设规划和措施，推动科技创新人才队伍建设。拟订全市科学普及和科学传播的规划和措施。</w:t>
      </w:r>
      <w:bookmarkEnd w:id="73"/>
    </w:p>
    <w:p w14:paraId="5BDAB755">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4" w:name="_Toc19944"/>
      <w:r>
        <w:rPr>
          <w:rFonts w:hint="eastAsia" w:ascii="仿宋" w:hAnsi="仿宋" w:eastAsia="仿宋" w:cs="仿宋"/>
          <w:color w:val="auto"/>
          <w:kern w:val="0"/>
          <w:sz w:val="32"/>
          <w:highlight w:val="none"/>
          <w:lang w:val="en-US" w:eastAsia="zh-CN"/>
        </w:rPr>
        <w:t>(十)负责科技奖励的推荐和申报工作。</w:t>
      </w:r>
      <w:bookmarkEnd w:id="74"/>
    </w:p>
    <w:p w14:paraId="4F9A2DB8">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5" w:name="_Toc23972"/>
      <w:r>
        <w:rPr>
          <w:rFonts w:hint="eastAsia" w:ascii="仿宋" w:hAnsi="仿宋" w:eastAsia="仿宋" w:cs="仿宋"/>
          <w:color w:val="auto"/>
          <w:kern w:val="0"/>
          <w:sz w:val="32"/>
          <w:highlight w:val="none"/>
          <w:lang w:val="en-US" w:eastAsia="zh-CN"/>
        </w:rPr>
        <w:t>(十一)负责拟订市校合作政策措施，促进产学研深度融合。</w:t>
      </w:r>
      <w:bookmarkEnd w:id="75"/>
    </w:p>
    <w:p w14:paraId="3D4E54B0">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6" w:name="_Toc25494"/>
      <w:r>
        <w:rPr>
          <w:rFonts w:hint="eastAsia" w:ascii="仿宋" w:hAnsi="仿宋" w:eastAsia="仿宋" w:cs="仿宋"/>
          <w:color w:val="auto"/>
          <w:kern w:val="0"/>
          <w:sz w:val="32"/>
          <w:highlight w:val="none"/>
          <w:lang w:val="en-US" w:eastAsia="zh-CN"/>
        </w:rPr>
        <w:t>(十二)完成上级交办的其他任务。</w:t>
      </w:r>
      <w:bookmarkEnd w:id="76"/>
    </w:p>
    <w:p w14:paraId="78013C34">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val="en-US" w:eastAsia="zh-CN"/>
        </w:rPr>
      </w:pPr>
      <w:bookmarkStart w:id="77" w:name="_Toc3646"/>
      <w:r>
        <w:rPr>
          <w:rFonts w:hint="eastAsia" w:ascii="黑体" w:hAnsi="黑体" w:eastAsia="黑体" w:cs="黑体"/>
          <w:color w:val="auto"/>
          <w:kern w:val="0"/>
          <w:sz w:val="32"/>
          <w:highlight w:val="none"/>
          <w:lang w:val="en-US" w:eastAsia="zh-CN"/>
        </w:rPr>
        <w:t>二、人员情况</w:t>
      </w:r>
      <w:bookmarkEnd w:id="77"/>
    </w:p>
    <w:p w14:paraId="1B524E74">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8" w:name="_Toc1276"/>
      <w:r>
        <w:rPr>
          <w:rFonts w:hint="eastAsia" w:ascii="仿宋" w:hAnsi="仿宋" w:eastAsia="仿宋" w:cs="仿宋"/>
          <w:color w:val="auto"/>
          <w:kern w:val="0"/>
          <w:sz w:val="32"/>
          <w:highlight w:val="none"/>
          <w:lang w:val="en-US" w:eastAsia="zh-CN"/>
        </w:rPr>
        <w:t>1.市科技局定编人数为16人，其中行政编制15人，工勤编1人，截至2024年12月31日，现实有在职人员16人，其中：行政人员15人，工勤人员1人；市科技局退休人员共有7人。</w:t>
      </w:r>
      <w:bookmarkEnd w:id="78"/>
    </w:p>
    <w:p w14:paraId="10F1E3A9">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79" w:name="_Toc30730"/>
      <w:r>
        <w:rPr>
          <w:rFonts w:hint="eastAsia" w:ascii="仿宋" w:hAnsi="仿宋" w:eastAsia="仿宋" w:cs="仿宋"/>
          <w:color w:val="auto"/>
          <w:kern w:val="0"/>
          <w:sz w:val="32"/>
          <w:highlight w:val="none"/>
          <w:lang w:val="en-US" w:eastAsia="zh-CN"/>
        </w:rPr>
        <w:t>2.市科创中心核定人员编制4名。实有在职人员3人，其中管理岗1人，专技岗2人。</w:t>
      </w:r>
      <w:bookmarkEnd w:id="79"/>
    </w:p>
    <w:p w14:paraId="75F0F3A2">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eastAsia="zh-CN"/>
        </w:rPr>
      </w:pPr>
      <w:bookmarkStart w:id="80" w:name="_Toc9914"/>
      <w:r>
        <w:rPr>
          <w:rFonts w:hint="eastAsia" w:ascii="黑体" w:hAnsi="黑体" w:eastAsia="黑体" w:cs="黑体"/>
          <w:color w:val="auto"/>
          <w:kern w:val="0"/>
          <w:sz w:val="32"/>
          <w:highlight w:val="none"/>
          <w:lang w:eastAsia="zh-CN"/>
        </w:rPr>
        <w:t>三、部门整体收支情况</w:t>
      </w:r>
      <w:bookmarkEnd w:id="80"/>
    </w:p>
    <w:p w14:paraId="4734B719">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楷体" w:hAnsi="楷体" w:eastAsia="楷体" w:cs="楷体"/>
          <w:color w:val="auto"/>
          <w:kern w:val="0"/>
          <w:sz w:val="32"/>
          <w:highlight w:val="none"/>
          <w:lang w:eastAsia="zh-CN"/>
        </w:rPr>
      </w:pPr>
      <w:bookmarkStart w:id="81" w:name="_Toc6672"/>
      <w:r>
        <w:rPr>
          <w:rFonts w:hint="eastAsia" w:ascii="楷体" w:hAnsi="楷体" w:eastAsia="楷体" w:cs="楷体"/>
          <w:color w:val="auto"/>
          <w:kern w:val="0"/>
          <w:sz w:val="32"/>
          <w:highlight w:val="none"/>
          <w:lang w:eastAsia="zh-CN"/>
        </w:rPr>
        <w:t>（</w:t>
      </w:r>
      <w:r>
        <w:rPr>
          <w:rFonts w:hint="eastAsia" w:ascii="楷体" w:hAnsi="楷体" w:eastAsia="楷体" w:cs="楷体"/>
          <w:color w:val="auto"/>
          <w:kern w:val="0"/>
          <w:sz w:val="32"/>
          <w:highlight w:val="none"/>
          <w:lang w:val="en-US" w:eastAsia="zh-CN"/>
        </w:rPr>
        <w:t>一</w:t>
      </w:r>
      <w:r>
        <w:rPr>
          <w:rFonts w:hint="eastAsia" w:ascii="楷体" w:hAnsi="楷体" w:eastAsia="楷体" w:cs="楷体"/>
          <w:color w:val="auto"/>
          <w:kern w:val="0"/>
          <w:sz w:val="32"/>
          <w:highlight w:val="none"/>
          <w:lang w:eastAsia="zh-CN"/>
        </w:rPr>
        <w:t>）收入支出情况说明</w:t>
      </w:r>
      <w:bookmarkEnd w:id="81"/>
    </w:p>
    <w:p w14:paraId="4C5B5A6F">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color w:val="auto"/>
          <w:kern w:val="0"/>
          <w:sz w:val="32"/>
          <w:highlight w:val="none"/>
          <w:lang w:eastAsia="zh-CN"/>
        </w:rPr>
      </w:pPr>
      <w:r>
        <w:rPr>
          <w:rFonts w:hint="eastAsia" w:ascii="仿宋" w:hAnsi="仿宋" w:eastAsia="仿宋" w:cs="仿宋"/>
          <w:color w:val="auto"/>
          <w:kern w:val="0"/>
          <w:sz w:val="32"/>
          <w:highlight w:val="none"/>
          <w:lang w:eastAsia="zh-CN"/>
        </w:rPr>
        <w:t>2024年度部门预算收入</w:t>
      </w:r>
      <w:r>
        <w:rPr>
          <w:rFonts w:hint="eastAsia" w:ascii="仿宋" w:hAnsi="仿宋" w:eastAsia="仿宋" w:cs="仿宋"/>
          <w:color w:val="auto"/>
          <w:kern w:val="0"/>
          <w:sz w:val="32"/>
          <w:highlight w:val="none"/>
          <w:lang w:val="en-US" w:eastAsia="zh-CN"/>
        </w:rPr>
        <w:t>635.81</w:t>
      </w:r>
      <w:r>
        <w:rPr>
          <w:rFonts w:hint="eastAsia" w:ascii="仿宋" w:hAnsi="仿宋" w:eastAsia="仿宋" w:cs="仿宋"/>
          <w:color w:val="auto"/>
          <w:kern w:val="0"/>
          <w:sz w:val="32"/>
          <w:highlight w:val="none"/>
          <w:lang w:eastAsia="zh-CN"/>
        </w:rPr>
        <w:t>万元，均为一般公共预算财政拨款，收入预算较上年预算安排1</w:t>
      </w:r>
      <w:r>
        <w:rPr>
          <w:rFonts w:hint="eastAsia" w:ascii="仿宋" w:hAnsi="仿宋" w:eastAsia="仿宋" w:cs="仿宋"/>
          <w:color w:val="auto"/>
          <w:kern w:val="0"/>
          <w:sz w:val="32"/>
          <w:highlight w:val="none"/>
          <w:lang w:val="en-US" w:eastAsia="zh-CN"/>
        </w:rPr>
        <w:t>,</w:t>
      </w:r>
      <w:r>
        <w:rPr>
          <w:rFonts w:hint="eastAsia" w:ascii="仿宋" w:hAnsi="仿宋" w:eastAsia="仿宋" w:cs="仿宋"/>
          <w:color w:val="auto"/>
          <w:kern w:val="0"/>
          <w:sz w:val="32"/>
          <w:highlight w:val="none"/>
          <w:lang w:eastAsia="zh-CN"/>
        </w:rPr>
        <w:t>411.24万元减少775.43万元，减少54.9</w:t>
      </w:r>
      <w:r>
        <w:rPr>
          <w:rFonts w:hint="eastAsia" w:ascii="仿宋" w:hAnsi="仿宋" w:eastAsia="仿宋" w:cs="仿宋"/>
          <w:color w:val="auto"/>
          <w:kern w:val="0"/>
          <w:sz w:val="32"/>
          <w:highlight w:val="none"/>
          <w:lang w:val="en-US" w:eastAsia="zh-CN"/>
        </w:rPr>
        <w:t>5</w:t>
      </w:r>
      <w:r>
        <w:rPr>
          <w:rFonts w:hint="eastAsia" w:ascii="仿宋" w:hAnsi="仿宋" w:eastAsia="仿宋" w:cs="仿宋"/>
          <w:color w:val="auto"/>
          <w:kern w:val="0"/>
          <w:sz w:val="32"/>
          <w:highlight w:val="none"/>
          <w:lang w:eastAsia="zh-CN"/>
        </w:rPr>
        <w:t>%。</w:t>
      </w:r>
    </w:p>
    <w:p w14:paraId="081D3C0C">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color w:val="auto"/>
          <w:kern w:val="0"/>
          <w:sz w:val="32"/>
          <w:highlight w:val="none"/>
          <w:lang w:eastAsia="zh-CN"/>
        </w:rPr>
      </w:pPr>
      <w:r>
        <w:rPr>
          <w:rFonts w:hint="eastAsia" w:ascii="仿宋" w:hAnsi="仿宋" w:eastAsia="仿宋" w:cs="仿宋"/>
          <w:color w:val="auto"/>
          <w:kern w:val="0"/>
          <w:sz w:val="32"/>
          <w:highlight w:val="none"/>
          <w:lang w:eastAsia="zh-CN"/>
        </w:rPr>
        <w:t>2024年度部门预算支出</w:t>
      </w:r>
      <w:r>
        <w:rPr>
          <w:rFonts w:hint="eastAsia" w:ascii="仿宋" w:hAnsi="仿宋" w:eastAsia="仿宋" w:cs="仿宋"/>
          <w:color w:val="auto"/>
          <w:kern w:val="0"/>
          <w:sz w:val="32"/>
          <w:highlight w:val="none"/>
          <w:lang w:val="en-US" w:eastAsia="zh-CN"/>
        </w:rPr>
        <w:t>635.81</w:t>
      </w:r>
      <w:r>
        <w:rPr>
          <w:rFonts w:hint="eastAsia" w:ascii="仿宋" w:hAnsi="仿宋" w:eastAsia="仿宋" w:cs="仿宋"/>
          <w:color w:val="auto"/>
          <w:kern w:val="0"/>
          <w:sz w:val="32"/>
          <w:highlight w:val="none"/>
          <w:lang w:eastAsia="zh-CN"/>
        </w:rPr>
        <w:t>万元，其中：人员经费</w:t>
      </w:r>
      <w:r>
        <w:rPr>
          <w:rFonts w:hint="eastAsia" w:ascii="仿宋" w:hAnsi="仿宋" w:eastAsia="仿宋" w:cs="仿宋"/>
          <w:color w:val="auto"/>
          <w:kern w:val="0"/>
          <w:sz w:val="32"/>
          <w:highlight w:val="none"/>
          <w:lang w:val="en-US" w:eastAsia="zh-CN"/>
        </w:rPr>
        <w:t>399.14万元，</w:t>
      </w:r>
      <w:r>
        <w:rPr>
          <w:rFonts w:hint="eastAsia" w:ascii="仿宋" w:hAnsi="仿宋" w:eastAsia="仿宋" w:cs="仿宋"/>
          <w:color w:val="auto"/>
          <w:kern w:val="0"/>
          <w:sz w:val="32"/>
          <w:highlight w:val="none"/>
          <w:lang w:eastAsia="zh-CN"/>
        </w:rPr>
        <w:t>公用经费</w:t>
      </w:r>
      <w:r>
        <w:rPr>
          <w:rFonts w:hint="eastAsia" w:ascii="仿宋" w:hAnsi="仿宋" w:eastAsia="仿宋" w:cs="仿宋"/>
          <w:color w:val="auto"/>
          <w:kern w:val="0"/>
          <w:sz w:val="32"/>
          <w:highlight w:val="none"/>
          <w:lang w:val="en-US" w:eastAsia="zh-CN"/>
        </w:rPr>
        <w:t>46.67万元，一般公共预算项目支出190.00万元</w:t>
      </w:r>
      <w:r>
        <w:rPr>
          <w:rFonts w:hint="eastAsia" w:ascii="仿宋" w:hAnsi="仿宋" w:eastAsia="仿宋" w:cs="仿宋"/>
          <w:color w:val="auto"/>
          <w:kern w:val="0"/>
          <w:sz w:val="32"/>
          <w:highlight w:val="none"/>
          <w:lang w:eastAsia="zh-CN"/>
        </w:rPr>
        <w:t>。</w:t>
      </w:r>
    </w:p>
    <w:p w14:paraId="170233D0">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rPr>
          <w:rFonts w:hint="default" w:ascii="仿宋" w:hAnsi="仿宋" w:eastAsia="仿宋" w:cs="仿宋"/>
          <w:color w:val="auto"/>
          <w:kern w:val="0"/>
          <w:sz w:val="32"/>
          <w:highlight w:val="none"/>
          <w:lang w:val="en-US" w:eastAsia="zh-CN"/>
        </w:rPr>
      </w:pPr>
      <w:r>
        <w:rPr>
          <w:rFonts w:hint="eastAsia" w:ascii="仿宋" w:hAnsi="仿宋" w:eastAsia="仿宋" w:cs="仿宋"/>
          <w:color w:val="auto"/>
          <w:kern w:val="0"/>
          <w:sz w:val="32"/>
          <w:highlight w:val="none"/>
          <w:lang w:val="en-US" w:eastAsia="zh-CN"/>
        </w:rPr>
        <w:t>2024年度实际预算收入668.06万元，其中人员经费400.25万元，公用经费46.67万元，项目经费186.14万元以及35.00万元的炎帝人才支持计划经费的预算调剂</w:t>
      </w:r>
      <w:r>
        <w:rPr>
          <w:rFonts w:hint="eastAsia" w:ascii="仿宋" w:hAnsi="仿宋" w:eastAsia="仿宋" w:cs="仿宋"/>
          <w:color w:val="auto"/>
          <w:kern w:val="0"/>
          <w:sz w:val="32"/>
          <w:highlight w:val="none"/>
          <w:lang w:eastAsia="zh-CN"/>
        </w:rPr>
        <w:t>。</w:t>
      </w:r>
    </w:p>
    <w:p w14:paraId="1950D4A5">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color w:val="auto"/>
          <w:kern w:val="0"/>
          <w:sz w:val="32"/>
          <w:highlight w:val="none"/>
          <w:lang w:val="en-US" w:eastAsia="zh-CN"/>
        </w:rPr>
      </w:pPr>
      <w:bookmarkStart w:id="82" w:name="_Toc15630"/>
      <w:r>
        <w:rPr>
          <w:rFonts w:hint="eastAsia" w:ascii="仿宋" w:hAnsi="仿宋" w:eastAsia="仿宋" w:cs="仿宋"/>
          <w:color w:val="auto"/>
          <w:kern w:val="0"/>
          <w:sz w:val="32"/>
          <w:highlight w:val="none"/>
          <w:lang w:val="en-US" w:eastAsia="zh-CN"/>
        </w:rPr>
        <w:t>2024年度实际预算支出635.03万元，其中：基本支出462.68万元，项目支出172.35万元。</w:t>
      </w:r>
      <w:bookmarkEnd w:id="82"/>
    </w:p>
    <w:p w14:paraId="5646729B">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楷体" w:hAnsi="楷体" w:eastAsia="楷体" w:cs="楷体"/>
          <w:color w:val="auto"/>
          <w:kern w:val="0"/>
          <w:sz w:val="32"/>
          <w:highlight w:val="none"/>
          <w:lang w:eastAsia="zh-CN"/>
        </w:rPr>
      </w:pPr>
      <w:bookmarkStart w:id="83" w:name="_Toc11137"/>
      <w:r>
        <w:rPr>
          <w:rFonts w:hint="eastAsia" w:ascii="楷体" w:hAnsi="楷体" w:eastAsia="楷体" w:cs="楷体"/>
          <w:color w:val="auto"/>
          <w:kern w:val="0"/>
          <w:sz w:val="32"/>
          <w:highlight w:val="none"/>
          <w:lang w:eastAsia="zh-CN"/>
        </w:rPr>
        <w:t>（</w:t>
      </w:r>
      <w:r>
        <w:rPr>
          <w:rFonts w:hint="eastAsia" w:ascii="楷体" w:hAnsi="楷体" w:eastAsia="楷体" w:cs="楷体"/>
          <w:color w:val="auto"/>
          <w:kern w:val="0"/>
          <w:sz w:val="32"/>
          <w:highlight w:val="none"/>
          <w:lang w:val="en-US" w:eastAsia="zh-CN"/>
        </w:rPr>
        <w:t>二</w:t>
      </w:r>
      <w:r>
        <w:rPr>
          <w:rFonts w:hint="eastAsia" w:ascii="楷体" w:hAnsi="楷体" w:eastAsia="楷体" w:cs="楷体"/>
          <w:color w:val="auto"/>
          <w:kern w:val="0"/>
          <w:sz w:val="32"/>
          <w:highlight w:val="none"/>
          <w:lang w:eastAsia="zh-CN"/>
        </w:rPr>
        <w:t>）部门项目实施情况</w:t>
      </w:r>
      <w:bookmarkEnd w:id="83"/>
    </w:p>
    <w:p w14:paraId="60E2F97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center"/>
        <w:outlineLvl w:val="9"/>
        <w:rPr>
          <w:rFonts w:hint="eastAsia" w:ascii="仿宋" w:hAnsi="仿宋" w:eastAsia="仿宋" w:cs="仿宋"/>
          <w:color w:val="auto"/>
          <w:sz w:val="32"/>
          <w:szCs w:val="32"/>
          <w:highlight w:val="none"/>
          <w:lang w:val="en-US"/>
        </w:rPr>
      </w:pPr>
      <w:r>
        <w:rPr>
          <w:rFonts w:hint="eastAsia" w:ascii="仿宋" w:hAnsi="仿宋" w:eastAsia="仿宋" w:cs="仿宋"/>
          <w:color w:val="auto"/>
          <w:kern w:val="0"/>
          <w:sz w:val="32"/>
          <w:highlight w:val="none"/>
          <w:lang w:eastAsia="zh-CN"/>
        </w:rPr>
        <w:t>随州市科学技术局部门年初预算项目共</w:t>
      </w:r>
      <w:r>
        <w:rPr>
          <w:rFonts w:hint="eastAsia" w:ascii="仿宋" w:hAnsi="仿宋" w:eastAsia="仿宋" w:cs="仿宋"/>
          <w:color w:val="auto"/>
          <w:kern w:val="0"/>
          <w:sz w:val="32"/>
          <w:highlight w:val="none"/>
          <w:lang w:val="en-US" w:eastAsia="zh-CN"/>
        </w:rPr>
        <w:t>1个，科技事业费金额为190.00万元，2024年为深入实施创新驱动发展战略，推动科技创新工作落地见效，服务科技成果转化、市校合作等各项科技工作，共计支出科技事业项目经费172.35万元。其中：省专汽研究院运营经费100.00万元，科技项目服务经费72.35万元。预算调剂炎帝人才支持计划项目经费35.00万元，实际使用35.00万元用于各企业炎帝人才支持计划科技副总奖补。</w:t>
      </w:r>
    </w:p>
    <w:p w14:paraId="3B38368F">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eastAsia="zh-CN"/>
        </w:rPr>
      </w:pPr>
      <w:bookmarkStart w:id="84" w:name="_Toc11921"/>
      <w:bookmarkStart w:id="85" w:name="_Toc397067806"/>
      <w:r>
        <w:rPr>
          <w:rFonts w:hint="eastAsia" w:ascii="黑体" w:hAnsi="黑体" w:eastAsia="黑体" w:cs="黑体"/>
          <w:color w:val="auto"/>
          <w:kern w:val="0"/>
          <w:sz w:val="32"/>
          <w:highlight w:val="none"/>
          <w:lang w:eastAsia="zh-CN"/>
        </w:rPr>
        <w:t>四、绩效评价工作开展情况</w:t>
      </w:r>
      <w:bookmarkEnd w:id="84"/>
    </w:p>
    <w:p w14:paraId="2BE1EC10">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color w:val="auto"/>
          <w:sz w:val="32"/>
          <w:szCs w:val="32"/>
        </w:rPr>
      </w:pPr>
      <w:bookmarkStart w:id="86" w:name="_Toc437867678"/>
      <w:bookmarkStart w:id="87" w:name="_Toc16097"/>
      <w:bookmarkStart w:id="88" w:name="_Toc31770"/>
      <w:bookmarkStart w:id="89" w:name="_Toc21460"/>
      <w:bookmarkStart w:id="90" w:name="_Toc76222714"/>
      <w:bookmarkStart w:id="91" w:name="_Toc26898"/>
      <w:bookmarkStart w:id="92" w:name="_Toc14882"/>
      <w:bookmarkStart w:id="93" w:name="_Toc8684"/>
      <w:bookmarkStart w:id="94" w:name="_Toc26205"/>
      <w:bookmarkStart w:id="95" w:name="_Toc19269"/>
      <w:r>
        <w:rPr>
          <w:rFonts w:hint="eastAsia" w:ascii="楷体" w:hAnsi="楷体" w:eastAsia="楷体" w:cs="楷体"/>
          <w:color w:val="auto"/>
          <w:sz w:val="32"/>
          <w:szCs w:val="32"/>
          <w:lang w:eastAsia="zh-CN"/>
        </w:rPr>
        <w:t>（一）</w:t>
      </w:r>
      <w:r>
        <w:rPr>
          <w:rFonts w:hint="eastAsia" w:ascii="楷体" w:hAnsi="楷体" w:eastAsia="楷体" w:cs="楷体"/>
          <w:color w:val="auto"/>
          <w:sz w:val="32"/>
          <w:szCs w:val="32"/>
        </w:rPr>
        <w:t>绩效评价目的</w:t>
      </w:r>
      <w:bookmarkEnd w:id="86"/>
      <w:bookmarkEnd w:id="87"/>
      <w:r>
        <w:rPr>
          <w:rFonts w:hint="eastAsia" w:ascii="楷体" w:hAnsi="楷体" w:eastAsia="楷体" w:cs="楷体"/>
          <w:color w:val="auto"/>
          <w:sz w:val="32"/>
          <w:szCs w:val="32"/>
        </w:rPr>
        <w:t>、对象和范围</w:t>
      </w:r>
      <w:bookmarkEnd w:id="88"/>
      <w:bookmarkEnd w:id="89"/>
      <w:bookmarkEnd w:id="90"/>
      <w:bookmarkEnd w:id="91"/>
      <w:bookmarkEnd w:id="92"/>
      <w:bookmarkEnd w:id="93"/>
      <w:bookmarkEnd w:id="94"/>
      <w:bookmarkEnd w:id="95"/>
    </w:p>
    <w:p w14:paraId="48234B8D">
      <w:pPr>
        <w:pStyle w:val="13"/>
        <w:pageBreakBefore w:val="0"/>
        <w:widowControl w:val="0"/>
        <w:kinsoku/>
        <w:wordWrap/>
        <w:overflowPunct/>
        <w:topLinePunct w:val="0"/>
        <w:autoSpaceDE/>
        <w:autoSpaceDN/>
        <w:bidi w:val="0"/>
        <w:adjustRightInd/>
        <w:spacing w:line="580" w:lineRule="exact"/>
        <w:ind w:firstLine="632"/>
        <w:textAlignment w:val="auto"/>
        <w:rPr>
          <w:rFonts w:hint="eastAsia" w:ascii="仿宋" w:hAnsi="仿宋" w:eastAsia="仿宋" w:cs="仿宋"/>
          <w:snapToGrid w:val="0"/>
          <w:color w:val="auto"/>
          <w:sz w:val="32"/>
          <w:szCs w:val="32"/>
        </w:rPr>
      </w:pPr>
      <w:r>
        <w:rPr>
          <w:rFonts w:hint="eastAsia" w:eastAsia="仿宋" w:cs="仿宋"/>
          <w:snapToGrid w:val="0"/>
          <w:color w:val="auto"/>
          <w:sz w:val="32"/>
          <w:szCs w:val="32"/>
          <w:lang w:val="en-US" w:eastAsia="zh-CN"/>
        </w:rPr>
        <w:t>1.</w:t>
      </w:r>
      <w:r>
        <w:rPr>
          <w:rFonts w:hint="eastAsia" w:ascii="仿宋" w:hAnsi="仿宋" w:eastAsia="仿宋" w:cs="仿宋"/>
          <w:snapToGrid w:val="0"/>
          <w:color w:val="auto"/>
          <w:sz w:val="32"/>
          <w:szCs w:val="32"/>
        </w:rPr>
        <w:t>评价目的</w:t>
      </w:r>
    </w:p>
    <w:p w14:paraId="51CEFE14">
      <w:pPr>
        <w:pStyle w:val="13"/>
        <w:pageBreakBefore w:val="0"/>
        <w:widowControl w:val="0"/>
        <w:kinsoku/>
        <w:wordWrap/>
        <w:overflowPunct/>
        <w:topLinePunct w:val="0"/>
        <w:autoSpaceDE/>
        <w:autoSpaceDN/>
        <w:bidi w:val="0"/>
        <w:adjustRightInd/>
        <w:spacing w:line="580" w:lineRule="exact"/>
        <w:ind w:firstLine="632"/>
        <w:textAlignment w:val="auto"/>
        <w:rPr>
          <w:rFonts w:hint="eastAsia" w:ascii="仿宋" w:hAnsi="仿宋" w:eastAsia="仿宋" w:cs="仿宋"/>
          <w:snapToGrid w:val="0"/>
          <w:color w:val="auto"/>
          <w:sz w:val="32"/>
          <w:szCs w:val="32"/>
        </w:rPr>
      </w:pPr>
      <w:r>
        <w:rPr>
          <w:rFonts w:hint="eastAsia" w:eastAsia="仿宋" w:cs="仿宋"/>
          <w:snapToGrid w:val="0"/>
          <w:color w:val="auto"/>
          <w:sz w:val="32"/>
          <w:szCs w:val="32"/>
          <w:lang w:eastAsia="zh-CN"/>
        </w:rPr>
        <w:t>随州市科学技术局</w:t>
      </w:r>
      <w:r>
        <w:rPr>
          <w:rFonts w:hint="eastAsia" w:eastAsia="仿宋" w:cs="仿宋"/>
          <w:snapToGrid w:val="0"/>
          <w:color w:val="auto"/>
          <w:sz w:val="32"/>
          <w:szCs w:val="32"/>
          <w:lang w:val="en-US" w:eastAsia="zh-CN"/>
        </w:rPr>
        <w:t>2024年</w:t>
      </w:r>
      <w:r>
        <w:rPr>
          <w:rFonts w:hint="eastAsia" w:eastAsia="仿宋" w:cs="仿宋"/>
          <w:snapToGrid w:val="0"/>
          <w:color w:val="auto"/>
          <w:sz w:val="32"/>
          <w:szCs w:val="32"/>
          <w:lang w:eastAsia="zh-CN"/>
        </w:rPr>
        <w:t>整体</w:t>
      </w:r>
      <w:r>
        <w:rPr>
          <w:rFonts w:hint="eastAsia" w:ascii="仿宋" w:hAnsi="仿宋" w:eastAsia="仿宋" w:cs="仿宋"/>
          <w:snapToGrid w:val="0"/>
          <w:color w:val="auto"/>
          <w:sz w:val="32"/>
          <w:szCs w:val="32"/>
        </w:rPr>
        <w:t>绩效评价目的主要包括以下两个方面：一是通过开展</w:t>
      </w:r>
      <w:r>
        <w:rPr>
          <w:rFonts w:hint="eastAsia" w:eastAsia="仿宋" w:cs="仿宋"/>
          <w:snapToGrid w:val="0"/>
          <w:color w:val="auto"/>
          <w:sz w:val="32"/>
          <w:szCs w:val="32"/>
          <w:lang w:eastAsia="zh-CN"/>
        </w:rPr>
        <w:t>整体</w:t>
      </w:r>
      <w:r>
        <w:rPr>
          <w:rFonts w:hint="eastAsia" w:ascii="仿宋" w:hAnsi="仿宋" w:eastAsia="仿宋" w:cs="仿宋"/>
          <w:snapToGrid w:val="0"/>
          <w:color w:val="auto"/>
          <w:sz w:val="32"/>
          <w:szCs w:val="32"/>
        </w:rPr>
        <w:t>绩效评价工作，完善财政预算编制方法，为以后年度</w:t>
      </w:r>
      <w:r>
        <w:rPr>
          <w:rFonts w:hint="eastAsia" w:eastAsia="仿宋" w:cs="仿宋"/>
          <w:snapToGrid w:val="0"/>
          <w:color w:val="auto"/>
          <w:sz w:val="32"/>
          <w:szCs w:val="32"/>
          <w:lang w:eastAsia="zh-CN"/>
        </w:rPr>
        <w:t>预算</w:t>
      </w:r>
      <w:r>
        <w:rPr>
          <w:rFonts w:hint="eastAsia" w:ascii="仿宋" w:hAnsi="仿宋" w:eastAsia="仿宋" w:cs="仿宋"/>
          <w:snapToGrid w:val="0"/>
          <w:color w:val="auto"/>
          <w:sz w:val="32"/>
          <w:szCs w:val="32"/>
        </w:rPr>
        <w:t>资金绩效目标审核、预算安排提供决策依据；通过绩效评价使预算单位树立绩效意识、成本意识和责任意识，提高财政项目资金的使用效益和管理水平；二是通过评价了解</w:t>
      </w:r>
      <w:r>
        <w:rPr>
          <w:rFonts w:hint="eastAsia" w:ascii="仿宋" w:hAnsi="仿宋" w:eastAsia="仿宋" w:cs="仿宋"/>
          <w:snapToGrid w:val="0"/>
          <w:color w:val="auto"/>
          <w:sz w:val="32"/>
          <w:szCs w:val="32"/>
          <w:lang w:eastAsia="zh-CN"/>
        </w:rPr>
        <w:t>部门</w:t>
      </w:r>
      <w:r>
        <w:rPr>
          <w:rFonts w:hint="eastAsia" w:ascii="仿宋" w:hAnsi="仿宋" w:eastAsia="仿宋" w:cs="仿宋"/>
          <w:snapToGrid w:val="0"/>
          <w:color w:val="auto"/>
          <w:sz w:val="32"/>
          <w:szCs w:val="32"/>
        </w:rPr>
        <w:t>资金使用情况、财务管理状况；为加强管理所制定的相关制度及采取措施的保障状况</w:t>
      </w:r>
      <w:r>
        <w:rPr>
          <w:rFonts w:hint="eastAsia" w:eastAsia="仿宋" w:cs="仿宋"/>
          <w:snapToGrid w:val="0"/>
          <w:color w:val="auto"/>
          <w:sz w:val="32"/>
          <w:szCs w:val="32"/>
          <w:lang w:eastAsia="zh-CN"/>
        </w:rPr>
        <w:t>，</w:t>
      </w:r>
      <w:r>
        <w:rPr>
          <w:rFonts w:hint="eastAsia" w:ascii="仿宋" w:hAnsi="仿宋" w:eastAsia="仿宋" w:cs="仿宋"/>
          <w:snapToGrid w:val="0"/>
          <w:color w:val="auto"/>
          <w:sz w:val="32"/>
          <w:szCs w:val="32"/>
        </w:rPr>
        <w:t>预定产出和效果绩效目标的实现程度</w:t>
      </w:r>
      <w:r>
        <w:rPr>
          <w:rFonts w:hint="eastAsia" w:ascii="仿宋" w:hAnsi="仿宋" w:eastAsia="仿宋" w:cs="仿宋"/>
          <w:snapToGrid w:val="0"/>
          <w:color w:val="auto"/>
          <w:sz w:val="32"/>
          <w:szCs w:val="32"/>
          <w:lang w:eastAsia="zh-CN"/>
        </w:rPr>
        <w:t>，</w:t>
      </w:r>
      <w:r>
        <w:rPr>
          <w:rFonts w:hint="eastAsia" w:ascii="仿宋" w:hAnsi="仿宋" w:eastAsia="仿宋" w:cs="仿宋"/>
          <w:snapToGrid w:val="0"/>
          <w:color w:val="auto"/>
          <w:sz w:val="32"/>
          <w:szCs w:val="32"/>
        </w:rPr>
        <w:t>为财政部门加强项目管理提供参考依据。</w:t>
      </w:r>
    </w:p>
    <w:p w14:paraId="60A1F75E">
      <w:pPr>
        <w:pStyle w:val="13"/>
        <w:pageBreakBefore w:val="0"/>
        <w:widowControl w:val="0"/>
        <w:kinsoku/>
        <w:wordWrap/>
        <w:overflowPunct/>
        <w:topLinePunct w:val="0"/>
        <w:autoSpaceDE/>
        <w:autoSpaceDN/>
        <w:bidi w:val="0"/>
        <w:adjustRightInd/>
        <w:spacing w:line="580" w:lineRule="exact"/>
        <w:ind w:firstLine="632"/>
        <w:textAlignment w:val="auto"/>
        <w:rPr>
          <w:rFonts w:hint="eastAsia" w:ascii="仿宋" w:hAnsi="仿宋" w:eastAsia="仿宋" w:cs="仿宋"/>
          <w:snapToGrid w:val="0"/>
          <w:color w:val="auto"/>
          <w:sz w:val="32"/>
          <w:szCs w:val="32"/>
        </w:rPr>
      </w:pPr>
      <w:r>
        <w:rPr>
          <w:rFonts w:hint="eastAsia" w:eastAsia="仿宋" w:cs="仿宋"/>
          <w:snapToGrid w:val="0"/>
          <w:color w:val="auto"/>
          <w:sz w:val="32"/>
          <w:szCs w:val="32"/>
          <w:lang w:val="en-US" w:eastAsia="zh-CN"/>
        </w:rPr>
        <w:t>2.</w:t>
      </w:r>
      <w:r>
        <w:rPr>
          <w:rFonts w:hint="eastAsia" w:ascii="仿宋" w:hAnsi="仿宋" w:eastAsia="仿宋" w:cs="仿宋"/>
          <w:snapToGrid w:val="0"/>
          <w:color w:val="auto"/>
          <w:sz w:val="32"/>
          <w:szCs w:val="32"/>
        </w:rPr>
        <w:t>绩效评价对象</w:t>
      </w:r>
    </w:p>
    <w:p w14:paraId="4F6E0302">
      <w:pPr>
        <w:pStyle w:val="13"/>
        <w:pageBreakBefore w:val="0"/>
        <w:widowControl w:val="0"/>
        <w:kinsoku/>
        <w:wordWrap/>
        <w:overflowPunct/>
        <w:topLinePunct w:val="0"/>
        <w:autoSpaceDE/>
        <w:autoSpaceDN/>
        <w:bidi w:val="0"/>
        <w:adjustRightInd/>
        <w:spacing w:line="580" w:lineRule="exact"/>
        <w:ind w:firstLine="632"/>
        <w:textAlignment w:val="auto"/>
        <w:rPr>
          <w:rFonts w:hint="eastAsia"/>
          <w:color w:val="auto"/>
          <w:sz w:val="21"/>
          <w:szCs w:val="20"/>
        </w:rPr>
      </w:pPr>
      <w:r>
        <w:rPr>
          <w:rFonts w:hint="eastAsia" w:ascii="仿宋" w:hAnsi="仿宋" w:eastAsia="仿宋" w:cs="仿宋"/>
          <w:snapToGrid w:val="0"/>
          <w:color w:val="auto"/>
          <w:sz w:val="32"/>
          <w:szCs w:val="32"/>
        </w:rPr>
        <w:t>本次绩效评价的对象是</w:t>
      </w:r>
      <w:r>
        <w:rPr>
          <w:rFonts w:hint="eastAsia" w:ascii="仿宋" w:hAnsi="仿宋" w:eastAsia="仿宋" w:cs="仿宋"/>
          <w:snapToGrid w:val="0"/>
          <w:color w:val="auto"/>
          <w:sz w:val="32"/>
          <w:szCs w:val="32"/>
          <w:lang w:eastAsia="zh-CN"/>
        </w:rPr>
        <w:t>随州</w:t>
      </w:r>
      <w:r>
        <w:rPr>
          <w:rFonts w:hint="eastAsia" w:eastAsia="仿宋" w:cs="仿宋"/>
          <w:snapToGrid w:val="0"/>
          <w:color w:val="auto"/>
          <w:sz w:val="32"/>
          <w:szCs w:val="32"/>
          <w:lang w:eastAsia="zh-CN"/>
        </w:rPr>
        <w:t>市科学技术局</w:t>
      </w:r>
      <w:r>
        <w:rPr>
          <w:rFonts w:hint="eastAsia" w:eastAsia="仿宋" w:cs="仿宋"/>
          <w:snapToGrid w:val="0"/>
          <w:color w:val="auto"/>
          <w:sz w:val="32"/>
          <w:szCs w:val="32"/>
          <w:lang w:val="en-US" w:eastAsia="zh-CN"/>
        </w:rPr>
        <w:t>2024年</w:t>
      </w:r>
      <w:r>
        <w:rPr>
          <w:rFonts w:hint="eastAsia" w:eastAsia="仿宋" w:cs="仿宋"/>
          <w:snapToGrid w:val="0"/>
          <w:color w:val="auto"/>
          <w:sz w:val="32"/>
          <w:szCs w:val="32"/>
          <w:lang w:eastAsia="zh-CN"/>
        </w:rPr>
        <w:t>整体</w:t>
      </w:r>
      <w:r>
        <w:rPr>
          <w:rFonts w:hint="eastAsia" w:ascii="仿宋" w:hAnsi="仿宋" w:eastAsia="仿宋" w:cs="仿宋"/>
          <w:snapToGrid w:val="0"/>
          <w:color w:val="auto"/>
          <w:sz w:val="32"/>
          <w:szCs w:val="32"/>
        </w:rPr>
        <w:t>绩效评价</w:t>
      </w:r>
      <w:r>
        <w:rPr>
          <w:rFonts w:hint="eastAsia"/>
          <w:snapToGrid w:val="0"/>
          <w:color w:val="auto"/>
        </w:rPr>
        <w:t>。</w:t>
      </w:r>
    </w:p>
    <w:p w14:paraId="4B39AD45">
      <w:pPr>
        <w:pStyle w:val="13"/>
        <w:pageBreakBefore w:val="0"/>
        <w:widowControl w:val="0"/>
        <w:kinsoku/>
        <w:wordWrap/>
        <w:overflowPunct/>
        <w:topLinePunct w:val="0"/>
        <w:autoSpaceDE/>
        <w:autoSpaceDN/>
        <w:bidi w:val="0"/>
        <w:adjustRightInd/>
        <w:spacing w:line="580" w:lineRule="exact"/>
        <w:ind w:firstLine="632"/>
        <w:textAlignment w:val="auto"/>
        <w:rPr>
          <w:rFonts w:hint="eastAsia" w:ascii="仿宋" w:hAnsi="仿宋" w:eastAsia="仿宋" w:cs="仿宋"/>
          <w:snapToGrid w:val="0"/>
          <w:color w:val="auto"/>
          <w:sz w:val="32"/>
          <w:szCs w:val="32"/>
        </w:rPr>
      </w:pPr>
      <w:r>
        <w:rPr>
          <w:rFonts w:hint="eastAsia" w:eastAsia="仿宋" w:cs="仿宋"/>
          <w:snapToGrid w:val="0"/>
          <w:color w:val="auto"/>
          <w:sz w:val="32"/>
          <w:szCs w:val="32"/>
          <w:lang w:val="en-US" w:eastAsia="zh-CN"/>
        </w:rPr>
        <w:t>3.</w:t>
      </w:r>
      <w:r>
        <w:rPr>
          <w:rFonts w:hint="eastAsia" w:ascii="仿宋" w:hAnsi="仿宋" w:eastAsia="仿宋" w:cs="仿宋"/>
          <w:snapToGrid w:val="0"/>
          <w:color w:val="auto"/>
          <w:sz w:val="32"/>
          <w:szCs w:val="32"/>
        </w:rPr>
        <w:t>绩效评价范围</w:t>
      </w:r>
    </w:p>
    <w:p w14:paraId="25D79488">
      <w:pPr>
        <w:pStyle w:val="13"/>
        <w:pageBreakBefore w:val="0"/>
        <w:widowControl w:val="0"/>
        <w:kinsoku/>
        <w:wordWrap/>
        <w:overflowPunct/>
        <w:topLinePunct w:val="0"/>
        <w:autoSpaceDE/>
        <w:autoSpaceDN/>
        <w:bidi w:val="0"/>
        <w:adjustRightInd/>
        <w:spacing w:line="580" w:lineRule="exact"/>
        <w:ind w:firstLine="632"/>
        <w:textAlignment w:val="auto"/>
        <w:rPr>
          <w:rFonts w:hint="eastAsia"/>
          <w:snapToGrid w:val="0"/>
          <w:color w:val="auto"/>
        </w:rPr>
      </w:pPr>
      <w:r>
        <w:rPr>
          <w:rFonts w:hint="eastAsia" w:ascii="仿宋" w:hAnsi="仿宋" w:eastAsia="仿宋" w:cs="仿宋"/>
          <w:snapToGrid w:val="0"/>
          <w:color w:val="auto"/>
          <w:sz w:val="32"/>
          <w:szCs w:val="32"/>
        </w:rPr>
        <w:t>本次绩效评价的范围为</w:t>
      </w:r>
      <w:r>
        <w:rPr>
          <w:rFonts w:hint="eastAsia" w:ascii="仿宋" w:hAnsi="仿宋" w:eastAsia="仿宋" w:cs="仿宋"/>
          <w:snapToGrid w:val="0"/>
          <w:color w:val="auto"/>
          <w:sz w:val="32"/>
          <w:szCs w:val="32"/>
          <w:lang w:val="en-US" w:eastAsia="zh-CN"/>
        </w:rPr>
        <w:t>2024年1月1日至2024年12月31日</w:t>
      </w:r>
      <w:r>
        <w:rPr>
          <w:rFonts w:hint="eastAsia" w:ascii="仿宋" w:hAnsi="仿宋" w:eastAsia="仿宋" w:cs="仿宋"/>
          <w:snapToGrid w:val="0"/>
          <w:color w:val="auto"/>
          <w:sz w:val="32"/>
          <w:szCs w:val="32"/>
          <w:lang w:eastAsia="zh-CN"/>
        </w:rPr>
        <w:t>随州</w:t>
      </w:r>
      <w:r>
        <w:rPr>
          <w:rFonts w:hint="eastAsia" w:eastAsia="仿宋" w:cs="仿宋"/>
          <w:snapToGrid w:val="0"/>
          <w:color w:val="auto"/>
          <w:sz w:val="32"/>
          <w:szCs w:val="32"/>
          <w:lang w:eastAsia="zh-CN"/>
        </w:rPr>
        <w:t>市科学技术局整体支出</w:t>
      </w:r>
      <w:r>
        <w:rPr>
          <w:rFonts w:hint="eastAsia"/>
          <w:snapToGrid w:val="0"/>
          <w:color w:val="auto"/>
        </w:rPr>
        <w:t>。</w:t>
      </w:r>
    </w:p>
    <w:p w14:paraId="13F45048">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bookmarkStart w:id="96" w:name="_Toc27581"/>
      <w:bookmarkStart w:id="97" w:name="_Toc23946"/>
      <w:bookmarkStart w:id="98" w:name="_Toc11343"/>
      <w:bookmarkStart w:id="99" w:name="_Toc20645"/>
      <w:bookmarkStart w:id="100" w:name="_Toc4376"/>
      <w:bookmarkStart w:id="101" w:name="_Toc9206"/>
      <w:bookmarkStart w:id="102" w:name="_Toc8624"/>
      <w:r>
        <w:rPr>
          <w:rFonts w:hint="eastAsia" w:ascii="楷体" w:hAnsi="楷体" w:eastAsia="楷体" w:cs="楷体"/>
          <w:color w:val="auto"/>
          <w:sz w:val="32"/>
          <w:szCs w:val="32"/>
          <w:lang w:eastAsia="zh-CN"/>
        </w:rPr>
        <w:t>（二）</w:t>
      </w:r>
      <w:r>
        <w:rPr>
          <w:rFonts w:hint="eastAsia" w:ascii="楷体" w:hAnsi="楷体" w:eastAsia="楷体" w:cs="楷体"/>
          <w:color w:val="auto"/>
          <w:sz w:val="32"/>
          <w:szCs w:val="32"/>
        </w:rPr>
        <w:t>评价方法</w:t>
      </w:r>
    </w:p>
    <w:p w14:paraId="46B85F3C">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评价指标体系</w:t>
      </w:r>
    </w:p>
    <w:p w14:paraId="55CDCA7A">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评价小组依据《湖北省财政厅关于印发全面实施预算绩效管</w:t>
      </w:r>
    </w:p>
    <w:p w14:paraId="3CC177B2">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理系列制度的通知》（鄂财绩发[2020]3 号）和《关于开展2025年市级财政重点绩效评价工作的通知》随财函〔2025〕91号，结合整体绩效评价的特点在指标体系设计上共分为四级指标。一级指标直接采用《框架》中的投入、过程、产出和效益四个维度；二、三、四级指标根据具体情况进行设计。具体指标设计框架如下：</w:t>
      </w:r>
    </w:p>
    <w:p w14:paraId="3670DD2F">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一级指标4个，分别为投入、过程、产出和效益，其中：</w:t>
      </w:r>
    </w:p>
    <w:p w14:paraId="3982F278">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投入20分，下设2个二级指标“目标设定”、“预算安排”和6个三级指标“绩效目标合理性”、“绩效目标明确性”、“在职人员情况”、“公用经费情况”、“三公经费变动情况”和“预算编制”以及11个四级指标，主要评价反映和考核部门的预算执行和成本控制情况，对履行主要职责或完成重点任务的保障程度。</w:t>
      </w:r>
    </w:p>
    <w:p w14:paraId="24D5597C">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过程32分，下设2个二级指标“组织管理”、“预算执行”和4个三级指标“财务管理”、“绩效管理”、“资产管理”和“预算执行”以及15个四级指标，主要评价预算编制的科学性、绩效管理的有效性、资产管理和财务管理的规范性。</w:t>
      </w:r>
    </w:p>
    <w:p w14:paraId="63836194">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产出30分，下设1个二级指标“核心业务产出”和3个三级指标“完成目标数量”、“完成目标成本”和“完成目标质量”以及5个四级指标，主要评价部门核心业务的完成情况。</w:t>
      </w:r>
    </w:p>
    <w:p w14:paraId="2D3FAB01">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效益18分，下设1个二级指标“效益指标”和2个三级指标“社会效益”、“经济效益”以及3个四级指标，主要评价部门履职产生的社会效益和经济效益。</w:t>
      </w:r>
    </w:p>
    <w:p w14:paraId="2534AEA7">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绩效评价体系详见整体绩效评价指标体系评分表。</w:t>
      </w:r>
    </w:p>
    <w:p w14:paraId="6B5F9400">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评价方法</w:t>
      </w:r>
    </w:p>
    <w:p w14:paraId="74C6A78B">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本次绩效评价采取定性和定量相结合的方法。</w:t>
      </w:r>
    </w:p>
    <w:p w14:paraId="3682B6E9">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综合得分方法</w:t>
      </w:r>
    </w:p>
    <w:p w14:paraId="6E4D80EB">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综合评价得分=∑（单位指标得分值×指标权重）</w:t>
      </w:r>
    </w:p>
    <w:p w14:paraId="17FCB6E1">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指标计算方法</w:t>
      </w:r>
    </w:p>
    <w:p w14:paraId="72FBF6B2">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本次评价指标中，既有定性指标又有定量指标，各类指标因考核的内容不同和标准值的存在与否，情况差异较大。因此单项指标计算中分别采用了不同方法。</w:t>
      </w:r>
    </w:p>
    <w:p w14:paraId="42AAC1E8">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a.简单得分法</w:t>
      </w:r>
    </w:p>
    <w:p w14:paraId="6CACB790">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对能够取得标准值的指标，采用简单得分法，即：</w:t>
      </w:r>
    </w:p>
    <w:p w14:paraId="71091B3E">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指标评分值=实际值/标准值*100（指标实际值≤指标标准值）</w:t>
      </w:r>
    </w:p>
    <w:p w14:paraId="6E6879C4">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或指标评分值=100（指标实际值&gt;指标标准值）</w:t>
      </w:r>
    </w:p>
    <w:p w14:paraId="71F74378">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b.因素分析法</w:t>
      </w:r>
    </w:p>
    <w:p w14:paraId="03200C1A">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对定性指标和不存在标准值的指标，采用因素分析法，即指标标准定为100，并对影响指标结果的因素进行分析，设计出主要影响因素及因素权重分。由考评人员依据评价表对各指标打分。</w:t>
      </w:r>
    </w:p>
    <w:p w14:paraId="4028F87A">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c.公众评判法。是指通过专家评估、公众问卷及抽样调查等方式进行评判，评价绩效目标实现程度。</w:t>
      </w:r>
    </w:p>
    <w:p w14:paraId="361B10EB">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权重确定方面</w:t>
      </w:r>
    </w:p>
    <w:p w14:paraId="62EB0B44">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指标权重的确定采取主观判断法，评价人员与专家讨论协商拟定。一二三四级指标分值分配标准为：对一级指标，按100分的总值分配至二级指标；对二级指标，再将相应分值分配至三级指标，以此类推。一级指标投入、过程、产出和效益的权重分别占20%、32%、30%和18%，二、三、四级指标权重由评价组依据具体项目考核指标及指标的重要性研究确定。</w:t>
      </w:r>
    </w:p>
    <w:p w14:paraId="401C7379">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标准值的确定方法</w:t>
      </w:r>
    </w:p>
    <w:p w14:paraId="22558A62">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随州市科学技术局2024年整体绩效评价指标标准值采用固定标准与分段标准相结合来确定。</w:t>
      </w:r>
    </w:p>
    <w:p w14:paraId="72F3A951">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对于固定标准，是根据指标具体情况，分别采用计划标准（考核指标）、经验标准。</w:t>
      </w:r>
    </w:p>
    <w:p w14:paraId="057B014B">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对于分段标准，由评价人员根据其他项目评价经验，并征求有关专家意见确定。</w:t>
      </w:r>
    </w:p>
    <w:p w14:paraId="58C32B77">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（三）</w:t>
      </w:r>
      <w:r>
        <w:rPr>
          <w:rFonts w:hint="eastAsia" w:ascii="楷体" w:hAnsi="楷体" w:eastAsia="楷体" w:cs="楷体"/>
          <w:color w:val="auto"/>
          <w:sz w:val="32"/>
          <w:szCs w:val="32"/>
        </w:rPr>
        <w:t>评价抽样情况</w:t>
      </w:r>
      <w:bookmarkEnd w:id="96"/>
      <w:bookmarkEnd w:id="97"/>
      <w:bookmarkEnd w:id="98"/>
      <w:bookmarkEnd w:id="99"/>
      <w:bookmarkEnd w:id="100"/>
      <w:bookmarkEnd w:id="101"/>
      <w:bookmarkEnd w:id="102"/>
    </w:p>
    <w:p w14:paraId="48423C21">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抽样采取随机抽查与重点抽样相结合的方式。</w:t>
      </w:r>
    </w:p>
    <w:p w14:paraId="0545099F">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评价小组对资料采取随机抽样检查，重点抽查产出目标完成佐证资料。</w:t>
      </w:r>
    </w:p>
    <w:p w14:paraId="4C386057">
      <w:pPr>
        <w:pStyle w:val="5"/>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 w:hAnsi="楷体" w:eastAsia="楷体" w:cs="楷体"/>
          <w:color w:val="auto"/>
          <w:sz w:val="32"/>
          <w:szCs w:val="32"/>
        </w:rPr>
      </w:pPr>
      <w:bookmarkStart w:id="103" w:name="_Toc5071"/>
      <w:bookmarkStart w:id="104" w:name="_Toc30933"/>
      <w:bookmarkStart w:id="105" w:name="_Toc32579"/>
      <w:bookmarkStart w:id="106" w:name="_Toc13887"/>
      <w:bookmarkStart w:id="107" w:name="_Toc24549"/>
      <w:bookmarkStart w:id="108" w:name="_Toc8330"/>
      <w:bookmarkStart w:id="109" w:name="_Toc20040"/>
      <w:r>
        <w:rPr>
          <w:rFonts w:hint="eastAsia" w:ascii="楷体" w:hAnsi="楷体" w:eastAsia="楷体" w:cs="楷体"/>
          <w:color w:val="auto"/>
          <w:sz w:val="32"/>
          <w:szCs w:val="32"/>
          <w:lang w:eastAsia="zh-CN"/>
        </w:rPr>
        <w:t>（四）</w:t>
      </w:r>
      <w:r>
        <w:rPr>
          <w:rFonts w:hint="eastAsia" w:ascii="楷体" w:hAnsi="楷体" w:eastAsia="楷体" w:cs="楷体"/>
          <w:color w:val="auto"/>
          <w:sz w:val="32"/>
          <w:szCs w:val="32"/>
        </w:rPr>
        <w:t>时间安排</w:t>
      </w:r>
      <w:bookmarkEnd w:id="103"/>
      <w:bookmarkEnd w:id="104"/>
      <w:bookmarkEnd w:id="105"/>
      <w:bookmarkEnd w:id="106"/>
      <w:bookmarkEnd w:id="107"/>
      <w:bookmarkEnd w:id="108"/>
      <w:bookmarkEnd w:id="109"/>
    </w:p>
    <w:p w14:paraId="650E1B1C">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（1）</w:t>
      </w:r>
      <w:r>
        <w:rPr>
          <w:rFonts w:hint="eastAsia" w:ascii="仿宋" w:hAnsi="仿宋" w:eastAsia="仿宋" w:cs="仿宋"/>
          <w:snapToGrid w:val="0"/>
          <w:color w:val="auto"/>
          <w:sz w:val="32"/>
          <w:szCs w:val="32"/>
          <w:lang w:val="en-US" w:eastAsia="zh-CN"/>
        </w:rPr>
        <w:t>2025年7</w:t>
      </w:r>
      <w:r>
        <w:rPr>
          <w:rFonts w:hint="eastAsia" w:ascii="仿宋" w:hAnsi="仿宋" w:eastAsia="仿宋" w:cs="仿宋"/>
          <w:snapToGrid w:val="0"/>
          <w:color w:val="auto"/>
          <w:sz w:val="32"/>
          <w:szCs w:val="32"/>
        </w:rPr>
        <w:t>月</w:t>
      </w:r>
      <w:r>
        <w:rPr>
          <w:rFonts w:hint="eastAsia" w:ascii="仿宋" w:hAnsi="仿宋" w:eastAsia="仿宋" w:cs="仿宋"/>
          <w:snapToGrid w:val="0"/>
          <w:color w:val="auto"/>
          <w:sz w:val="32"/>
          <w:szCs w:val="32"/>
          <w:lang w:val="en-US" w:eastAsia="zh-CN"/>
        </w:rPr>
        <w:t>12</w:t>
      </w:r>
      <w:r>
        <w:rPr>
          <w:rFonts w:hint="eastAsia" w:ascii="仿宋" w:hAnsi="仿宋" w:eastAsia="仿宋" w:cs="仿宋"/>
          <w:snapToGrid w:val="0"/>
          <w:color w:val="auto"/>
          <w:sz w:val="32"/>
          <w:szCs w:val="32"/>
        </w:rPr>
        <w:t>日至7月</w:t>
      </w:r>
      <w:r>
        <w:rPr>
          <w:rFonts w:hint="eastAsia" w:ascii="仿宋" w:hAnsi="仿宋" w:eastAsia="仿宋" w:cs="仿宋"/>
          <w:snapToGrid w:val="0"/>
          <w:color w:val="auto"/>
          <w:sz w:val="32"/>
          <w:szCs w:val="32"/>
          <w:lang w:val="en-US" w:eastAsia="zh-CN"/>
        </w:rPr>
        <w:t>14</w:t>
      </w:r>
      <w:r>
        <w:rPr>
          <w:rFonts w:hint="eastAsia" w:ascii="仿宋" w:hAnsi="仿宋" w:eastAsia="仿宋" w:cs="仿宋"/>
          <w:snapToGrid w:val="0"/>
          <w:color w:val="auto"/>
          <w:sz w:val="32"/>
          <w:szCs w:val="32"/>
        </w:rPr>
        <w:t>日，对</w:t>
      </w:r>
      <w:r>
        <w:rPr>
          <w:rFonts w:hint="eastAsia" w:ascii="仿宋" w:hAnsi="仿宋" w:eastAsia="仿宋" w:cs="仿宋"/>
          <w:snapToGrid w:val="0"/>
          <w:color w:val="auto"/>
          <w:sz w:val="32"/>
          <w:szCs w:val="32"/>
          <w:lang w:eastAsia="zh-CN"/>
        </w:rPr>
        <w:t>随州市科学技术局</w:t>
      </w:r>
      <w:r>
        <w:rPr>
          <w:rFonts w:hint="eastAsia" w:ascii="仿宋" w:hAnsi="仿宋" w:eastAsia="仿宋" w:cs="仿宋"/>
          <w:snapToGrid w:val="0"/>
          <w:color w:val="auto"/>
          <w:sz w:val="32"/>
          <w:szCs w:val="32"/>
          <w:lang w:val="en-US" w:eastAsia="zh-CN"/>
        </w:rPr>
        <w:t>2024年</w:t>
      </w:r>
      <w:r>
        <w:rPr>
          <w:rFonts w:hint="eastAsia" w:ascii="仿宋" w:hAnsi="仿宋" w:eastAsia="仿宋" w:cs="仿宋"/>
          <w:snapToGrid w:val="0"/>
          <w:color w:val="auto"/>
          <w:sz w:val="32"/>
          <w:szCs w:val="32"/>
          <w:lang w:eastAsia="zh-CN"/>
        </w:rPr>
        <w:t>整体支出以及履职效益</w:t>
      </w:r>
      <w:r>
        <w:rPr>
          <w:rFonts w:hint="eastAsia" w:ascii="仿宋" w:hAnsi="仿宋" w:eastAsia="仿宋" w:cs="仿宋"/>
          <w:snapToGrid w:val="0"/>
          <w:color w:val="auto"/>
          <w:sz w:val="32"/>
          <w:szCs w:val="32"/>
        </w:rPr>
        <w:t>进行了解并对评价对象进行调研，并制定绩效评价方案；</w:t>
      </w:r>
    </w:p>
    <w:p w14:paraId="2DEB4F08">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（2）</w:t>
      </w:r>
      <w:r>
        <w:rPr>
          <w:rFonts w:hint="eastAsia" w:ascii="仿宋" w:hAnsi="仿宋" w:eastAsia="仿宋" w:cs="仿宋"/>
          <w:snapToGrid w:val="0"/>
          <w:color w:val="auto"/>
          <w:sz w:val="32"/>
          <w:szCs w:val="32"/>
          <w:lang w:val="en-US" w:eastAsia="zh-CN"/>
        </w:rPr>
        <w:t>2025年</w:t>
      </w:r>
      <w:r>
        <w:rPr>
          <w:rFonts w:hint="eastAsia" w:ascii="仿宋" w:hAnsi="仿宋" w:eastAsia="仿宋" w:cs="仿宋"/>
          <w:snapToGrid w:val="0"/>
          <w:color w:val="auto"/>
          <w:sz w:val="32"/>
          <w:szCs w:val="32"/>
        </w:rPr>
        <w:t>7月</w:t>
      </w:r>
      <w:r>
        <w:rPr>
          <w:rFonts w:hint="eastAsia" w:ascii="仿宋" w:hAnsi="仿宋" w:eastAsia="仿宋" w:cs="仿宋"/>
          <w:snapToGrid w:val="0"/>
          <w:color w:val="auto"/>
          <w:sz w:val="32"/>
          <w:szCs w:val="32"/>
          <w:lang w:val="en-US" w:eastAsia="zh-CN"/>
        </w:rPr>
        <w:t>15</w:t>
      </w:r>
      <w:r>
        <w:rPr>
          <w:rFonts w:hint="eastAsia" w:ascii="仿宋" w:hAnsi="仿宋" w:eastAsia="仿宋" w:cs="仿宋"/>
          <w:snapToGrid w:val="0"/>
          <w:color w:val="auto"/>
          <w:sz w:val="32"/>
          <w:szCs w:val="32"/>
        </w:rPr>
        <w:t>日至7月</w:t>
      </w:r>
      <w:r>
        <w:rPr>
          <w:rFonts w:hint="eastAsia" w:ascii="仿宋" w:hAnsi="仿宋" w:eastAsia="仿宋" w:cs="仿宋"/>
          <w:snapToGrid w:val="0"/>
          <w:color w:val="auto"/>
          <w:sz w:val="32"/>
          <w:szCs w:val="32"/>
          <w:lang w:val="en-US" w:eastAsia="zh-CN"/>
        </w:rPr>
        <w:t>21</w:t>
      </w:r>
      <w:r>
        <w:rPr>
          <w:rFonts w:hint="eastAsia" w:ascii="仿宋" w:hAnsi="仿宋" w:eastAsia="仿宋" w:cs="仿宋"/>
          <w:snapToGrid w:val="0"/>
          <w:color w:val="auto"/>
          <w:sz w:val="32"/>
          <w:szCs w:val="32"/>
        </w:rPr>
        <w:t xml:space="preserve">日，实施现场调查与评价，就发现的问题与管理部门进行沟通确认，交换意见； </w:t>
      </w:r>
    </w:p>
    <w:p w14:paraId="16F1BCE2">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（3）</w:t>
      </w:r>
      <w:r>
        <w:rPr>
          <w:rFonts w:hint="eastAsia" w:ascii="仿宋" w:hAnsi="仿宋" w:eastAsia="仿宋" w:cs="仿宋"/>
          <w:snapToGrid w:val="0"/>
          <w:color w:val="auto"/>
          <w:sz w:val="32"/>
          <w:szCs w:val="32"/>
          <w:lang w:val="en-US" w:eastAsia="zh-CN"/>
        </w:rPr>
        <w:t>2025年</w:t>
      </w:r>
      <w:r>
        <w:rPr>
          <w:rFonts w:hint="eastAsia" w:ascii="仿宋" w:hAnsi="仿宋" w:eastAsia="仿宋" w:cs="仿宋"/>
          <w:snapToGrid w:val="0"/>
          <w:color w:val="auto"/>
          <w:sz w:val="32"/>
          <w:szCs w:val="32"/>
        </w:rPr>
        <w:t>7月</w:t>
      </w:r>
      <w:r>
        <w:rPr>
          <w:rFonts w:hint="eastAsia" w:ascii="仿宋" w:hAnsi="仿宋" w:eastAsia="仿宋" w:cs="仿宋"/>
          <w:snapToGrid w:val="0"/>
          <w:color w:val="auto"/>
          <w:sz w:val="32"/>
          <w:szCs w:val="32"/>
          <w:lang w:val="en-US" w:eastAsia="zh-CN"/>
        </w:rPr>
        <w:t>22</w:t>
      </w:r>
      <w:r>
        <w:rPr>
          <w:rFonts w:hint="eastAsia" w:ascii="仿宋" w:hAnsi="仿宋" w:eastAsia="仿宋" w:cs="仿宋"/>
          <w:snapToGrid w:val="0"/>
          <w:color w:val="auto"/>
          <w:sz w:val="32"/>
          <w:szCs w:val="32"/>
        </w:rPr>
        <w:t>日至7月31日，出具征求意见稿；</w:t>
      </w:r>
    </w:p>
    <w:p w14:paraId="4E3D054F">
      <w:pPr>
        <w:pStyle w:val="13"/>
        <w:keepNext w:val="0"/>
        <w:keepLines w:val="0"/>
        <w:pageBreakBefore w:val="0"/>
        <w:widowControl w:val="0"/>
        <w:kinsoku/>
        <w:wordWrap/>
        <w:overflowPunct/>
        <w:topLinePunct w:val="0"/>
        <w:autoSpaceDE/>
        <w:autoSpaceDN/>
        <w:bidi w:val="0"/>
        <w:adjustRightInd/>
        <w:snapToGrid/>
        <w:spacing w:line="580" w:lineRule="exact"/>
        <w:ind w:firstLine="632"/>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（4）</w:t>
      </w:r>
      <w:r>
        <w:rPr>
          <w:rFonts w:hint="eastAsia" w:ascii="仿宋" w:hAnsi="仿宋" w:eastAsia="仿宋" w:cs="仿宋"/>
          <w:snapToGrid w:val="0"/>
          <w:color w:val="auto"/>
          <w:sz w:val="32"/>
          <w:szCs w:val="32"/>
          <w:lang w:val="en-US" w:eastAsia="zh-CN"/>
        </w:rPr>
        <w:t>2025年</w:t>
      </w:r>
      <w:r>
        <w:rPr>
          <w:rFonts w:hint="eastAsia" w:ascii="仿宋" w:hAnsi="仿宋" w:eastAsia="仿宋" w:cs="仿宋"/>
          <w:snapToGrid w:val="0"/>
          <w:color w:val="auto"/>
          <w:sz w:val="32"/>
          <w:szCs w:val="32"/>
        </w:rPr>
        <w:t>8月1日至8月30日，汇报沟通，修订报告并出具正式报告。</w:t>
      </w:r>
    </w:p>
    <w:p w14:paraId="5453767A">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eastAsia="zh-CN"/>
        </w:rPr>
      </w:pPr>
      <w:bookmarkStart w:id="110" w:name="_Toc25726"/>
      <w:r>
        <w:rPr>
          <w:rFonts w:hint="eastAsia" w:ascii="黑体" w:hAnsi="黑体" w:eastAsia="黑体" w:cs="黑体"/>
          <w:color w:val="auto"/>
          <w:kern w:val="0"/>
          <w:sz w:val="32"/>
          <w:highlight w:val="none"/>
          <w:lang w:eastAsia="zh-CN"/>
        </w:rPr>
        <w:t>五、部门整体预算绩效管理情况</w:t>
      </w:r>
      <w:bookmarkEnd w:id="110"/>
    </w:p>
    <w:p w14:paraId="4A9CEAE6">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outlineLvl w:val="1"/>
        <w:rPr>
          <w:rFonts w:hint="eastAsia" w:ascii="楷体" w:hAnsi="楷体" w:eastAsia="楷体" w:cs="楷体"/>
          <w:color w:val="auto"/>
          <w:kern w:val="0"/>
          <w:sz w:val="32"/>
          <w:highlight w:val="none"/>
          <w:lang w:val="en-US" w:eastAsia="zh-CN"/>
        </w:rPr>
      </w:pPr>
      <w:bookmarkStart w:id="111" w:name="_Toc7688"/>
      <w:r>
        <w:rPr>
          <w:rFonts w:hint="eastAsia" w:ascii="楷体" w:hAnsi="楷体" w:eastAsia="楷体" w:cs="楷体"/>
          <w:color w:val="auto"/>
          <w:kern w:val="0"/>
          <w:sz w:val="32"/>
          <w:highlight w:val="none"/>
          <w:lang w:val="en-US" w:eastAsia="zh-CN"/>
        </w:rPr>
        <w:t>（一）投入</w:t>
      </w:r>
      <w:bookmarkEnd w:id="111"/>
    </w:p>
    <w:p w14:paraId="3165D4A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outlineLvl w:val="1"/>
        <w:rPr>
          <w:rFonts w:hint="eastAsia" w:ascii="仿宋" w:hAnsi="仿宋" w:eastAsia="仿宋" w:cs="仿宋"/>
          <w:b w:val="0"/>
          <w:bCs/>
          <w:color w:val="auto"/>
          <w:kern w:val="2"/>
          <w:sz w:val="32"/>
          <w:szCs w:val="32"/>
          <w:lang w:val="en-US" w:eastAsia="zh-CN" w:bidi="ar-SA"/>
        </w:rPr>
      </w:pPr>
      <w:bookmarkStart w:id="112" w:name="_Toc16454"/>
      <w:r>
        <w:rPr>
          <w:rFonts w:hint="eastAsia" w:ascii="仿宋" w:hAnsi="仿宋" w:eastAsia="仿宋" w:cs="仿宋"/>
          <w:b w:val="0"/>
          <w:bCs/>
          <w:color w:val="auto"/>
          <w:kern w:val="2"/>
          <w:sz w:val="32"/>
          <w:szCs w:val="32"/>
          <w:lang w:val="en-US" w:eastAsia="zh-CN" w:bidi="ar-SA"/>
        </w:rPr>
        <w:t>目标总分值为20分，实际得分17.5分。</w:t>
      </w:r>
      <w:bookmarkEnd w:id="112"/>
    </w:p>
    <w:p w14:paraId="3476697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13" w:name="_Toc24486"/>
      <w:r>
        <w:rPr>
          <w:color w:val="auto"/>
        </w:rPr>
        <w:drawing>
          <wp:inline distT="0" distB="0" distL="114300" distR="114300">
            <wp:extent cx="4831080" cy="2743200"/>
            <wp:effectExtent l="4445" t="4445" r="10795" b="10795"/>
            <wp:docPr id="4"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113"/>
    </w:p>
    <w:p w14:paraId="3C5D78FB">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4" w:name="_Toc22315"/>
      <w:r>
        <w:rPr>
          <w:rFonts w:hint="eastAsia" w:ascii="仿宋" w:hAnsi="仿宋" w:eastAsia="仿宋" w:cs="仿宋"/>
          <w:color w:val="auto"/>
          <w:sz w:val="32"/>
          <w:szCs w:val="32"/>
          <w:lang w:val="en-US" w:eastAsia="zh-CN"/>
        </w:rPr>
        <w:t>1.绩效目标合理性</w:t>
      </w:r>
      <w:bookmarkEnd w:id="114"/>
    </w:p>
    <w:p w14:paraId="407D4AD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1）据随州市科学技术局2024年度部门预算公开、项目申报文本以及中共随州市委办公室关于引发《随州市科学技术局职能配置、内设机构和人员编制规定》的通知，发现绩效目标的设置在确定的职责范围之内，且符合省委、省政府的发展规划及本部门的年度工作安排与发展规划。根据评分标准，不扣分，该指标得满分1.5分。</w:t>
      </w:r>
    </w:p>
    <w:p w14:paraId="244B0BE2">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据随州市科学技术局2024年度部门预算公开、项目申报文本以及中共随州市委办公室关于引发《随州市科学技术局职能配置、内设机构和人员编制规定》的通知，绩效目标的设置符合“三定”方案中所赋予的部门职责，工作目的性和计划性强。根据评分标准，不扣分，该指标得满分1.5分。</w:t>
      </w:r>
    </w:p>
    <w:p w14:paraId="4CC86C84">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5" w:name="_Toc30686"/>
      <w:r>
        <w:rPr>
          <w:rFonts w:hint="eastAsia" w:ascii="仿宋" w:hAnsi="仿宋" w:eastAsia="仿宋" w:cs="仿宋"/>
          <w:color w:val="auto"/>
          <w:sz w:val="32"/>
          <w:szCs w:val="32"/>
          <w:lang w:val="en-US" w:eastAsia="zh-CN"/>
        </w:rPr>
        <w:t>2.绩效目标明确性</w:t>
      </w:r>
      <w:bookmarkEnd w:id="115"/>
    </w:p>
    <w:p w14:paraId="140993F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 xml:space="preserve">（1）绩效目标任务细化：据随州市科学技术局2024年度部门预算公开以及部门整体绩效目标申报表，发现2024年度整体绩效考核指标设置符合部门职责，数量指标、效益指标等具体量化。根据评分标准，不扣分，该指标得满分1分。 </w:t>
      </w:r>
    </w:p>
    <w:p w14:paraId="28179D7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（2）绩效目标与任务对应性：据随州市科学技术局2024年度部门预算公开以及部门整体绩效目标申报表，发现2024年绩效目标设置与工作任务相对应。根据评分标准，不扣分，该指标得满分1分。</w:t>
      </w:r>
    </w:p>
    <w:p w14:paraId="756C143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3）绩效目标任务资金保障：据随州市科学技术局2024年度部门预算公开以及部门整体绩效目标申报表，绩效目标任务与资金保障匹配，各项工作任务有相对应的经费保障。根据评分标准，不扣分，该指标得满分1分。</w:t>
      </w:r>
    </w:p>
    <w:p w14:paraId="1FBB0330">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6" w:name="_Toc10092"/>
      <w:r>
        <w:rPr>
          <w:rFonts w:hint="eastAsia" w:ascii="仿宋" w:hAnsi="仿宋" w:eastAsia="仿宋" w:cs="仿宋"/>
          <w:color w:val="auto"/>
          <w:sz w:val="32"/>
          <w:szCs w:val="32"/>
          <w:lang w:val="en-US" w:eastAsia="zh-CN"/>
        </w:rPr>
        <w:t>3.在职人员控制率</w:t>
      </w:r>
      <w:bookmarkEnd w:id="116"/>
    </w:p>
    <w:p w14:paraId="12CB378B">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中共随州市委办公室关于引发《随州市科学技术局职能配置、内设机构和人员编制规定》的通知，随州市科学技术局在职人员共计19人，核定编制人数20人。人员控制率为95%，人员控制较好。根据评分标准，不扣分，该指标得满分3分。</w:t>
      </w:r>
    </w:p>
    <w:p w14:paraId="217E455D">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7" w:name="_Toc11647"/>
      <w:r>
        <w:rPr>
          <w:rFonts w:hint="eastAsia" w:ascii="仿宋" w:hAnsi="仿宋" w:eastAsia="仿宋" w:cs="仿宋"/>
          <w:color w:val="auto"/>
          <w:sz w:val="32"/>
          <w:szCs w:val="32"/>
          <w:lang w:val="en-US" w:eastAsia="zh-CN"/>
        </w:rPr>
        <w:t>4.公用经费控制率</w:t>
      </w:r>
      <w:bookmarkEnd w:id="117"/>
    </w:p>
    <w:p w14:paraId="2AB054EC">
      <w:pPr>
        <w:pStyle w:val="23"/>
        <w:keepNext w:val="0"/>
        <w:keepLines w:val="0"/>
        <w:pageBreakBefore w:val="0"/>
        <w:widowControl w:val="0"/>
        <w:kinsoku/>
        <w:wordWrap/>
        <w:overflowPunct/>
        <w:topLinePunct w:val="0"/>
        <w:autoSpaceDE/>
        <w:autoSpaceDN/>
        <w:bidi w:val="0"/>
        <w:adjustRightInd/>
        <w:spacing w:before="0" w:beforeLines="0" w:beforeAutospacing="0" w:after="0" w:afterLines="0" w:afterAutospacing="0" w:line="580" w:lineRule="exact"/>
        <w:ind w:firstLine="640" w:firstLineChars="200"/>
        <w:textAlignment w:val="center"/>
        <w:outlineLvl w:val="9"/>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据随州市科学技术局2024年度部门预算公开和2024年度决算报表，2024年公用经费实际支出46.00万元，预算安排公用经费46.67万元，公用经费控制率98.56%。根据评分标准，不扣分，该指标得满分3分。</w:t>
      </w:r>
    </w:p>
    <w:p w14:paraId="5A7ED6DA">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8" w:name="_Toc16386"/>
      <w:r>
        <w:rPr>
          <w:rFonts w:hint="eastAsia" w:ascii="仿宋" w:hAnsi="仿宋" w:eastAsia="仿宋" w:cs="仿宋"/>
          <w:color w:val="auto"/>
          <w:sz w:val="32"/>
          <w:szCs w:val="32"/>
          <w:lang w:val="en-US" w:eastAsia="zh-CN"/>
        </w:rPr>
        <w:t>5.三公经费变动率</w:t>
      </w:r>
      <w:bookmarkEnd w:id="118"/>
    </w:p>
    <w:p w14:paraId="72869B49">
      <w:pPr>
        <w:pStyle w:val="23"/>
        <w:keepNext w:val="0"/>
        <w:keepLines w:val="0"/>
        <w:pageBreakBefore w:val="0"/>
        <w:widowControl w:val="0"/>
        <w:kinsoku/>
        <w:wordWrap/>
        <w:overflowPunct/>
        <w:topLinePunct w:val="0"/>
        <w:autoSpaceDE/>
        <w:autoSpaceDN/>
        <w:bidi w:val="0"/>
        <w:adjustRightInd/>
        <w:spacing w:before="0" w:beforeLines="0" w:beforeAutospacing="0" w:after="0" w:afterLines="0" w:afterAutospacing="0" w:line="580" w:lineRule="exact"/>
        <w:ind w:firstLine="640" w:firstLineChars="200"/>
        <w:textAlignment w:val="center"/>
        <w:outlineLvl w:val="9"/>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随州市科学技术局2023年度和2024年度部门预算公开以及2024年度决算报表，2024年三公经费年初预算安排6.48万元，三公经费预算调减5.00万元，实际三公经费预算1.48万元，上年预算1.43万元，三公经费变动率3.50%。根据三公经费变动率评分标准，不符合三公经费逐年减压标准，满分3分，实际得分2.5分。</w:t>
      </w:r>
    </w:p>
    <w:p w14:paraId="5EE74DB9">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19" w:name="_Toc12661"/>
      <w:r>
        <w:rPr>
          <w:rFonts w:hint="eastAsia" w:ascii="仿宋" w:hAnsi="仿宋" w:eastAsia="仿宋" w:cs="仿宋"/>
          <w:color w:val="auto"/>
          <w:sz w:val="32"/>
          <w:szCs w:val="32"/>
          <w:lang w:val="en-US" w:eastAsia="zh-CN"/>
        </w:rPr>
        <w:t>6.预算编制规范性</w:t>
      </w:r>
      <w:bookmarkEnd w:id="119"/>
    </w:p>
    <w:p w14:paraId="72722DC4">
      <w:pPr>
        <w:pStyle w:val="23"/>
        <w:keepNext w:val="0"/>
        <w:keepLines w:val="0"/>
        <w:pageBreakBefore w:val="0"/>
        <w:widowControl w:val="0"/>
        <w:kinsoku/>
        <w:wordWrap/>
        <w:overflowPunct/>
        <w:topLinePunct w:val="0"/>
        <w:autoSpaceDE/>
        <w:autoSpaceDN/>
        <w:bidi w:val="0"/>
        <w:adjustRightInd/>
        <w:spacing w:before="0" w:beforeLines="0" w:beforeAutospacing="0" w:after="0" w:afterLines="0" w:afterAutospacing="0" w:line="580" w:lineRule="exact"/>
        <w:ind w:firstLine="640" w:firstLineChars="200"/>
        <w:textAlignment w:val="center"/>
        <w:outlineLvl w:val="9"/>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1）预算编制科学性：据随州市科学技术局2024年度部门预算公开以及中共随州市委办公室关于引发《随州市科学技术局职能配置、内设机构和人员编制规定》的通知，预算编制的基本信息内容真实、完整、准确。根据评分标准，不扣分，该指标得满分1分。</w:t>
      </w:r>
    </w:p>
    <w:p w14:paraId="06319CB9">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预算编制合理性：据随州市科学技术局2024年度部门预算公开以及中共随州市委办公室关于引发《随州市科学技术局职能配置、内设机构和人员编制规定》的通知，重点项目预算充足，部门内部项目之间不存在重复预算，编制合理，但无明细测算依据。科技事业费项目年初预算190.00万元，均为其他商品和服务支出，测算依据为《随政发[2021]18号及科技进步法和省科技进步条例》，不能够反映资金的具体使用情况。根据预算编制合理性评分标准，不符合“项目预算测算依据是否充分”的评价要点，满分2分，实际得分1分。</w:t>
      </w:r>
    </w:p>
    <w:p w14:paraId="7D03DB6A">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3）项目立项规范性：据随州市科学技术局2024年度部门预算公开以及项目申报表，根据项目立项规范性评分标准，不符合“事前是否已经过必要的可行性研究、专家论证、风险评估、绩效评估、集体决策”的评价要点。满分2分，实际得分1分。</w:t>
      </w:r>
    </w:p>
    <w:p w14:paraId="15EAD6D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textAlignment w:val="center"/>
        <w:outlineLvl w:val="1"/>
        <w:rPr>
          <w:rFonts w:hint="eastAsia" w:ascii="楷体" w:hAnsi="楷体" w:eastAsia="楷体" w:cs="楷体"/>
          <w:b w:val="0"/>
          <w:bCs/>
          <w:color w:val="auto"/>
          <w:kern w:val="2"/>
          <w:sz w:val="32"/>
          <w:szCs w:val="32"/>
          <w:lang w:val="en-US" w:eastAsia="zh-CN" w:bidi="ar-SA"/>
        </w:rPr>
      </w:pPr>
      <w:bookmarkStart w:id="120" w:name="_Toc23704"/>
      <w:r>
        <w:rPr>
          <w:rFonts w:hint="eastAsia" w:ascii="楷体" w:hAnsi="楷体" w:eastAsia="楷体" w:cs="楷体"/>
          <w:b w:val="0"/>
          <w:bCs/>
          <w:color w:val="auto"/>
          <w:kern w:val="2"/>
          <w:sz w:val="32"/>
          <w:szCs w:val="32"/>
          <w:lang w:val="en-US" w:eastAsia="zh-CN" w:bidi="ar-SA"/>
        </w:rPr>
        <w:t>（二）过程</w:t>
      </w:r>
      <w:bookmarkEnd w:id="120"/>
    </w:p>
    <w:p w14:paraId="76D89AA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textAlignment w:val="center"/>
        <w:outlineLvl w:val="1"/>
        <w:rPr>
          <w:rFonts w:hint="eastAsia" w:ascii="楷体" w:hAnsi="楷体" w:eastAsia="楷体" w:cs="楷体"/>
          <w:b w:val="0"/>
          <w:bCs/>
          <w:color w:val="auto"/>
          <w:kern w:val="2"/>
          <w:sz w:val="32"/>
          <w:szCs w:val="32"/>
          <w:lang w:val="en-US" w:eastAsia="zh-CN" w:bidi="ar-SA"/>
        </w:rPr>
      </w:pPr>
      <w:bookmarkStart w:id="121" w:name="_Toc11625"/>
      <w:r>
        <w:rPr>
          <w:rFonts w:hint="eastAsia" w:ascii="仿宋" w:hAnsi="仿宋" w:eastAsia="仿宋" w:cs="仿宋"/>
          <w:b w:val="0"/>
          <w:bCs/>
          <w:color w:val="auto"/>
          <w:kern w:val="2"/>
          <w:sz w:val="32"/>
          <w:szCs w:val="32"/>
          <w:lang w:val="en-US" w:eastAsia="zh-CN" w:bidi="ar-SA"/>
        </w:rPr>
        <w:t>目标总分值32分，实际得分24.8分。</w:t>
      </w:r>
      <w:bookmarkEnd w:id="121"/>
    </w:p>
    <w:p w14:paraId="3DFC2C33">
      <w:pPr>
        <w:pStyle w:val="15"/>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480" w:firstLineChars="200"/>
        <w:textAlignment w:val="center"/>
        <w:outlineLvl w:val="2"/>
        <w:rPr>
          <w:rFonts w:hint="eastAsia" w:ascii="仿宋" w:hAnsi="仿宋" w:eastAsia="仿宋" w:cs="仿宋"/>
          <w:b w:val="0"/>
          <w:bCs/>
          <w:color w:val="auto"/>
          <w:kern w:val="2"/>
          <w:sz w:val="32"/>
          <w:szCs w:val="32"/>
          <w:lang w:val="en-US" w:eastAsia="zh-CN" w:bidi="ar-SA"/>
        </w:rPr>
      </w:pPr>
      <w:bookmarkStart w:id="122" w:name="_Toc4664"/>
      <w:r>
        <w:rPr>
          <w:color w:val="auto"/>
        </w:rPr>
        <w:drawing>
          <wp:inline distT="0" distB="0" distL="114300" distR="114300">
            <wp:extent cx="4831080" cy="2743200"/>
            <wp:effectExtent l="4445" t="4445" r="10795" b="10795"/>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122"/>
    </w:p>
    <w:p w14:paraId="4B81B9FF">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23" w:name="_Toc13372"/>
      <w:r>
        <w:rPr>
          <w:rFonts w:hint="eastAsia" w:ascii="仿宋" w:hAnsi="仿宋" w:eastAsia="仿宋" w:cs="仿宋"/>
          <w:b w:val="0"/>
          <w:bCs/>
          <w:color w:val="auto"/>
          <w:kern w:val="2"/>
          <w:sz w:val="32"/>
          <w:szCs w:val="32"/>
          <w:lang w:val="en-US" w:eastAsia="zh-CN" w:bidi="ar-SA"/>
        </w:rPr>
        <w:t>1.财务管理</w:t>
      </w:r>
      <w:bookmarkEnd w:id="123"/>
    </w:p>
    <w:p w14:paraId="4A1C262A">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据随州市科学技术局各项管理制度，发现随州市科学技术局制定了财务管理制度、资产管理制度等相关制度，制度内容详细、完整。根据评分标准，不扣分，得满分2分。</w:t>
      </w:r>
    </w:p>
    <w:p w14:paraId="4D20BF7F">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24" w:name="_Toc6733"/>
      <w:r>
        <w:rPr>
          <w:rFonts w:hint="eastAsia" w:ascii="仿宋" w:hAnsi="仿宋" w:eastAsia="仿宋" w:cs="仿宋"/>
          <w:b w:val="0"/>
          <w:bCs/>
          <w:color w:val="auto"/>
          <w:kern w:val="2"/>
          <w:sz w:val="32"/>
          <w:szCs w:val="32"/>
          <w:lang w:val="en-US" w:eastAsia="zh-CN" w:bidi="ar-SA"/>
        </w:rPr>
        <w:t>2.绩效管理</w:t>
      </w:r>
      <w:bookmarkEnd w:id="124"/>
    </w:p>
    <w:p w14:paraId="6AC04DEA">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lang w:val="en-US" w:eastAsia="zh-CN" w:bidi="ar-SA"/>
        </w:rPr>
        <w:t>（1）</w:t>
      </w:r>
      <w:r>
        <w:rPr>
          <w:rFonts w:hint="eastAsia" w:ascii="仿宋" w:hAnsi="仿宋" w:eastAsia="仿宋" w:cs="仿宋"/>
          <w:b w:val="0"/>
          <w:bCs/>
          <w:color w:val="auto"/>
          <w:kern w:val="2"/>
          <w:sz w:val="32"/>
          <w:szCs w:val="32"/>
          <w:highlight w:val="none"/>
          <w:lang w:val="en-US" w:eastAsia="zh-CN" w:bidi="ar-SA"/>
        </w:rPr>
        <w:t>绩效目标合理性：据随州市科学技术局2024年度部门预算公开、项目申报文本以及中共随州市委办公室关于引发《随州市科学技术局职能配置、内设机构和人员编制规定》的通知，随州市科学技术局设置绩效目标合理，符合部门制定的中长期规划和年度工作计划。</w:t>
      </w:r>
      <w:r>
        <w:rPr>
          <w:rFonts w:hint="eastAsia" w:ascii="仿宋" w:hAnsi="仿宋" w:eastAsia="仿宋" w:cs="仿宋"/>
          <w:b w:val="0"/>
          <w:bCs/>
          <w:color w:val="auto"/>
          <w:kern w:val="2"/>
          <w:sz w:val="32"/>
          <w:szCs w:val="32"/>
          <w:lang w:val="en-US" w:eastAsia="zh-CN" w:bidi="ar-SA"/>
        </w:rPr>
        <w:t>根据评分标准，不扣分，</w:t>
      </w:r>
      <w:r>
        <w:rPr>
          <w:rFonts w:hint="eastAsia" w:ascii="仿宋" w:hAnsi="仿宋" w:eastAsia="仿宋" w:cs="仿宋"/>
          <w:b w:val="0"/>
          <w:bCs/>
          <w:color w:val="auto"/>
          <w:kern w:val="2"/>
          <w:sz w:val="32"/>
          <w:szCs w:val="32"/>
          <w:highlight w:val="none"/>
          <w:lang w:val="en-US" w:eastAsia="zh-CN" w:bidi="ar-SA"/>
        </w:rPr>
        <w:t>得满分2分。</w:t>
      </w:r>
    </w:p>
    <w:p w14:paraId="2B6A12BC">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（2）绩效监控开展率：</w:t>
      </w:r>
      <w:r>
        <w:rPr>
          <w:rFonts w:hint="eastAsia" w:ascii="仿宋" w:hAnsi="仿宋" w:eastAsia="仿宋" w:cs="仿宋"/>
          <w:b w:val="0"/>
          <w:bCs/>
          <w:color w:val="auto"/>
          <w:kern w:val="2"/>
          <w:sz w:val="32"/>
          <w:szCs w:val="32"/>
          <w:highlight w:val="none"/>
          <w:lang w:val="en-US" w:eastAsia="zh-CN" w:bidi="ar-SA"/>
        </w:rPr>
        <w:t>据随州市科学技术局绩效监控表以及绩效监控报告</w:t>
      </w:r>
      <w:r>
        <w:rPr>
          <w:rFonts w:hint="eastAsia" w:ascii="仿宋" w:hAnsi="仿宋" w:eastAsia="仿宋" w:cs="仿宋"/>
          <w:b w:val="0"/>
          <w:bCs/>
          <w:color w:val="auto"/>
          <w:kern w:val="2"/>
          <w:sz w:val="32"/>
          <w:szCs w:val="32"/>
          <w:lang w:val="en-US" w:eastAsia="zh-CN" w:bidi="ar-SA"/>
        </w:rPr>
        <w:t>，绩效运行监控的范围覆盖了部门预算安排的所有项目支出，按期完成了绩效运行监控汇总分析工作。根据评分标准，不扣分，得满分1分。</w:t>
      </w:r>
    </w:p>
    <w:p w14:paraId="06CDBF26">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（3）绩效自评覆盖率：</w:t>
      </w:r>
      <w:r>
        <w:rPr>
          <w:rFonts w:hint="eastAsia" w:ascii="仿宋" w:hAnsi="仿宋" w:eastAsia="仿宋" w:cs="仿宋"/>
          <w:b w:val="0"/>
          <w:bCs/>
          <w:color w:val="auto"/>
          <w:kern w:val="2"/>
          <w:sz w:val="32"/>
          <w:szCs w:val="32"/>
          <w:highlight w:val="none"/>
          <w:lang w:val="en-US" w:eastAsia="zh-CN" w:bidi="ar-SA"/>
        </w:rPr>
        <w:t>据随州市科学技术局2024年绩效自评报告、自评表以及</w:t>
      </w:r>
      <w:r>
        <w:rPr>
          <w:rFonts w:ascii="仿宋_GB2312" w:hAnsi="仿宋_GB2312" w:eastAsia="仿宋_GB2312" w:cs="仿宋_GB2312"/>
          <w:b w:val="0"/>
          <w:bCs w:val="0"/>
          <w:color w:val="auto"/>
          <w:sz w:val="31"/>
          <w:szCs w:val="31"/>
        </w:rPr>
        <w:t>部门整体支出绩效目标自评表</w:t>
      </w:r>
      <w:r>
        <w:rPr>
          <w:rFonts w:hint="eastAsia" w:ascii="仿宋" w:hAnsi="仿宋" w:eastAsia="仿宋" w:cs="仿宋"/>
          <w:b w:val="0"/>
          <w:bCs/>
          <w:color w:val="auto"/>
          <w:kern w:val="2"/>
          <w:sz w:val="32"/>
          <w:szCs w:val="32"/>
          <w:highlight w:val="none"/>
          <w:lang w:val="en-US" w:eastAsia="zh-CN" w:bidi="ar-SA"/>
        </w:rPr>
        <w:t>，</w:t>
      </w:r>
      <w:r>
        <w:rPr>
          <w:rFonts w:hint="eastAsia" w:ascii="仿宋" w:hAnsi="仿宋" w:eastAsia="仿宋" w:cs="仿宋"/>
          <w:b w:val="0"/>
          <w:bCs/>
          <w:color w:val="auto"/>
          <w:kern w:val="2"/>
          <w:sz w:val="32"/>
          <w:szCs w:val="32"/>
          <w:lang w:val="en-US" w:eastAsia="zh-CN" w:bidi="ar-SA"/>
        </w:rPr>
        <w:t>2024年年初预算项目1个，开展绩效评价1个，绩效自评率100%。根据评分标准，不扣分，得满分2分。</w:t>
      </w:r>
    </w:p>
    <w:p w14:paraId="62364F0A">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（4）评价结果应用率：</w:t>
      </w:r>
      <w:r>
        <w:rPr>
          <w:rFonts w:hint="eastAsia" w:ascii="仿宋" w:hAnsi="仿宋" w:eastAsia="仿宋" w:cs="仿宋"/>
          <w:b w:val="0"/>
          <w:bCs/>
          <w:color w:val="auto"/>
          <w:kern w:val="2"/>
          <w:sz w:val="32"/>
          <w:szCs w:val="32"/>
          <w:highlight w:val="none"/>
          <w:lang w:val="en-US" w:eastAsia="zh-CN" w:bidi="ar-SA"/>
        </w:rPr>
        <w:t>随州市科学技术局</w:t>
      </w:r>
      <w:r>
        <w:rPr>
          <w:rFonts w:hint="eastAsia" w:ascii="仿宋" w:hAnsi="仿宋" w:eastAsia="仿宋" w:cs="仿宋"/>
          <w:b w:val="0"/>
          <w:bCs/>
          <w:color w:val="auto"/>
          <w:kern w:val="2"/>
          <w:sz w:val="32"/>
          <w:szCs w:val="32"/>
          <w:lang w:val="en-US" w:eastAsia="zh-CN" w:bidi="ar-SA"/>
        </w:rPr>
        <w:t>未提供绩效评价结果应用相关资料。根据评价结果应用率评分标准，未取得资料，不符合“部门(单位)是否根据部门自评和财政评价结果进行整改，以前年度的评价结果是否在本年度编制预算时进行应用”的评分标准，满分1分，实际得分0分。</w:t>
      </w:r>
    </w:p>
    <w:p w14:paraId="6C9DD8D6">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25" w:name="_Toc2926"/>
      <w:r>
        <w:rPr>
          <w:rFonts w:hint="eastAsia" w:ascii="仿宋" w:hAnsi="仿宋" w:eastAsia="仿宋" w:cs="仿宋"/>
          <w:b w:val="0"/>
          <w:bCs/>
          <w:color w:val="auto"/>
          <w:kern w:val="2"/>
          <w:sz w:val="32"/>
          <w:szCs w:val="32"/>
          <w:lang w:val="en-US" w:eastAsia="zh-CN" w:bidi="ar-SA"/>
        </w:rPr>
        <w:t>3.资产管理</w:t>
      </w:r>
      <w:bookmarkEnd w:id="125"/>
    </w:p>
    <w:p w14:paraId="239611FE">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（1）资产管理制度健全性：</w:t>
      </w:r>
      <w:r>
        <w:rPr>
          <w:rFonts w:hint="eastAsia" w:ascii="仿宋" w:hAnsi="仿宋" w:eastAsia="仿宋" w:cs="仿宋"/>
          <w:b w:val="0"/>
          <w:bCs/>
          <w:color w:val="auto"/>
          <w:kern w:val="2"/>
          <w:sz w:val="32"/>
          <w:szCs w:val="32"/>
          <w:highlight w:val="none"/>
          <w:lang w:val="en-US" w:eastAsia="zh-CN" w:bidi="ar-SA"/>
        </w:rPr>
        <w:t>据随州市科学技术局</w:t>
      </w:r>
      <w:r>
        <w:rPr>
          <w:rFonts w:hint="eastAsia" w:ascii="仿宋" w:hAnsi="仿宋" w:eastAsia="仿宋" w:cs="仿宋"/>
          <w:b w:val="0"/>
          <w:bCs/>
          <w:color w:val="auto"/>
          <w:kern w:val="2"/>
          <w:sz w:val="32"/>
          <w:szCs w:val="32"/>
          <w:lang w:val="en-US" w:eastAsia="zh-CN" w:bidi="ar-SA"/>
        </w:rPr>
        <w:t>《资产管理办法》，所制定制度包含了资产配置、使用、处置、收益等相关内容。根据评分标准，不扣分，得满分2分。</w:t>
      </w:r>
    </w:p>
    <w:p w14:paraId="2A772C28">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资产利用率：据随州市科学技术局2024年度固定资产明细账以及资产台账，发现2024年度无资产新增及资产处置情况，但资产配置超标准，经查，随州市科学技术局部门汇总资产台账中电脑26台，打印机15台，实有人数19人，人均电脑配置1.37台/人，人均打印机0.79台/人，超过通用设备配置标准。购置电脑单价超过6000元/台。根据资产利用率评分标准，不符合“是否按批复的预算配置资产，新购资产入库管理是否规范(如编制采购计划、进行采购审核、验收等)”的评分标准，满分2分，实际得分1分。</w:t>
      </w:r>
    </w:p>
    <w:p w14:paraId="20386CC1">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26" w:name="_Toc30459"/>
      <w:r>
        <w:rPr>
          <w:rFonts w:hint="eastAsia" w:ascii="仿宋" w:hAnsi="仿宋" w:eastAsia="仿宋" w:cs="仿宋"/>
          <w:b w:val="0"/>
          <w:bCs/>
          <w:color w:val="auto"/>
          <w:kern w:val="2"/>
          <w:sz w:val="32"/>
          <w:szCs w:val="32"/>
          <w:lang w:val="en-US" w:eastAsia="zh-CN" w:bidi="ar-SA"/>
        </w:rPr>
        <w:t>4.预算执行情况</w:t>
      </w:r>
      <w:bookmarkEnd w:id="126"/>
    </w:p>
    <w:p w14:paraId="395803B2">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1）预算调整率：据随州市科学技术局2024年度部门预算公开以及预算调整批复，发现2024年度预算因公出国境费5.00万元调整到办公费，年初预算635.81万元。预算调剂项目经费35.00万元，调整率6.29%。根据预算调整率评分标准，满分2分，实际得分1.8分。</w:t>
      </w:r>
    </w:p>
    <w:p w14:paraId="05D99F40">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（2）预算执行率：据随州市科学技术局2024年度部门预算公开以及2024年度部门决算报表，2024年度实际支出635.02万元（其中人员经费支出381.67万元，公用经费46.00万元 ，科技事业费支出172.35万元，35.00万元的炎帝人才支持计划经费的预算调剂），预算635.81万元（人员399.14万元，公用46.67万元，项目190.00万元，35.00万元的炎帝人才支持计划经费的预算调剂），预算执行率94.66%。根据预算执行率评分标准，不符合“事前是否已经过必要的可行性研究、专家论证、风险评估、绩效评估、集体决策”的评价要点，满分2分，实际得分1.5分。</w:t>
      </w:r>
    </w:p>
    <w:p w14:paraId="4E0E8CFF">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3）会计核算规范性：据随州市科学技术局2024年度会计凭证、明细账等，发现随州市科学技术局会计核算规范，但明细账未设置预算项目和部门预算经济分类等辅助核算；2024年乡村振兴驻村队员驻村补助报销存在整改清退情况。根据会计核算规范性评分标准，不符合“部门(单位)的财务核算是否符合国家财经法规和财务管理制度及专项资金管理有关规定；部门(单位)基础数据信息和会计信息资料是否真实、准确、完整”的评分标准，满分3分，实际得分2分。</w:t>
      </w:r>
    </w:p>
    <w:p w14:paraId="2C5F0D59">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4）资金使用合规性：据随州市科学技术局2024年度会计凭证、明细账等，发现2024年度公用经费用于人员支出18.52万元；附件不齐全情况，如：9月10#凭证，全省科技大会会议室租赁费0.10万元，无会议签到表；1月30#凭证，拨付专汽研究院运行经费100.00万元，后未附相关会议记录及三重一大程序。科创中心2024年6月6#凭证，发放端午节福利0.12万元，用行政弥补经费，应该用计提工会经费。根据资金使用合规性评分标准，不符合“资金拨付是否有完整的审批程序和手续；公用经费是否存在超标准支出情况，项目支出与公用经费是否存在交叉重复”的评分标准，满分5分，实际得分3.5分。</w:t>
      </w:r>
    </w:p>
    <w:p w14:paraId="75E0DD36">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（5）三公经费控制率：据随州市科学技术局2024年度部门预算公开以及2024年度部门决算报表，三公经费实际支出0.18万元，预算1.48万元，三公经费控制率12.16%。根据评分标准，不扣分，得满分2分。</w:t>
      </w:r>
    </w:p>
    <w:p w14:paraId="38E54462">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（6）结转结余率：据随州市科学技术局2024年度部门预算公开以及2024年度部门决算报表，2024年度无结转结余，根据评分标准，不扣分，得满分2分。</w:t>
      </w:r>
    </w:p>
    <w:p w14:paraId="5FC5CEEF">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highlight w:val="none"/>
          <w:lang w:val="en-US" w:eastAsia="zh-CN" w:bidi="ar-SA"/>
        </w:rPr>
      </w:pPr>
      <w:r>
        <w:rPr>
          <w:rFonts w:hint="eastAsia" w:ascii="仿宋" w:hAnsi="仿宋" w:eastAsia="仿宋" w:cs="仿宋"/>
          <w:b w:val="0"/>
          <w:bCs/>
          <w:color w:val="auto"/>
          <w:kern w:val="2"/>
          <w:sz w:val="32"/>
          <w:szCs w:val="32"/>
          <w:lang w:val="en-US" w:eastAsia="zh-CN" w:bidi="ar-SA"/>
        </w:rPr>
        <w:t>（7）政府采购执行率：据随州市科学技术局2024年度部门预算公开以及2024年度部门决算报表，2024年度预算无政府采购，2024年实际支出文印费5.41万元，2024年法律顾问费0.40万元等支出未纳入政府采购。根据政府采购执行率评分标准，</w:t>
      </w:r>
      <w:r>
        <w:rPr>
          <w:rFonts w:hint="eastAsia" w:ascii="仿宋" w:hAnsi="仿宋" w:eastAsia="仿宋" w:cs="仿宋"/>
          <w:b w:val="0"/>
          <w:bCs/>
          <w:color w:val="auto"/>
          <w:kern w:val="2"/>
          <w:sz w:val="32"/>
          <w:szCs w:val="32"/>
          <w:highlight w:val="none"/>
          <w:lang w:val="en-US" w:eastAsia="zh-CN" w:bidi="ar-SA"/>
        </w:rPr>
        <w:t>满分2分，实际得分0分。</w:t>
      </w:r>
    </w:p>
    <w:p w14:paraId="6BC2D693">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（8）非税收入预算完成率：据随州市科学技术局2024年度部门预算公开以及2024年度部门决算报表，2024年度非税收入实际完成数为0，无非税收入预算，根据评分标准，不扣分，得满分2分。</w:t>
      </w:r>
    </w:p>
    <w:p w14:paraId="733F4952">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1"/>
        <w:rPr>
          <w:rFonts w:hint="eastAsia" w:ascii="楷体" w:hAnsi="楷体" w:eastAsia="楷体" w:cs="楷体"/>
          <w:b w:val="0"/>
          <w:bCs/>
          <w:color w:val="auto"/>
          <w:kern w:val="2"/>
          <w:sz w:val="32"/>
          <w:szCs w:val="32"/>
          <w:lang w:val="en-US" w:eastAsia="zh-CN" w:bidi="ar-SA"/>
        </w:rPr>
      </w:pPr>
      <w:bookmarkStart w:id="127" w:name="_Toc15542"/>
      <w:r>
        <w:rPr>
          <w:rFonts w:hint="eastAsia" w:ascii="楷体" w:hAnsi="楷体" w:eastAsia="楷体" w:cs="楷体"/>
          <w:b w:val="0"/>
          <w:bCs/>
          <w:color w:val="auto"/>
          <w:kern w:val="2"/>
          <w:sz w:val="32"/>
          <w:szCs w:val="32"/>
          <w:lang w:val="en-US" w:eastAsia="zh-CN" w:bidi="ar-SA"/>
        </w:rPr>
        <w:t>（三）产出</w:t>
      </w:r>
      <w:bookmarkEnd w:id="127"/>
    </w:p>
    <w:p w14:paraId="23A3E479">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1"/>
        <w:rPr>
          <w:rFonts w:hint="eastAsia" w:ascii="仿宋" w:hAnsi="仿宋" w:eastAsia="仿宋" w:cs="仿宋"/>
          <w:b w:val="0"/>
          <w:bCs/>
          <w:color w:val="auto"/>
          <w:kern w:val="2"/>
          <w:sz w:val="32"/>
          <w:szCs w:val="32"/>
          <w:lang w:val="en-US" w:eastAsia="zh-CN" w:bidi="ar-SA"/>
        </w:rPr>
      </w:pPr>
      <w:bookmarkStart w:id="128" w:name="_Toc17103"/>
      <w:r>
        <w:rPr>
          <w:rFonts w:hint="eastAsia" w:ascii="仿宋" w:hAnsi="仿宋" w:eastAsia="仿宋" w:cs="仿宋"/>
          <w:b w:val="0"/>
          <w:bCs/>
          <w:color w:val="auto"/>
          <w:kern w:val="2"/>
          <w:sz w:val="32"/>
          <w:szCs w:val="32"/>
          <w:lang w:val="en-US" w:eastAsia="zh-CN" w:bidi="ar-SA"/>
        </w:rPr>
        <w:t>目标总分值为30分，实际得分30分。</w:t>
      </w:r>
      <w:bookmarkEnd w:id="128"/>
    </w:p>
    <w:p w14:paraId="7AE50F7B">
      <w:pPr>
        <w:pStyle w:val="15"/>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0" w:leftChars="0" w:firstLine="480" w:firstLineChars="200"/>
        <w:textAlignment w:val="center"/>
        <w:outlineLvl w:val="2"/>
        <w:rPr>
          <w:rFonts w:hint="eastAsia" w:ascii="仿宋" w:hAnsi="仿宋" w:eastAsia="仿宋" w:cs="仿宋"/>
          <w:b w:val="0"/>
          <w:bCs/>
          <w:color w:val="auto"/>
          <w:kern w:val="2"/>
          <w:sz w:val="32"/>
          <w:szCs w:val="32"/>
          <w:lang w:val="en-US" w:eastAsia="zh-CN" w:bidi="ar-SA"/>
        </w:rPr>
      </w:pPr>
      <w:bookmarkStart w:id="129" w:name="_Toc6481"/>
      <w:r>
        <w:rPr>
          <w:color w:val="auto"/>
        </w:rPr>
        <w:drawing>
          <wp:inline distT="0" distB="0" distL="114300" distR="114300">
            <wp:extent cx="4831080" cy="2743200"/>
            <wp:effectExtent l="4445" t="4445" r="10795" b="10795"/>
            <wp:docPr id="6" name="图表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29"/>
    </w:p>
    <w:p w14:paraId="03ABA805">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30" w:name="_Toc20312"/>
      <w:r>
        <w:rPr>
          <w:rFonts w:hint="eastAsia" w:ascii="仿宋" w:hAnsi="仿宋" w:eastAsia="仿宋" w:cs="仿宋"/>
          <w:b w:val="0"/>
          <w:bCs/>
          <w:color w:val="auto"/>
          <w:kern w:val="2"/>
          <w:sz w:val="32"/>
          <w:szCs w:val="32"/>
          <w:lang w:val="en-US" w:eastAsia="zh-CN" w:bidi="ar-SA"/>
        </w:rPr>
        <w:t>1.完成目标任务数量</w:t>
      </w:r>
      <w:bookmarkEnd w:id="130"/>
    </w:p>
    <w:bookmarkEnd w:id="85"/>
    <w:p w14:paraId="5D20A7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center"/>
        <w:rPr>
          <w:rFonts w:hint="eastAsia" w:ascii="仿宋" w:hAnsi="仿宋" w:eastAsia="仿宋" w:cs="仿宋"/>
          <w:b w:val="0"/>
          <w:bCs/>
          <w:color w:val="auto"/>
          <w:kern w:val="2"/>
          <w:sz w:val="32"/>
          <w:szCs w:val="32"/>
          <w:lang w:val="en-US" w:eastAsia="zh-CN" w:bidi="ar-SA"/>
        </w:rPr>
      </w:pPr>
      <w:bookmarkStart w:id="131" w:name="_Toc397067824"/>
      <w:r>
        <w:rPr>
          <w:rFonts w:hint="eastAsia" w:ascii="仿宋" w:hAnsi="仿宋" w:eastAsia="仿宋" w:cs="仿宋"/>
          <w:b w:val="0"/>
          <w:bCs/>
          <w:color w:val="auto"/>
          <w:kern w:val="2"/>
          <w:sz w:val="32"/>
          <w:szCs w:val="32"/>
          <w:lang w:val="en-US" w:eastAsia="zh-CN" w:bidi="ar-SA"/>
        </w:rPr>
        <w:t>（1）新认定的国家高新技术企业，年初目标值为突破30家。据随州市科学技术局部门整体支出绩效自评报告以及市科技局2024年领导班子述职述廉报告，实际完成认定45家。根据评分标准，不扣分，得满分6分。</w:t>
      </w:r>
    </w:p>
    <w:p w14:paraId="230741EE">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国家高新技术企业总数，年初目标值突破210家，据随州市科学技术局部门整体支出绩效自评报告以及市科技局2024年领导班子述职述廉报告，发现2024年全市国家高新技术企业总数突破320家，同比增长36%，根据评分标准，不扣分，得满分6分。</w:t>
      </w:r>
    </w:p>
    <w:p w14:paraId="39D07466">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3）科技成果转化，年初目标值≥20项，据随州市科学技术局部门整体支出绩效自评报告以及市科技局2024年领导班子述职述廉报告，发现畅通产学研渠道，组织企校“双进”活动11场次，签约成果转化项目30项，荣获2023年度湖北省科技进步奖6项，技术合同成交额达66亿元，同比增长20%。根据评分标准，不扣分，得满分6分。</w:t>
      </w:r>
    </w:p>
    <w:p w14:paraId="718EE29F">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32" w:name="_Toc25809"/>
      <w:r>
        <w:rPr>
          <w:rFonts w:hint="eastAsia" w:ascii="仿宋" w:hAnsi="仿宋" w:eastAsia="仿宋" w:cs="仿宋"/>
          <w:b w:val="0"/>
          <w:bCs/>
          <w:color w:val="auto"/>
          <w:kern w:val="2"/>
          <w:sz w:val="32"/>
          <w:szCs w:val="32"/>
          <w:lang w:val="en-US" w:eastAsia="zh-CN" w:bidi="ar-SA"/>
        </w:rPr>
        <w:t>2.完成项目成本</w:t>
      </w:r>
      <w:bookmarkEnd w:id="132"/>
    </w:p>
    <w:p w14:paraId="3688BBBE">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完成目标成本控制率：据随州市科学技术局2024年度部门预算公开以及2024年度部门决算报表，各项目标均在预算范围内完成目标。根据评分标准，不扣分，得满分6分。</w:t>
      </w:r>
    </w:p>
    <w:p w14:paraId="4F6CE3CD">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left="0" w:leftChars="0" w:firstLine="640" w:firstLineChars="200"/>
        <w:textAlignment w:val="center"/>
        <w:outlineLvl w:val="2"/>
        <w:rPr>
          <w:rFonts w:hint="eastAsia" w:ascii="仿宋" w:hAnsi="仿宋" w:eastAsia="仿宋" w:cs="仿宋"/>
          <w:b w:val="0"/>
          <w:bCs/>
          <w:color w:val="auto"/>
          <w:kern w:val="2"/>
          <w:sz w:val="32"/>
          <w:szCs w:val="32"/>
          <w:lang w:val="en-US" w:eastAsia="zh-CN" w:bidi="ar-SA"/>
        </w:rPr>
      </w:pPr>
      <w:bookmarkStart w:id="133" w:name="_Toc4395"/>
      <w:r>
        <w:rPr>
          <w:rFonts w:hint="eastAsia" w:ascii="仿宋" w:hAnsi="仿宋" w:eastAsia="仿宋" w:cs="仿宋"/>
          <w:b w:val="0"/>
          <w:bCs/>
          <w:color w:val="auto"/>
          <w:kern w:val="2"/>
          <w:sz w:val="32"/>
          <w:szCs w:val="32"/>
          <w:lang w:val="en-US" w:eastAsia="zh-CN" w:bidi="ar-SA"/>
        </w:rPr>
        <w:t>3.完成目标质量</w:t>
      </w:r>
      <w:bookmarkEnd w:id="133"/>
    </w:p>
    <w:p w14:paraId="565F7D26">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完成目标质量：据2024年度明细账、业务资料以及2024年领导班子述职述廉报告，组织业务学习与培训3次，保障了各项工作任务完成质量。根据评分标准，不扣分，得满分6分。</w:t>
      </w:r>
    </w:p>
    <w:p w14:paraId="0B65B9B6">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楷体" w:hAnsi="楷体" w:eastAsia="楷体" w:cs="楷体"/>
          <w:color w:val="auto"/>
          <w:kern w:val="0"/>
          <w:sz w:val="32"/>
          <w:highlight w:val="none"/>
          <w:lang w:val="en-US" w:eastAsia="zh-CN"/>
        </w:rPr>
      </w:pPr>
      <w:bookmarkStart w:id="134" w:name="_Toc19324"/>
      <w:r>
        <w:rPr>
          <w:rFonts w:hint="eastAsia" w:ascii="楷体" w:hAnsi="楷体" w:eastAsia="楷体" w:cs="楷体"/>
          <w:color w:val="auto"/>
          <w:kern w:val="0"/>
          <w:sz w:val="32"/>
          <w:highlight w:val="none"/>
          <w:lang w:val="en-US" w:eastAsia="zh-CN"/>
        </w:rPr>
        <w:t>（四）效果</w:t>
      </w:r>
      <w:bookmarkEnd w:id="134"/>
    </w:p>
    <w:p w14:paraId="7B464F30">
      <w:pPr>
        <w:pStyle w:val="15"/>
        <w:keepNext w:val="0"/>
        <w:keepLines w:val="0"/>
        <w:pageBreakBefore w:val="0"/>
        <w:widowControl w:val="0"/>
        <w:numPr>
          <w:ilvl w:val="0"/>
          <w:numId w:val="0"/>
        </w:numPr>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仿宋" w:hAnsi="仿宋" w:eastAsia="仿宋" w:cs="仿宋"/>
          <w:b w:val="0"/>
          <w:bCs/>
          <w:color w:val="auto"/>
          <w:kern w:val="2"/>
          <w:sz w:val="32"/>
          <w:szCs w:val="32"/>
          <w:lang w:val="en-US" w:eastAsia="zh-CN" w:bidi="ar-SA"/>
        </w:rPr>
      </w:pPr>
      <w:bookmarkStart w:id="135" w:name="_Toc3420"/>
      <w:r>
        <w:rPr>
          <w:rFonts w:hint="eastAsia" w:ascii="仿宋" w:hAnsi="仿宋" w:eastAsia="仿宋" w:cs="仿宋"/>
          <w:b w:val="0"/>
          <w:bCs/>
          <w:color w:val="auto"/>
          <w:kern w:val="2"/>
          <w:sz w:val="32"/>
          <w:szCs w:val="32"/>
          <w:lang w:val="en-US" w:eastAsia="zh-CN" w:bidi="ar-SA"/>
        </w:rPr>
        <w:t>目标总分值为18分，实际得分18分。</w:t>
      </w:r>
      <w:bookmarkEnd w:id="135"/>
    </w:p>
    <w:p w14:paraId="6B3C7047">
      <w:pPr>
        <w:pStyle w:val="15"/>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firstLine="480" w:firstLineChars="200"/>
        <w:textAlignment w:val="center"/>
        <w:outlineLvl w:val="1"/>
        <w:rPr>
          <w:rFonts w:hint="eastAsia" w:ascii="仿宋" w:hAnsi="仿宋" w:eastAsia="仿宋" w:cs="仿宋"/>
          <w:b w:val="0"/>
          <w:bCs/>
          <w:color w:val="auto"/>
          <w:kern w:val="2"/>
          <w:sz w:val="32"/>
          <w:szCs w:val="32"/>
          <w:lang w:val="en-US" w:eastAsia="zh-CN" w:bidi="ar-SA"/>
        </w:rPr>
      </w:pPr>
      <w:r>
        <w:rPr>
          <w:rFonts w:hint="eastAsia"/>
          <w:color w:val="auto"/>
          <w:lang w:val="en-US" w:eastAsia="zh-CN"/>
        </w:rPr>
        <w:t xml:space="preserve">        </w:t>
      </w:r>
      <w:bookmarkStart w:id="136" w:name="_Toc10356"/>
      <w:r>
        <w:rPr>
          <w:color w:val="auto"/>
        </w:rPr>
        <w:drawing>
          <wp:inline distT="0" distB="0" distL="114300" distR="114300">
            <wp:extent cx="3779520" cy="3048000"/>
            <wp:effectExtent l="4445" t="4445" r="10795" b="1079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136"/>
    </w:p>
    <w:p w14:paraId="0976084E">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37" w:name="_Toc23415"/>
      <w:r>
        <w:rPr>
          <w:rFonts w:hint="eastAsia" w:ascii="仿宋" w:hAnsi="仿宋" w:eastAsia="仿宋" w:cs="仿宋"/>
          <w:color w:val="auto"/>
          <w:sz w:val="32"/>
          <w:szCs w:val="32"/>
          <w:lang w:val="en-US" w:eastAsia="zh-CN"/>
        </w:rPr>
        <w:t>1.社会效益</w:t>
      </w:r>
      <w:bookmarkEnd w:id="137"/>
    </w:p>
    <w:p w14:paraId="47D98F43">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随州市科学技术局部门整体支出绩效自评报告以及市科技局2024年领导班子述职述廉报告，发现新增科技副总7人，加强柔性引才，组织申报省级科创团队3个、省级乡村振兴示范基地3个、省级科技特派员17个，新建科技特派员工作站7个，获批省级科技专员项目3个，备案市级科技副总40人次，根据评分标准，不扣分，得满分6分。</w:t>
      </w:r>
    </w:p>
    <w:p w14:paraId="5CD24A8C">
      <w:pPr>
        <w:pStyle w:val="5"/>
        <w:keepNext/>
        <w:keepLines/>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color w:val="auto"/>
          <w:sz w:val="32"/>
          <w:szCs w:val="32"/>
          <w:lang w:val="en-US" w:eastAsia="zh-CN"/>
        </w:rPr>
      </w:pPr>
      <w:bookmarkStart w:id="138" w:name="_Toc570"/>
      <w:r>
        <w:rPr>
          <w:rFonts w:hint="eastAsia" w:ascii="仿宋" w:hAnsi="仿宋" w:eastAsia="仿宋" w:cs="仿宋"/>
          <w:color w:val="auto"/>
          <w:sz w:val="32"/>
          <w:szCs w:val="32"/>
          <w:lang w:val="en-US" w:eastAsia="zh-CN"/>
        </w:rPr>
        <w:t>2.经济效益</w:t>
      </w:r>
      <w:bookmarkEnd w:id="138"/>
    </w:p>
    <w:p w14:paraId="74F7921E">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据随州市科学技术局部门整体支出绩效自评报告以及市科技局2024年领导班子述职述廉报告，发现：</w:t>
      </w:r>
    </w:p>
    <w:p w14:paraId="6B17F39C">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（1）高新产业增加值占GDP比重：高新产业增加值占GDP比重14.90%，根据评分标准，不扣分，得满分6分。</w:t>
      </w:r>
    </w:p>
    <w:p w14:paraId="1317CF2D">
      <w:pPr>
        <w:pStyle w:val="15"/>
        <w:keepNext w:val="0"/>
        <w:keepLines w:val="0"/>
        <w:pageBreakBefore w:val="0"/>
        <w:widowControl w:val="0"/>
        <w:kinsoku/>
        <w:wordWrap/>
        <w:overflowPunct/>
        <w:topLinePunct w:val="0"/>
        <w:autoSpaceDE/>
        <w:autoSpaceDN/>
        <w:bidi w:val="0"/>
        <w:adjustRightInd/>
        <w:spacing w:beforeAutospacing="0" w:afterAutospacing="0" w:line="580" w:lineRule="exact"/>
        <w:textAlignment w:val="center"/>
        <w:rPr>
          <w:rFonts w:hint="eastAsia" w:ascii="仿宋" w:hAnsi="仿宋" w:eastAsia="仿宋" w:cs="仿宋"/>
          <w:b w:val="0"/>
          <w:bCs/>
          <w:color w:val="auto"/>
          <w:kern w:val="2"/>
          <w:sz w:val="32"/>
          <w:szCs w:val="32"/>
          <w:lang w:val="en-US" w:eastAsia="zh-CN" w:bidi="ar-SA"/>
        </w:rPr>
      </w:pPr>
      <w:r>
        <w:rPr>
          <w:rFonts w:hint="eastAsia" w:ascii="仿宋" w:hAnsi="仿宋" w:eastAsia="仿宋" w:cs="仿宋"/>
          <w:b w:val="0"/>
          <w:bCs/>
          <w:color w:val="auto"/>
          <w:kern w:val="2"/>
          <w:sz w:val="32"/>
          <w:szCs w:val="32"/>
          <w:lang w:val="en-US" w:eastAsia="zh-CN" w:bidi="ar-SA"/>
        </w:rPr>
        <w:t>（2）科技特派员数量助力乡村振兴：科技特派员数量助力乡村振兴317人，根据评分标准，不扣分，得满分6分。</w:t>
      </w:r>
      <w:bookmarkEnd w:id="131"/>
      <w:bookmarkStart w:id="139" w:name="_Toc397067832"/>
    </w:p>
    <w:p w14:paraId="4ED9D02E">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val="en-US" w:eastAsia="zh-CN"/>
        </w:rPr>
      </w:pPr>
      <w:bookmarkStart w:id="140" w:name="_Toc10361"/>
      <w:r>
        <w:rPr>
          <w:rFonts w:hint="eastAsia" w:ascii="黑体" w:hAnsi="黑体" w:eastAsia="黑体" w:cs="黑体"/>
          <w:color w:val="auto"/>
          <w:kern w:val="0"/>
          <w:sz w:val="32"/>
          <w:highlight w:val="none"/>
          <w:lang w:val="en-US" w:eastAsia="zh-CN"/>
        </w:rPr>
        <w:t>六、绩效评价结论</w:t>
      </w:r>
      <w:bookmarkEnd w:id="139"/>
      <w:bookmarkEnd w:id="140"/>
    </w:p>
    <w:p w14:paraId="6729B6F3">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9"/>
        <w:rPr>
          <w:rFonts w:hint="eastAsia" w:ascii="仿宋" w:hAnsi="仿宋" w:eastAsia="仿宋" w:cs="仿宋"/>
          <w:color w:val="auto"/>
          <w:kern w:val="0"/>
          <w:sz w:val="32"/>
        </w:rPr>
      </w:pPr>
      <w:r>
        <w:rPr>
          <w:rFonts w:hint="eastAsia" w:ascii="仿宋" w:hAnsi="仿宋" w:eastAsia="仿宋" w:cs="仿宋"/>
          <w:color w:val="auto"/>
          <w:kern w:val="0"/>
          <w:sz w:val="32"/>
        </w:rPr>
        <w:t>通过各项绩效指标评价的结果，反映出部门整体支出、收入、执行及调整等事项安排合理、运行稳健，在投入、过程、产出、工作成就和社会效益等方面都取得了较好成绩。综上所述，总评分为</w:t>
      </w:r>
      <w:r>
        <w:rPr>
          <w:rFonts w:hint="eastAsia" w:ascii="仿宋" w:hAnsi="仿宋" w:eastAsia="仿宋" w:cs="仿宋"/>
          <w:color w:val="auto"/>
          <w:kern w:val="0"/>
          <w:sz w:val="32"/>
          <w:lang w:val="en-US" w:eastAsia="zh-CN"/>
        </w:rPr>
        <w:t>90.3</w:t>
      </w:r>
      <w:r>
        <w:rPr>
          <w:rFonts w:hint="eastAsia" w:ascii="仿宋" w:hAnsi="仿宋" w:eastAsia="仿宋" w:cs="仿宋"/>
          <w:color w:val="auto"/>
          <w:kern w:val="0"/>
          <w:sz w:val="32"/>
        </w:rPr>
        <w:t>分，评价小组通过综合认定的评价等级为“</w:t>
      </w:r>
      <w:r>
        <w:rPr>
          <w:rFonts w:hint="eastAsia" w:ascii="仿宋" w:hAnsi="仿宋" w:eastAsia="仿宋" w:cs="仿宋"/>
          <w:color w:val="auto"/>
          <w:kern w:val="0"/>
          <w:sz w:val="32"/>
          <w:lang w:eastAsia="zh-CN"/>
        </w:rPr>
        <w:t>优</w:t>
      </w:r>
      <w:r>
        <w:rPr>
          <w:rFonts w:hint="eastAsia" w:ascii="仿宋" w:hAnsi="仿宋" w:eastAsia="仿宋" w:cs="仿宋"/>
          <w:color w:val="auto"/>
          <w:kern w:val="0"/>
          <w:sz w:val="32"/>
        </w:rPr>
        <w:t>”。</w:t>
      </w:r>
    </w:p>
    <w:tbl>
      <w:tblPr>
        <w:tblStyle w:val="16"/>
        <w:tblW w:w="8850" w:type="dxa"/>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0" w:type="dxa"/>
          <w:bottom w:w="0" w:type="dxa"/>
          <w:right w:w="0" w:type="dxa"/>
        </w:tblCellMar>
      </w:tblPr>
      <w:tblGrid>
        <w:gridCol w:w="2137"/>
        <w:gridCol w:w="2121"/>
        <w:gridCol w:w="2330"/>
        <w:gridCol w:w="2262"/>
      </w:tblGrid>
      <w:tr w14:paraId="770F2BAF">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0" w:hRule="atLeast"/>
        </w:trPr>
        <w:tc>
          <w:tcPr>
            <w:tcW w:w="2137" w:type="dxa"/>
            <w:noWrap/>
            <w:tcMar>
              <w:top w:w="10" w:type="dxa"/>
              <w:left w:w="10" w:type="dxa"/>
              <w:right w:w="10" w:type="dxa"/>
            </w:tcMar>
            <w:vAlign w:val="bottom"/>
          </w:tcPr>
          <w:p w14:paraId="61706594">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评价指标</w:t>
            </w:r>
          </w:p>
        </w:tc>
        <w:tc>
          <w:tcPr>
            <w:tcW w:w="2121" w:type="dxa"/>
            <w:noWrap/>
            <w:tcMar>
              <w:top w:w="10" w:type="dxa"/>
              <w:left w:w="10" w:type="dxa"/>
              <w:right w:w="10" w:type="dxa"/>
            </w:tcMar>
            <w:vAlign w:val="bottom"/>
          </w:tcPr>
          <w:p w14:paraId="1C55F91F">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权重</w:t>
            </w:r>
          </w:p>
        </w:tc>
        <w:tc>
          <w:tcPr>
            <w:tcW w:w="2330" w:type="dxa"/>
            <w:noWrap/>
            <w:tcMar>
              <w:top w:w="10" w:type="dxa"/>
              <w:left w:w="10" w:type="dxa"/>
              <w:right w:w="10" w:type="dxa"/>
            </w:tcMar>
            <w:vAlign w:val="bottom"/>
          </w:tcPr>
          <w:p w14:paraId="5221F7BC">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标准分值</w:t>
            </w:r>
          </w:p>
        </w:tc>
        <w:tc>
          <w:tcPr>
            <w:tcW w:w="2262" w:type="dxa"/>
            <w:noWrap/>
            <w:tcMar>
              <w:top w:w="10" w:type="dxa"/>
              <w:left w:w="10" w:type="dxa"/>
              <w:right w:w="10" w:type="dxa"/>
            </w:tcMar>
            <w:vAlign w:val="bottom"/>
          </w:tcPr>
          <w:p w14:paraId="1E51B022">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评价得分</w:t>
            </w:r>
          </w:p>
        </w:tc>
      </w:tr>
      <w:tr w14:paraId="5EB5A68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2" w:hRule="atLeast"/>
        </w:trPr>
        <w:tc>
          <w:tcPr>
            <w:tcW w:w="2137" w:type="dxa"/>
            <w:noWrap/>
            <w:tcMar>
              <w:top w:w="10" w:type="dxa"/>
              <w:left w:w="10" w:type="dxa"/>
              <w:right w:w="10" w:type="dxa"/>
            </w:tcMar>
            <w:vAlign w:val="bottom"/>
          </w:tcPr>
          <w:p w14:paraId="48F21126">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eastAsia="zh-CN"/>
              </w:rPr>
            </w:pPr>
            <w:r>
              <w:rPr>
                <w:rFonts w:hint="eastAsia" w:ascii="仿宋" w:hAnsi="仿宋" w:eastAsia="仿宋" w:cs="仿宋"/>
                <w:b w:val="0"/>
                <w:bCs w:val="0"/>
                <w:snapToGrid w:val="0"/>
                <w:color w:val="auto"/>
                <w:kern w:val="0"/>
                <w:sz w:val="32"/>
                <w:szCs w:val="32"/>
                <w:lang w:eastAsia="zh-CN"/>
              </w:rPr>
              <w:t>投入</w:t>
            </w:r>
          </w:p>
        </w:tc>
        <w:tc>
          <w:tcPr>
            <w:tcW w:w="2121" w:type="dxa"/>
            <w:noWrap/>
            <w:tcMar>
              <w:top w:w="10" w:type="dxa"/>
              <w:left w:w="10" w:type="dxa"/>
              <w:right w:w="10" w:type="dxa"/>
            </w:tcMar>
            <w:vAlign w:val="bottom"/>
          </w:tcPr>
          <w:p w14:paraId="1544A9CE">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val="en-US" w:eastAsia="zh-CN" w:bidi="ar"/>
              </w:rPr>
              <w:t>20</w:t>
            </w:r>
            <w:r>
              <w:rPr>
                <w:rFonts w:hint="eastAsia" w:ascii="仿宋" w:hAnsi="仿宋" w:eastAsia="仿宋" w:cs="仿宋"/>
                <w:b w:val="0"/>
                <w:bCs w:val="0"/>
                <w:snapToGrid w:val="0"/>
                <w:color w:val="auto"/>
                <w:kern w:val="0"/>
                <w:sz w:val="32"/>
                <w:szCs w:val="32"/>
                <w:lang w:bidi="ar"/>
              </w:rPr>
              <w:t>%</w:t>
            </w:r>
          </w:p>
        </w:tc>
        <w:tc>
          <w:tcPr>
            <w:tcW w:w="2330" w:type="dxa"/>
            <w:noWrap/>
            <w:tcMar>
              <w:top w:w="10" w:type="dxa"/>
              <w:left w:w="10" w:type="dxa"/>
              <w:right w:w="10" w:type="dxa"/>
            </w:tcMar>
            <w:vAlign w:val="bottom"/>
          </w:tcPr>
          <w:p w14:paraId="4219A35E">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rPr>
              <w:t>20</w:t>
            </w:r>
          </w:p>
        </w:tc>
        <w:tc>
          <w:tcPr>
            <w:tcW w:w="2262" w:type="dxa"/>
            <w:noWrap/>
            <w:tcMar>
              <w:top w:w="10" w:type="dxa"/>
              <w:left w:w="10" w:type="dxa"/>
              <w:right w:w="10" w:type="dxa"/>
            </w:tcMar>
            <w:vAlign w:val="bottom"/>
          </w:tcPr>
          <w:p w14:paraId="64DB6EBD">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rPr>
            </w:pPr>
            <w:r>
              <w:rPr>
                <w:rFonts w:hint="eastAsia" w:ascii="仿宋" w:hAnsi="仿宋" w:eastAsia="仿宋" w:cs="仿宋"/>
                <w:b w:val="0"/>
                <w:bCs w:val="0"/>
                <w:snapToGrid w:val="0"/>
                <w:color w:val="auto"/>
                <w:kern w:val="0"/>
                <w:sz w:val="32"/>
                <w:szCs w:val="32"/>
                <w:lang w:val="en-US" w:eastAsia="zh-CN"/>
              </w:rPr>
              <w:t>17.5</w:t>
            </w:r>
          </w:p>
        </w:tc>
      </w:tr>
      <w:tr w14:paraId="0D5D3E13">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0" w:hRule="atLeast"/>
        </w:trPr>
        <w:tc>
          <w:tcPr>
            <w:tcW w:w="2137" w:type="dxa"/>
            <w:noWrap/>
            <w:tcMar>
              <w:top w:w="10" w:type="dxa"/>
              <w:left w:w="10" w:type="dxa"/>
              <w:right w:w="10" w:type="dxa"/>
            </w:tcMar>
            <w:vAlign w:val="bottom"/>
          </w:tcPr>
          <w:p w14:paraId="2C439BB8">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eastAsia="zh-CN" w:bidi="ar"/>
              </w:rPr>
            </w:pPr>
            <w:r>
              <w:rPr>
                <w:rFonts w:hint="eastAsia" w:ascii="仿宋" w:hAnsi="仿宋" w:eastAsia="仿宋" w:cs="仿宋"/>
                <w:b w:val="0"/>
                <w:bCs w:val="0"/>
                <w:snapToGrid w:val="0"/>
                <w:color w:val="auto"/>
                <w:kern w:val="0"/>
                <w:sz w:val="32"/>
                <w:szCs w:val="32"/>
                <w:lang w:eastAsia="zh-CN" w:bidi="ar"/>
              </w:rPr>
              <w:t>过程</w:t>
            </w:r>
          </w:p>
        </w:tc>
        <w:tc>
          <w:tcPr>
            <w:tcW w:w="2121" w:type="dxa"/>
            <w:noWrap/>
            <w:tcMar>
              <w:top w:w="10" w:type="dxa"/>
              <w:left w:w="10" w:type="dxa"/>
              <w:right w:w="10" w:type="dxa"/>
            </w:tcMar>
            <w:vAlign w:val="bottom"/>
          </w:tcPr>
          <w:p w14:paraId="79918379">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val="en-US" w:eastAsia="zh-CN" w:bidi="ar"/>
              </w:rPr>
            </w:pPr>
            <w:r>
              <w:rPr>
                <w:rFonts w:hint="eastAsia" w:ascii="仿宋" w:hAnsi="仿宋" w:eastAsia="仿宋" w:cs="仿宋"/>
                <w:b w:val="0"/>
                <w:bCs w:val="0"/>
                <w:snapToGrid w:val="0"/>
                <w:color w:val="auto"/>
                <w:kern w:val="0"/>
                <w:sz w:val="32"/>
                <w:szCs w:val="32"/>
                <w:lang w:val="en-US" w:eastAsia="zh-CN" w:bidi="ar"/>
              </w:rPr>
              <w:t>32%</w:t>
            </w:r>
          </w:p>
        </w:tc>
        <w:tc>
          <w:tcPr>
            <w:tcW w:w="2330" w:type="dxa"/>
            <w:noWrap/>
            <w:tcMar>
              <w:top w:w="10" w:type="dxa"/>
              <w:left w:w="10" w:type="dxa"/>
              <w:right w:w="10" w:type="dxa"/>
            </w:tcMar>
            <w:vAlign w:val="bottom"/>
          </w:tcPr>
          <w:p w14:paraId="5F503F8C">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eastAsia="zh-CN" w:bidi="ar"/>
              </w:rPr>
            </w:pPr>
            <w:r>
              <w:rPr>
                <w:rFonts w:hint="eastAsia" w:ascii="仿宋" w:hAnsi="仿宋" w:eastAsia="仿宋" w:cs="仿宋"/>
                <w:b w:val="0"/>
                <w:bCs w:val="0"/>
                <w:snapToGrid w:val="0"/>
                <w:color w:val="auto"/>
                <w:kern w:val="0"/>
                <w:sz w:val="32"/>
                <w:szCs w:val="32"/>
                <w:lang w:val="en-US" w:eastAsia="zh-CN" w:bidi="ar"/>
              </w:rPr>
              <w:t>32</w:t>
            </w:r>
          </w:p>
        </w:tc>
        <w:tc>
          <w:tcPr>
            <w:tcW w:w="2262" w:type="dxa"/>
            <w:noWrap/>
            <w:tcMar>
              <w:top w:w="10" w:type="dxa"/>
              <w:left w:w="10" w:type="dxa"/>
              <w:right w:w="10" w:type="dxa"/>
            </w:tcMar>
            <w:vAlign w:val="bottom"/>
          </w:tcPr>
          <w:p w14:paraId="3B13E446">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rPr>
              <w:t>24.8</w:t>
            </w:r>
          </w:p>
        </w:tc>
      </w:tr>
      <w:tr w14:paraId="02484CD1">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0" w:hRule="atLeast"/>
        </w:trPr>
        <w:tc>
          <w:tcPr>
            <w:tcW w:w="2137" w:type="dxa"/>
            <w:noWrap/>
            <w:tcMar>
              <w:top w:w="10" w:type="dxa"/>
              <w:left w:w="10" w:type="dxa"/>
              <w:right w:w="10" w:type="dxa"/>
            </w:tcMar>
            <w:vAlign w:val="bottom"/>
          </w:tcPr>
          <w:p w14:paraId="47DF2329">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产出</w:t>
            </w:r>
          </w:p>
        </w:tc>
        <w:tc>
          <w:tcPr>
            <w:tcW w:w="2121" w:type="dxa"/>
            <w:noWrap/>
            <w:tcMar>
              <w:top w:w="10" w:type="dxa"/>
              <w:left w:w="10" w:type="dxa"/>
              <w:right w:w="10" w:type="dxa"/>
            </w:tcMar>
            <w:vAlign w:val="bottom"/>
          </w:tcPr>
          <w:p w14:paraId="5E3949F0">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val="en-US" w:eastAsia="zh-CN" w:bidi="ar"/>
              </w:rPr>
              <w:t>30</w:t>
            </w:r>
            <w:r>
              <w:rPr>
                <w:rFonts w:hint="eastAsia" w:ascii="仿宋" w:hAnsi="仿宋" w:eastAsia="仿宋" w:cs="仿宋"/>
                <w:b w:val="0"/>
                <w:bCs w:val="0"/>
                <w:snapToGrid w:val="0"/>
                <w:color w:val="auto"/>
                <w:kern w:val="0"/>
                <w:sz w:val="32"/>
                <w:szCs w:val="32"/>
                <w:lang w:bidi="ar"/>
              </w:rPr>
              <w:t>%</w:t>
            </w:r>
          </w:p>
        </w:tc>
        <w:tc>
          <w:tcPr>
            <w:tcW w:w="2330" w:type="dxa"/>
            <w:noWrap/>
            <w:tcMar>
              <w:top w:w="10" w:type="dxa"/>
              <w:left w:w="10" w:type="dxa"/>
              <w:right w:w="10" w:type="dxa"/>
            </w:tcMar>
            <w:vAlign w:val="bottom"/>
          </w:tcPr>
          <w:p w14:paraId="05BF070D">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bidi="ar"/>
              </w:rPr>
              <w:t>30</w:t>
            </w:r>
          </w:p>
        </w:tc>
        <w:tc>
          <w:tcPr>
            <w:tcW w:w="2262" w:type="dxa"/>
            <w:noWrap/>
            <w:tcMar>
              <w:top w:w="10" w:type="dxa"/>
              <w:left w:w="10" w:type="dxa"/>
              <w:right w:w="10" w:type="dxa"/>
            </w:tcMar>
            <w:vAlign w:val="bottom"/>
          </w:tcPr>
          <w:p w14:paraId="1C7D7DF6">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rPr>
              <w:t>30</w:t>
            </w:r>
          </w:p>
        </w:tc>
      </w:tr>
      <w:tr w14:paraId="7DA88320">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0" w:hRule="atLeast"/>
        </w:trPr>
        <w:tc>
          <w:tcPr>
            <w:tcW w:w="2137" w:type="dxa"/>
            <w:noWrap/>
            <w:tcMar>
              <w:top w:w="10" w:type="dxa"/>
              <w:left w:w="10" w:type="dxa"/>
              <w:right w:w="10" w:type="dxa"/>
            </w:tcMar>
            <w:vAlign w:val="bottom"/>
          </w:tcPr>
          <w:p w14:paraId="03DE42BC">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eastAsia="zh-CN"/>
              </w:rPr>
            </w:pPr>
            <w:r>
              <w:rPr>
                <w:rFonts w:hint="eastAsia" w:ascii="仿宋" w:hAnsi="仿宋" w:eastAsia="仿宋" w:cs="仿宋"/>
                <w:b w:val="0"/>
                <w:bCs w:val="0"/>
                <w:snapToGrid w:val="0"/>
                <w:color w:val="auto"/>
                <w:kern w:val="0"/>
                <w:sz w:val="32"/>
                <w:szCs w:val="32"/>
                <w:lang w:eastAsia="zh-CN" w:bidi="ar"/>
              </w:rPr>
              <w:t>效益</w:t>
            </w:r>
          </w:p>
        </w:tc>
        <w:tc>
          <w:tcPr>
            <w:tcW w:w="2121" w:type="dxa"/>
            <w:noWrap/>
            <w:tcMar>
              <w:top w:w="10" w:type="dxa"/>
              <w:left w:w="10" w:type="dxa"/>
              <w:right w:w="10" w:type="dxa"/>
            </w:tcMar>
            <w:vAlign w:val="bottom"/>
          </w:tcPr>
          <w:p w14:paraId="31BAF102">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val="en-US" w:eastAsia="zh-CN" w:bidi="ar"/>
              </w:rPr>
              <w:t>18</w:t>
            </w:r>
            <w:r>
              <w:rPr>
                <w:rFonts w:hint="eastAsia" w:ascii="仿宋" w:hAnsi="仿宋" w:eastAsia="仿宋" w:cs="仿宋"/>
                <w:b w:val="0"/>
                <w:bCs w:val="0"/>
                <w:snapToGrid w:val="0"/>
                <w:color w:val="auto"/>
                <w:kern w:val="0"/>
                <w:sz w:val="32"/>
                <w:szCs w:val="32"/>
                <w:lang w:bidi="ar"/>
              </w:rPr>
              <w:t>%</w:t>
            </w:r>
          </w:p>
        </w:tc>
        <w:tc>
          <w:tcPr>
            <w:tcW w:w="2330" w:type="dxa"/>
            <w:noWrap/>
            <w:tcMar>
              <w:top w:w="10" w:type="dxa"/>
              <w:left w:w="10" w:type="dxa"/>
              <w:right w:w="10" w:type="dxa"/>
            </w:tcMar>
            <w:vAlign w:val="bottom"/>
          </w:tcPr>
          <w:p w14:paraId="2B7DD6B4">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rPr>
              <w:t>18</w:t>
            </w:r>
          </w:p>
        </w:tc>
        <w:tc>
          <w:tcPr>
            <w:tcW w:w="2262" w:type="dxa"/>
            <w:noWrap/>
            <w:tcMar>
              <w:top w:w="10" w:type="dxa"/>
              <w:left w:w="10" w:type="dxa"/>
              <w:right w:w="10" w:type="dxa"/>
            </w:tcMar>
            <w:vAlign w:val="bottom"/>
          </w:tcPr>
          <w:p w14:paraId="52AC968C">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lang w:val="en-US" w:eastAsia="zh-CN"/>
              </w:rPr>
            </w:pPr>
            <w:r>
              <w:rPr>
                <w:rFonts w:hint="eastAsia" w:ascii="仿宋" w:hAnsi="仿宋" w:eastAsia="仿宋" w:cs="仿宋"/>
                <w:b w:val="0"/>
                <w:bCs w:val="0"/>
                <w:snapToGrid w:val="0"/>
                <w:color w:val="auto"/>
                <w:kern w:val="0"/>
                <w:sz w:val="32"/>
                <w:szCs w:val="32"/>
                <w:lang w:val="en-US" w:eastAsia="zh-CN"/>
              </w:rPr>
              <w:t>18</w:t>
            </w:r>
          </w:p>
        </w:tc>
      </w:tr>
      <w:tr w14:paraId="6705880A">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0" w:type="dxa"/>
            <w:bottom w:w="0" w:type="dxa"/>
            <w:right w:w="0" w:type="dxa"/>
          </w:tblCellMar>
        </w:tblPrEx>
        <w:trPr>
          <w:trHeight w:val="300" w:hRule="atLeast"/>
        </w:trPr>
        <w:tc>
          <w:tcPr>
            <w:tcW w:w="2137" w:type="dxa"/>
            <w:noWrap/>
            <w:tcMar>
              <w:top w:w="10" w:type="dxa"/>
              <w:left w:w="10" w:type="dxa"/>
              <w:right w:w="10" w:type="dxa"/>
            </w:tcMar>
            <w:vAlign w:val="bottom"/>
          </w:tcPr>
          <w:p w14:paraId="76132D95">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综合绩效</w:t>
            </w:r>
          </w:p>
        </w:tc>
        <w:tc>
          <w:tcPr>
            <w:tcW w:w="2121" w:type="dxa"/>
            <w:noWrap/>
            <w:tcMar>
              <w:top w:w="10" w:type="dxa"/>
              <w:left w:w="10" w:type="dxa"/>
              <w:right w:w="10" w:type="dxa"/>
            </w:tcMar>
            <w:vAlign w:val="bottom"/>
          </w:tcPr>
          <w:p w14:paraId="007377B0">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100%</w:t>
            </w:r>
          </w:p>
        </w:tc>
        <w:tc>
          <w:tcPr>
            <w:tcW w:w="2330" w:type="dxa"/>
            <w:noWrap/>
            <w:tcMar>
              <w:top w:w="10" w:type="dxa"/>
              <w:left w:w="10" w:type="dxa"/>
              <w:right w:w="10" w:type="dxa"/>
            </w:tcMar>
            <w:vAlign w:val="bottom"/>
          </w:tcPr>
          <w:p w14:paraId="76A33318">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eastAsia" w:ascii="仿宋" w:hAnsi="仿宋" w:eastAsia="仿宋" w:cs="仿宋"/>
                <w:b w:val="0"/>
                <w:bCs w:val="0"/>
                <w:snapToGrid w:val="0"/>
                <w:color w:val="auto"/>
                <w:kern w:val="0"/>
                <w:sz w:val="32"/>
                <w:szCs w:val="32"/>
              </w:rPr>
            </w:pPr>
            <w:r>
              <w:rPr>
                <w:rFonts w:hint="eastAsia" w:ascii="仿宋" w:hAnsi="仿宋" w:eastAsia="仿宋" w:cs="仿宋"/>
                <w:b w:val="0"/>
                <w:bCs w:val="0"/>
                <w:snapToGrid w:val="0"/>
                <w:color w:val="auto"/>
                <w:kern w:val="0"/>
                <w:sz w:val="32"/>
                <w:szCs w:val="32"/>
                <w:lang w:bidi="ar"/>
              </w:rPr>
              <w:t>100</w:t>
            </w:r>
          </w:p>
        </w:tc>
        <w:tc>
          <w:tcPr>
            <w:tcW w:w="2262" w:type="dxa"/>
            <w:noWrap/>
            <w:tcMar>
              <w:top w:w="10" w:type="dxa"/>
              <w:left w:w="10" w:type="dxa"/>
              <w:right w:w="10" w:type="dxa"/>
            </w:tcMar>
            <w:vAlign w:val="center"/>
          </w:tcPr>
          <w:p w14:paraId="7386F891">
            <w:pPr>
              <w:keepNext w:val="0"/>
              <w:keepLines w:val="0"/>
              <w:pageBreakBefore w:val="0"/>
              <w:widowControl w:val="0"/>
              <w:kinsoku/>
              <w:wordWrap/>
              <w:overflowPunct/>
              <w:topLinePunct w:val="0"/>
              <w:autoSpaceDE/>
              <w:autoSpaceDN/>
              <w:bidi w:val="0"/>
              <w:adjustRightInd/>
              <w:spacing w:line="580" w:lineRule="exact"/>
              <w:jc w:val="center"/>
              <w:textAlignment w:val="center"/>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snapToGrid w:val="0"/>
                <w:color w:val="auto"/>
                <w:kern w:val="0"/>
                <w:sz w:val="32"/>
                <w:szCs w:val="32"/>
                <w:lang w:val="en-US" w:eastAsia="zh-CN" w:bidi="ar"/>
              </w:rPr>
              <w:t>90.3</w:t>
            </w:r>
          </w:p>
        </w:tc>
      </w:tr>
    </w:tbl>
    <w:p w14:paraId="65971610">
      <w:pPr>
        <w:pStyle w:val="13"/>
        <w:keepNext w:val="0"/>
        <w:keepLines w:val="0"/>
        <w:pageBreakBefore w:val="0"/>
        <w:widowControl w:val="0"/>
        <w:kinsoku/>
        <w:wordWrap/>
        <w:overflowPunct/>
        <w:topLinePunct w:val="0"/>
        <w:autoSpaceDE/>
        <w:autoSpaceDN/>
        <w:bidi w:val="0"/>
        <w:adjustRightInd/>
        <w:spacing w:line="580" w:lineRule="exact"/>
        <w:ind w:firstLine="632"/>
        <w:textAlignment w:val="center"/>
        <w:rPr>
          <w:rFonts w:hint="eastAsia" w:ascii="仿宋" w:hAnsi="仿宋" w:eastAsia="仿宋" w:cs="仿宋"/>
          <w:color w:val="auto"/>
          <w:kern w:val="0"/>
          <w:sz w:val="32"/>
        </w:rPr>
      </w:pPr>
      <w:r>
        <w:rPr>
          <w:rFonts w:hint="eastAsia" w:ascii="仿宋" w:hAnsi="仿宋" w:eastAsia="仿宋" w:cs="仿宋"/>
          <w:snapToGrid w:val="0"/>
          <w:color w:val="auto"/>
          <w:sz w:val="32"/>
          <w:szCs w:val="32"/>
        </w:rPr>
        <w:t>注：评价得分90</w:t>
      </w:r>
      <w:r>
        <w:rPr>
          <w:rFonts w:hint="eastAsia" w:eastAsia="仿宋" w:cs="仿宋"/>
          <w:snapToGrid w:val="0"/>
          <w:color w:val="auto"/>
          <w:sz w:val="32"/>
          <w:szCs w:val="32"/>
          <w:lang w:eastAsia="zh-CN"/>
        </w:rPr>
        <w:t>（</w:t>
      </w:r>
      <w:r>
        <w:rPr>
          <w:rFonts w:hint="eastAsia" w:ascii="仿宋" w:hAnsi="仿宋" w:eastAsia="仿宋" w:cs="仿宋"/>
          <w:snapToGrid w:val="0"/>
          <w:color w:val="auto"/>
          <w:sz w:val="32"/>
          <w:szCs w:val="32"/>
        </w:rPr>
        <w:t>含</w:t>
      </w:r>
      <w:r>
        <w:rPr>
          <w:rFonts w:hint="eastAsia" w:eastAsia="仿宋" w:cs="仿宋"/>
          <w:snapToGrid w:val="0"/>
          <w:color w:val="auto"/>
          <w:sz w:val="32"/>
          <w:szCs w:val="32"/>
          <w:lang w:eastAsia="zh-CN"/>
        </w:rPr>
        <w:t>）</w:t>
      </w:r>
      <w:r>
        <w:rPr>
          <w:rFonts w:hint="eastAsia" w:ascii="仿宋" w:hAnsi="仿宋" w:eastAsia="仿宋" w:cs="仿宋"/>
          <w:snapToGrid w:val="0"/>
          <w:color w:val="auto"/>
          <w:sz w:val="32"/>
          <w:szCs w:val="32"/>
        </w:rPr>
        <w:t>-100分为优、 80分（含）-90为良、60分（含）-80为中、60分以下为差。</w:t>
      </w:r>
    </w:p>
    <w:p w14:paraId="5893B9B7">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val="en-US" w:eastAsia="zh-CN"/>
        </w:rPr>
      </w:pPr>
      <w:bookmarkStart w:id="141" w:name="_Toc6231"/>
      <w:bookmarkStart w:id="142" w:name="_Toc397067836"/>
      <w:r>
        <w:rPr>
          <w:rFonts w:hint="eastAsia" w:ascii="黑体" w:hAnsi="黑体" w:eastAsia="黑体" w:cs="黑体"/>
          <w:color w:val="auto"/>
          <w:kern w:val="0"/>
          <w:sz w:val="32"/>
          <w:highlight w:val="none"/>
          <w:lang w:val="en-US" w:eastAsia="zh-CN"/>
        </w:rPr>
        <w:t>七、存在绩效问题</w:t>
      </w:r>
      <w:bookmarkEnd w:id="141"/>
      <w:bookmarkEnd w:id="142"/>
    </w:p>
    <w:p w14:paraId="414D87C9">
      <w:pPr>
        <w:keepNext w:val="0"/>
        <w:keepLines w:val="0"/>
        <w:pageBreakBefore w:val="0"/>
        <w:widowControl w:val="0"/>
        <w:kinsoku/>
        <w:wordWrap/>
        <w:overflowPunct/>
        <w:topLinePunct w:val="0"/>
        <w:autoSpaceDE/>
        <w:bidi w:val="0"/>
        <w:adjustRightInd/>
        <w:spacing w:beforeAutospacing="0" w:afterAutospacing="0" w:line="580" w:lineRule="exact"/>
        <w:ind w:firstLine="640" w:firstLineChars="200"/>
        <w:textAlignment w:val="center"/>
        <w:rPr>
          <w:rFonts w:hint="eastAsia" w:ascii="仿宋" w:hAnsi="仿宋" w:eastAsia="仿宋" w:cs="仿宋"/>
          <w:color w:val="auto"/>
          <w:sz w:val="32"/>
          <w:highlight w:val="none"/>
          <w:lang w:eastAsia="zh-CN"/>
        </w:rPr>
      </w:pPr>
      <w:r>
        <w:rPr>
          <w:rFonts w:hint="eastAsia" w:ascii="仿宋" w:hAnsi="仿宋" w:eastAsia="仿宋" w:cs="仿宋"/>
          <w:color w:val="auto"/>
          <w:sz w:val="32"/>
          <w:highlight w:val="none"/>
          <w:lang w:val="en-US" w:eastAsia="zh-CN"/>
        </w:rPr>
        <w:t>1.</w:t>
      </w:r>
      <w:r>
        <w:rPr>
          <w:rFonts w:hint="eastAsia" w:ascii="仿宋" w:hAnsi="仿宋" w:eastAsia="仿宋" w:cs="仿宋"/>
          <w:color w:val="auto"/>
          <w:sz w:val="32"/>
          <w:highlight w:val="none"/>
          <w:lang w:eastAsia="zh-CN"/>
        </w:rPr>
        <w:t>项目无明细测算依据，不符合“项目预算测算依据是否充分”的评价要点；</w:t>
      </w:r>
    </w:p>
    <w:p w14:paraId="61F65DE9">
      <w:pPr>
        <w:keepNext w:val="0"/>
        <w:keepLines w:val="0"/>
        <w:pageBreakBefore w:val="0"/>
        <w:widowControl w:val="0"/>
        <w:kinsoku/>
        <w:wordWrap/>
        <w:overflowPunct/>
        <w:topLinePunct w:val="0"/>
        <w:autoSpaceDE/>
        <w:bidi w:val="0"/>
        <w:adjustRightInd/>
        <w:spacing w:beforeAutospacing="0" w:afterAutospacing="0" w:line="580" w:lineRule="exact"/>
        <w:ind w:firstLine="640" w:firstLineChars="200"/>
        <w:textAlignment w:val="center"/>
        <w:rPr>
          <w:rFonts w:hint="eastAsia" w:ascii="仿宋" w:hAnsi="仿宋" w:eastAsia="仿宋" w:cs="仿宋"/>
          <w:color w:val="auto"/>
          <w:sz w:val="32"/>
          <w:highlight w:val="none"/>
          <w:lang w:eastAsia="zh-CN"/>
        </w:rPr>
      </w:pPr>
      <w:r>
        <w:rPr>
          <w:rFonts w:hint="eastAsia" w:ascii="仿宋" w:hAnsi="仿宋" w:eastAsia="仿宋" w:cs="仿宋"/>
          <w:color w:val="auto"/>
          <w:sz w:val="32"/>
          <w:highlight w:val="none"/>
          <w:lang w:val="en-US" w:eastAsia="zh-CN"/>
        </w:rPr>
        <w:t>2.</w:t>
      </w:r>
      <w:r>
        <w:rPr>
          <w:rFonts w:hint="eastAsia" w:ascii="仿宋" w:hAnsi="仿宋" w:eastAsia="仿宋" w:cs="仿宋"/>
          <w:color w:val="auto"/>
          <w:sz w:val="32"/>
          <w:highlight w:val="none"/>
          <w:lang w:eastAsia="zh-CN"/>
        </w:rPr>
        <w:t>项目立项不符合“事前是否已经过必要的可行性研究、专家论证、风险评估、绩效评估、集体决策”的评价要点；</w:t>
      </w:r>
    </w:p>
    <w:p w14:paraId="3934E369">
      <w:pPr>
        <w:keepNext w:val="0"/>
        <w:keepLines w:val="0"/>
        <w:pageBreakBefore w:val="0"/>
        <w:widowControl w:val="0"/>
        <w:kinsoku/>
        <w:wordWrap/>
        <w:overflowPunct/>
        <w:topLinePunct w:val="0"/>
        <w:autoSpaceDE/>
        <w:bidi w:val="0"/>
        <w:adjustRightInd/>
        <w:spacing w:beforeAutospacing="0" w:afterAutospacing="0" w:line="580" w:lineRule="exact"/>
        <w:ind w:firstLine="640" w:firstLineChars="200"/>
        <w:textAlignment w:val="center"/>
        <w:rPr>
          <w:rFonts w:hint="eastAsia" w:ascii="仿宋" w:hAnsi="仿宋" w:eastAsia="仿宋" w:cs="仿宋"/>
          <w:color w:val="auto"/>
          <w:sz w:val="32"/>
          <w:highlight w:val="none"/>
          <w:lang w:eastAsia="zh-CN"/>
        </w:rPr>
      </w:pPr>
      <w:r>
        <w:rPr>
          <w:rFonts w:hint="eastAsia" w:ascii="仿宋" w:hAnsi="仿宋" w:eastAsia="仿宋" w:cs="仿宋"/>
          <w:color w:val="auto"/>
          <w:sz w:val="32"/>
          <w:highlight w:val="none"/>
          <w:lang w:val="en-US" w:eastAsia="zh-CN"/>
        </w:rPr>
        <w:t>3.</w:t>
      </w:r>
      <w:r>
        <w:rPr>
          <w:rFonts w:hint="eastAsia" w:ascii="仿宋" w:hAnsi="仿宋" w:eastAsia="仿宋" w:cs="仿宋"/>
          <w:color w:val="auto"/>
          <w:sz w:val="32"/>
          <w:highlight w:val="none"/>
          <w:lang w:eastAsia="zh-CN"/>
        </w:rPr>
        <w:t>资产配置超标，不符合“是否按批复的预算配置资产，新购资产入库管理是否规范”；</w:t>
      </w:r>
    </w:p>
    <w:p w14:paraId="0E5E7B84">
      <w:pPr>
        <w:keepNext w:val="0"/>
        <w:keepLines w:val="0"/>
        <w:pageBreakBefore w:val="0"/>
        <w:widowControl w:val="0"/>
        <w:kinsoku/>
        <w:wordWrap/>
        <w:overflowPunct/>
        <w:topLinePunct w:val="0"/>
        <w:autoSpaceDE/>
        <w:bidi w:val="0"/>
        <w:adjustRightInd/>
        <w:spacing w:beforeAutospacing="0" w:afterAutospacing="0" w:line="580" w:lineRule="exact"/>
        <w:ind w:firstLine="640" w:firstLineChars="200"/>
        <w:textAlignment w:val="center"/>
        <w:rPr>
          <w:rFonts w:hint="eastAsia" w:ascii="仿宋" w:hAnsi="仿宋" w:eastAsia="仿宋" w:cs="仿宋"/>
          <w:color w:val="auto"/>
          <w:sz w:val="32"/>
          <w:highlight w:val="none"/>
          <w:lang w:eastAsia="zh-CN"/>
        </w:rPr>
      </w:pPr>
      <w:r>
        <w:rPr>
          <w:rFonts w:hint="eastAsia" w:ascii="仿宋" w:hAnsi="仿宋" w:eastAsia="仿宋" w:cs="仿宋"/>
          <w:color w:val="auto"/>
          <w:sz w:val="32"/>
          <w:highlight w:val="none"/>
          <w:lang w:val="en-US" w:eastAsia="zh-CN"/>
        </w:rPr>
        <w:t>4.</w:t>
      </w:r>
      <w:r>
        <w:rPr>
          <w:rFonts w:hint="eastAsia" w:ascii="仿宋" w:hAnsi="仿宋" w:eastAsia="仿宋" w:cs="仿宋"/>
          <w:color w:val="auto"/>
          <w:sz w:val="32"/>
          <w:highlight w:val="none"/>
          <w:lang w:eastAsia="zh-CN"/>
        </w:rPr>
        <w:t>法律顾问费、印刷费等未纳入政府采购预算，不符合政府采购目录相关规定。</w:t>
      </w:r>
    </w:p>
    <w:p w14:paraId="4F9FE54B">
      <w:pPr>
        <w:keepNext w:val="0"/>
        <w:keepLines w:val="0"/>
        <w:pageBreakBefore w:val="0"/>
        <w:widowControl w:val="0"/>
        <w:kinsoku/>
        <w:wordWrap/>
        <w:overflowPunct/>
        <w:topLinePunct w:val="0"/>
        <w:autoSpaceDE/>
        <w:bidi w:val="0"/>
        <w:adjustRightInd/>
        <w:spacing w:beforeAutospacing="0" w:afterAutospacing="0" w:line="580" w:lineRule="exact"/>
        <w:ind w:firstLine="640" w:firstLineChars="200"/>
        <w:textAlignment w:val="center"/>
        <w:rPr>
          <w:rFonts w:hint="default" w:ascii="仿宋" w:hAnsi="仿宋" w:eastAsia="仿宋" w:cs="仿宋"/>
          <w:color w:val="auto"/>
          <w:sz w:val="32"/>
          <w:highlight w:val="none"/>
          <w:lang w:val="en-US" w:eastAsia="zh-CN"/>
        </w:rPr>
      </w:pPr>
      <w:bookmarkStart w:id="143" w:name="_Toc19035"/>
      <w:r>
        <w:rPr>
          <w:rFonts w:hint="eastAsia" w:ascii="仿宋" w:hAnsi="仿宋" w:eastAsia="仿宋" w:cs="仿宋"/>
          <w:color w:val="auto"/>
          <w:sz w:val="32"/>
          <w:highlight w:val="none"/>
          <w:lang w:val="en-US" w:eastAsia="zh-CN"/>
        </w:rPr>
        <w:t>5.</w:t>
      </w:r>
      <w:r>
        <w:rPr>
          <w:rFonts w:hint="eastAsia" w:ascii="仿宋" w:hAnsi="仿宋" w:eastAsia="仿宋" w:cs="仿宋"/>
          <w:sz w:val="32"/>
          <w:lang w:eastAsia="zh-CN"/>
        </w:rPr>
        <w:t>未取得评价结果应用率相关资料，不符合“部门(单位)是否根据部门自评和财政评价结果进行整改，以前年度的评价结果是否在本年度编制预算时进行应用”的评分标准；</w:t>
      </w:r>
    </w:p>
    <w:p w14:paraId="45DF29E8">
      <w:pPr>
        <w:keepNext w:val="0"/>
        <w:keepLines w:val="0"/>
        <w:pageBreakBefore w:val="0"/>
        <w:widowControl w:val="0"/>
        <w:kinsoku/>
        <w:wordWrap/>
        <w:overflowPunct/>
        <w:topLinePunct w:val="0"/>
        <w:autoSpaceDE/>
        <w:autoSpaceDN/>
        <w:bidi w:val="0"/>
        <w:adjustRightInd/>
        <w:spacing w:beforeAutospacing="0" w:afterAutospacing="0" w:line="580" w:lineRule="exact"/>
        <w:ind w:firstLine="640" w:firstLineChars="200"/>
        <w:textAlignment w:val="center"/>
        <w:outlineLvl w:val="1"/>
        <w:rPr>
          <w:rFonts w:hint="eastAsia" w:ascii="黑体" w:hAnsi="黑体" w:eastAsia="黑体" w:cs="黑体"/>
          <w:color w:val="auto"/>
          <w:kern w:val="0"/>
          <w:sz w:val="32"/>
          <w:highlight w:val="none"/>
          <w:lang w:val="en-US" w:eastAsia="zh-CN"/>
        </w:rPr>
      </w:pPr>
      <w:r>
        <w:rPr>
          <w:rFonts w:hint="eastAsia" w:ascii="黑体" w:hAnsi="黑体" w:eastAsia="黑体" w:cs="黑体"/>
          <w:color w:val="auto"/>
          <w:kern w:val="0"/>
          <w:sz w:val="32"/>
          <w:highlight w:val="none"/>
          <w:lang w:val="en-US" w:eastAsia="zh-CN"/>
        </w:rPr>
        <w:t>八、建议</w:t>
      </w:r>
      <w:bookmarkEnd w:id="143"/>
    </w:p>
    <w:p w14:paraId="76003968">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eastAsia" w:ascii="仿宋" w:hAnsi="仿宋" w:eastAsia="仿宋" w:cs="仿宋"/>
          <w:b w:val="0"/>
          <w:bCs/>
          <w:color w:val="auto"/>
          <w:sz w:val="32"/>
          <w:szCs w:val="32"/>
          <w:shd w:val="clear" w:color="auto" w:fill="FFFFFF"/>
          <w:lang w:eastAsia="zh-CN"/>
        </w:rPr>
      </w:pPr>
      <w:bookmarkStart w:id="144" w:name="_Toc397067840"/>
      <w:r>
        <w:rPr>
          <w:rFonts w:hint="eastAsia" w:ascii="仿宋" w:hAnsi="仿宋" w:eastAsia="仿宋" w:cs="仿宋"/>
          <w:b w:val="0"/>
          <w:bCs/>
          <w:color w:val="auto"/>
          <w:sz w:val="32"/>
          <w:szCs w:val="32"/>
          <w:shd w:val="clear" w:color="auto" w:fill="FFFFFF"/>
          <w:lang w:val="en-US" w:eastAsia="zh-CN"/>
        </w:rPr>
        <w:t>1.</w:t>
      </w:r>
      <w:r>
        <w:rPr>
          <w:rFonts w:hint="eastAsia" w:ascii="仿宋" w:hAnsi="仿宋" w:eastAsia="仿宋" w:cs="仿宋"/>
          <w:b w:val="0"/>
          <w:bCs/>
          <w:color w:val="auto"/>
          <w:sz w:val="32"/>
          <w:szCs w:val="32"/>
          <w:shd w:val="clear" w:color="auto" w:fill="FFFFFF"/>
        </w:rPr>
        <w:t>加强预算编制科学性，完善绩效指标设定</w:t>
      </w:r>
      <w:r>
        <w:rPr>
          <w:rFonts w:hint="eastAsia" w:ascii="仿宋" w:hAnsi="仿宋" w:eastAsia="仿宋" w:cs="仿宋"/>
          <w:b w:val="0"/>
          <w:bCs/>
          <w:color w:val="auto"/>
          <w:sz w:val="32"/>
          <w:szCs w:val="32"/>
          <w:shd w:val="clear" w:color="auto" w:fill="FFFFFF"/>
          <w:lang w:eastAsia="zh-CN"/>
        </w:rPr>
        <w:t>，目标具体化，结合部门职能和年度重点工作任务，建立量化指标体系，设定可衡量的阶段性目标；</w:t>
      </w:r>
    </w:p>
    <w:p w14:paraId="3959AD0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eastAsia" w:ascii="仿宋" w:hAnsi="仿宋" w:eastAsia="仿宋" w:cs="仿宋"/>
          <w:b w:val="0"/>
          <w:bCs/>
          <w:color w:val="auto"/>
          <w:sz w:val="32"/>
          <w:szCs w:val="32"/>
          <w:shd w:val="clear" w:color="auto" w:fill="FFFFFF"/>
        </w:rPr>
      </w:pPr>
      <w:r>
        <w:rPr>
          <w:rFonts w:hint="eastAsia" w:ascii="仿宋" w:hAnsi="仿宋" w:eastAsia="仿宋" w:cs="仿宋"/>
          <w:b w:val="0"/>
          <w:bCs/>
          <w:color w:val="auto"/>
          <w:sz w:val="32"/>
          <w:szCs w:val="32"/>
          <w:shd w:val="clear" w:color="auto" w:fill="FFFFFF"/>
          <w:lang w:val="en-US" w:eastAsia="zh-CN"/>
        </w:rPr>
        <w:t>2.预算编制事前要经过必要的可行性研究、专家论证、风险评估、绩效评估、集体决策等</w:t>
      </w:r>
      <w:r>
        <w:rPr>
          <w:rFonts w:hint="eastAsia" w:ascii="仿宋" w:hAnsi="仿宋" w:eastAsia="仿宋" w:cs="仿宋"/>
          <w:b w:val="0"/>
          <w:bCs/>
          <w:color w:val="auto"/>
          <w:sz w:val="32"/>
          <w:szCs w:val="32"/>
          <w:shd w:val="clear" w:color="auto" w:fill="FFFFFF"/>
        </w:rPr>
        <w:t>；</w:t>
      </w:r>
    </w:p>
    <w:p w14:paraId="63F73DB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eastAsia" w:ascii="仿宋" w:hAnsi="仿宋" w:eastAsia="仿宋" w:cs="仿宋"/>
          <w:b w:val="0"/>
          <w:bCs/>
          <w:color w:val="auto"/>
          <w:sz w:val="32"/>
          <w:szCs w:val="32"/>
          <w:shd w:val="clear" w:color="auto" w:fill="FFFFFF"/>
          <w:lang w:val="en-US" w:eastAsia="zh-CN"/>
        </w:rPr>
      </w:pPr>
      <w:r>
        <w:rPr>
          <w:rFonts w:hint="eastAsia" w:ascii="仿宋" w:hAnsi="仿宋" w:eastAsia="仿宋" w:cs="仿宋"/>
          <w:b w:val="0"/>
          <w:bCs/>
          <w:color w:val="auto"/>
          <w:sz w:val="32"/>
          <w:szCs w:val="32"/>
          <w:shd w:val="clear" w:color="auto" w:fill="FFFFFF"/>
          <w:lang w:val="en-US" w:eastAsia="zh-CN"/>
        </w:rPr>
        <w:t>3.严格执行资产配置标准，开展超标准资产清理，优化资产配置结构；</w:t>
      </w:r>
    </w:p>
    <w:p w14:paraId="57BF7FB2">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eastAsia" w:ascii="仿宋" w:hAnsi="仿宋" w:eastAsia="仿宋" w:cs="仿宋"/>
          <w:b w:val="0"/>
          <w:bCs/>
          <w:color w:val="auto"/>
          <w:sz w:val="32"/>
          <w:szCs w:val="32"/>
          <w:shd w:val="clear" w:color="auto" w:fill="FFFFFF"/>
        </w:rPr>
      </w:pPr>
      <w:r>
        <w:rPr>
          <w:rFonts w:hint="eastAsia" w:ascii="仿宋" w:hAnsi="仿宋" w:eastAsia="仿宋" w:cs="仿宋"/>
          <w:b w:val="0"/>
          <w:bCs/>
          <w:color w:val="auto"/>
          <w:sz w:val="32"/>
          <w:szCs w:val="32"/>
          <w:shd w:val="clear" w:color="auto" w:fill="FFFFFF"/>
          <w:lang w:val="en-US" w:eastAsia="zh-CN"/>
        </w:rPr>
        <w:t>4.</w:t>
      </w:r>
      <w:r>
        <w:rPr>
          <w:rFonts w:hint="eastAsia" w:ascii="仿宋" w:hAnsi="仿宋" w:eastAsia="仿宋" w:cs="仿宋"/>
          <w:b w:val="0"/>
          <w:bCs/>
          <w:color w:val="auto"/>
          <w:sz w:val="32"/>
          <w:szCs w:val="32"/>
          <w:shd w:val="clear" w:color="auto" w:fill="FFFFFF"/>
          <w:lang w:eastAsia="zh-CN"/>
        </w:rPr>
        <w:t>加强对本单位业务需求的分析与测算，提高采购计划的前瞻性和准确性，对于经常性采购项目，应拟定年度政府采购项目预算</w:t>
      </w:r>
      <w:r>
        <w:rPr>
          <w:rFonts w:hint="eastAsia" w:ascii="仿宋" w:hAnsi="仿宋" w:eastAsia="仿宋" w:cs="仿宋"/>
          <w:b w:val="0"/>
          <w:bCs/>
          <w:color w:val="auto"/>
          <w:sz w:val="32"/>
          <w:szCs w:val="32"/>
          <w:shd w:val="clear" w:color="auto" w:fill="FFFFFF"/>
        </w:rPr>
        <w:t>。</w:t>
      </w:r>
    </w:p>
    <w:p w14:paraId="1D4D86D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default" w:ascii="仿宋" w:hAnsi="仿宋" w:eastAsia="仿宋" w:cs="仿宋"/>
          <w:color w:val="auto"/>
          <w:sz w:val="32"/>
          <w:shd w:val="clear" w:color="auto" w:fill="FFFFFF"/>
          <w:lang w:val="en-US" w:eastAsia="zh-CN"/>
        </w:rPr>
      </w:pPr>
      <w:r>
        <w:rPr>
          <w:rFonts w:hint="eastAsia" w:ascii="仿宋" w:hAnsi="仿宋" w:eastAsia="仿宋" w:cs="仿宋"/>
          <w:color w:val="auto"/>
          <w:sz w:val="32"/>
          <w:shd w:val="clear" w:color="auto" w:fill="FFFFFF"/>
          <w:lang w:val="en-US" w:eastAsia="zh-CN"/>
        </w:rPr>
        <w:t>5.完善绩效评价结果应用机制，对绩效评价中发现的问题制定整改方案，并在下一年度的预算以及绩效评价中有所体现。</w:t>
      </w:r>
    </w:p>
    <w:p w14:paraId="2104C08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5F7EE" w:fill="auto"/>
        <w:kinsoku/>
        <w:wordWrap/>
        <w:overflowPunct/>
        <w:topLinePunct w:val="0"/>
        <w:autoSpaceDE/>
        <w:autoSpaceDN w:val="0"/>
        <w:bidi w:val="0"/>
        <w:adjustRightInd/>
        <w:spacing w:beforeAutospacing="0" w:afterAutospacing="0" w:line="580" w:lineRule="exact"/>
        <w:ind w:firstLine="640" w:firstLineChars="200"/>
        <w:textAlignment w:val="center"/>
        <w:rPr>
          <w:rFonts w:hint="eastAsia" w:ascii="仿宋" w:hAnsi="仿宋" w:eastAsia="仿宋" w:cs="仿宋"/>
          <w:b/>
          <w:color w:val="auto"/>
          <w:shd w:val="clear" w:color="auto" w:fill="FFFFFF"/>
          <w:lang w:eastAsia="zh-CN"/>
        </w:rPr>
      </w:pPr>
      <w:r>
        <w:rPr>
          <w:rFonts w:hint="eastAsia" w:ascii="仿宋" w:hAnsi="仿宋" w:eastAsia="仿宋" w:cs="仿宋"/>
          <w:color w:val="auto"/>
          <w:sz w:val="32"/>
          <w:shd w:val="clear" w:color="auto" w:fill="FFFFFF"/>
        </w:rPr>
        <w:t>附：</w:t>
      </w:r>
      <w:r>
        <w:rPr>
          <w:rFonts w:hint="eastAsia" w:ascii="仿宋" w:hAnsi="仿宋" w:eastAsia="仿宋" w:cs="仿宋"/>
          <w:color w:val="auto"/>
          <w:sz w:val="32"/>
          <w:szCs w:val="32"/>
        </w:rPr>
        <w:t>部门整体支出绩效评价指标体系评分</w:t>
      </w:r>
      <w:bookmarkEnd w:id="144"/>
      <w:r>
        <w:rPr>
          <w:rFonts w:hint="eastAsia" w:ascii="仿宋" w:hAnsi="仿宋" w:eastAsia="仿宋" w:cs="仿宋"/>
          <w:color w:val="auto"/>
          <w:sz w:val="32"/>
          <w:szCs w:val="32"/>
          <w:lang w:eastAsia="zh-CN"/>
        </w:rPr>
        <w:t>表</w:t>
      </w:r>
    </w:p>
    <w:p w14:paraId="5FA3F7EE">
      <w:pPr>
        <w:keepNext w:val="0"/>
        <w:keepLines w:val="0"/>
        <w:pageBreakBefore w:val="0"/>
        <w:widowControl w:val="0"/>
        <w:kinsoku/>
        <w:wordWrap/>
        <w:overflowPunct/>
        <w:topLinePunct w:val="0"/>
        <w:autoSpaceDE/>
        <w:autoSpaceDN/>
        <w:bidi w:val="0"/>
        <w:adjustRightInd/>
        <w:snapToGrid/>
        <w:spacing w:before="251" w:beforeLines="80" w:line="580" w:lineRule="exact"/>
        <w:ind w:right="0" w:firstLine="960" w:firstLineChars="300"/>
        <w:jc w:val="both"/>
        <w:textAlignment w:val="center"/>
        <w:rPr>
          <w:rFonts w:hint="eastAsia" w:ascii="仿宋" w:hAnsi="仿宋" w:eastAsia="仿宋" w:cs="仿宋"/>
          <w:b w:val="0"/>
          <w:color w:val="auto"/>
          <w:sz w:val="32"/>
          <w:szCs w:val="32"/>
        </w:rPr>
      </w:pPr>
      <w:r>
        <w:rPr>
          <w:rFonts w:hint="eastAsia" w:ascii="仿宋" w:hAnsi="仿宋" w:eastAsia="仿宋" w:cs="仿宋"/>
          <w:b w:val="0"/>
          <w:color w:val="auto"/>
          <w:sz w:val="32"/>
          <w:szCs w:val="32"/>
          <w:lang w:eastAsia="zh-CN"/>
        </w:rPr>
        <w:t>主评人</w:t>
      </w:r>
      <w:r>
        <w:rPr>
          <w:rFonts w:hint="eastAsia" w:ascii="仿宋" w:hAnsi="仿宋" w:eastAsia="仿宋" w:cs="仿宋"/>
          <w:b w:val="0"/>
          <w:color w:val="auto"/>
          <w:sz w:val="32"/>
          <w:szCs w:val="32"/>
          <w:lang w:val="en-US" w:eastAsia="zh-CN"/>
        </w:rPr>
        <w:t>1</w:t>
      </w:r>
      <w:r>
        <w:rPr>
          <w:rFonts w:hint="eastAsia" w:ascii="仿宋" w:hAnsi="仿宋" w:eastAsia="仿宋" w:cs="仿宋"/>
          <w:b w:val="0"/>
          <w:color w:val="auto"/>
          <w:sz w:val="32"/>
          <w:szCs w:val="32"/>
          <w:lang w:eastAsia="zh-CN"/>
        </w:rPr>
        <w:t>：董顺武</w:t>
      </w:r>
      <w:r>
        <w:rPr>
          <w:rFonts w:hint="eastAsia" w:ascii="仿宋" w:hAnsi="仿宋" w:eastAsia="仿宋" w:cs="仿宋"/>
          <w:b w:val="0"/>
          <w:color w:val="auto"/>
          <w:sz w:val="32"/>
          <w:szCs w:val="32"/>
        </w:rPr>
        <w:t xml:space="preserve">   </w:t>
      </w:r>
      <w:r>
        <w:rPr>
          <w:rFonts w:hint="eastAsia" w:ascii="仿宋" w:hAnsi="仿宋" w:eastAsia="仿宋" w:cs="仿宋"/>
          <w:b w:val="0"/>
          <w:color w:val="auto"/>
          <w:sz w:val="32"/>
          <w:szCs w:val="32"/>
          <w:lang w:val="en-US" w:eastAsia="zh-CN"/>
        </w:rPr>
        <w:t xml:space="preserve"> </w:t>
      </w:r>
      <w:r>
        <w:rPr>
          <w:rFonts w:hint="eastAsia" w:ascii="仿宋" w:hAnsi="仿宋" w:eastAsia="仿宋" w:cs="仿宋"/>
          <w:b w:val="0"/>
          <w:color w:val="auto"/>
          <w:sz w:val="32"/>
          <w:szCs w:val="32"/>
        </w:rPr>
        <w:t xml:space="preserve">   </w:t>
      </w:r>
      <w:r>
        <w:rPr>
          <w:rFonts w:hint="eastAsia" w:ascii="仿宋" w:hAnsi="仿宋" w:eastAsia="仿宋" w:cs="仿宋"/>
          <w:b w:val="0"/>
          <w:color w:val="auto"/>
          <w:sz w:val="32"/>
          <w:szCs w:val="32"/>
          <w:lang w:val="en-US" w:eastAsia="zh-CN"/>
        </w:rPr>
        <w:t>湖北省恒昌资产评估事务所</w:t>
      </w:r>
      <w:r>
        <w:rPr>
          <w:rFonts w:hint="eastAsia" w:ascii="仿宋" w:hAnsi="仿宋" w:eastAsia="仿宋" w:cs="仿宋"/>
          <w:b w:val="0"/>
          <w:color w:val="auto"/>
          <w:sz w:val="32"/>
          <w:szCs w:val="32"/>
        </w:rPr>
        <w:t xml:space="preserve">   </w:t>
      </w:r>
    </w:p>
    <w:p w14:paraId="2D3B1264">
      <w:pPr>
        <w:keepNext w:val="0"/>
        <w:keepLines w:val="0"/>
        <w:pageBreakBefore w:val="0"/>
        <w:widowControl w:val="0"/>
        <w:kinsoku/>
        <w:wordWrap/>
        <w:overflowPunct/>
        <w:topLinePunct w:val="0"/>
        <w:autoSpaceDE/>
        <w:autoSpaceDN/>
        <w:bidi w:val="0"/>
        <w:adjustRightInd/>
        <w:snapToGrid/>
        <w:spacing w:before="251" w:beforeLines="80" w:line="240" w:lineRule="auto"/>
        <w:ind w:right="0" w:firstLine="630" w:firstLineChars="300"/>
        <w:jc w:val="both"/>
        <w:textAlignment w:val="center"/>
        <w:rPr>
          <w:rFonts w:hint="eastAsia" w:ascii="仿宋" w:hAnsi="仿宋" w:eastAsia="仿宋" w:cs="仿宋"/>
          <w:b w:val="0"/>
          <w:color w:val="auto"/>
          <w:sz w:val="21"/>
          <w:szCs w:val="21"/>
        </w:rPr>
      </w:pPr>
      <w:r>
        <w:rPr>
          <w:rFonts w:hint="eastAsia" w:ascii="仿宋" w:hAnsi="仿宋" w:eastAsia="仿宋" w:cs="仿宋"/>
          <w:b w:val="0"/>
          <w:color w:val="auto"/>
          <w:sz w:val="21"/>
          <w:szCs w:val="21"/>
        </w:rPr>
        <w:t xml:space="preserve">   </w:t>
      </w:r>
    </w:p>
    <w:p w14:paraId="7A415622">
      <w:pPr>
        <w:keepNext w:val="0"/>
        <w:keepLines w:val="0"/>
        <w:pageBreakBefore w:val="0"/>
        <w:widowControl w:val="0"/>
        <w:kinsoku/>
        <w:wordWrap/>
        <w:overflowPunct/>
        <w:topLinePunct w:val="0"/>
        <w:autoSpaceDE/>
        <w:bidi w:val="0"/>
        <w:spacing w:line="580" w:lineRule="exact"/>
        <w:ind w:right="0" w:firstLine="640" w:firstLineChars="200"/>
        <w:jc w:val="both"/>
        <w:textAlignment w:val="center"/>
        <w:rPr>
          <w:rFonts w:hint="eastAsia"/>
          <w:color w:val="auto"/>
          <w:lang w:eastAsia="zh-CN"/>
        </w:rPr>
      </w:pPr>
      <w:r>
        <w:rPr>
          <w:rFonts w:hint="eastAsia" w:ascii="仿宋" w:hAnsi="仿宋" w:eastAsia="仿宋" w:cs="仿宋"/>
          <w:b w:val="0"/>
          <w:color w:val="auto"/>
          <w:sz w:val="32"/>
          <w:szCs w:val="32"/>
        </w:rPr>
        <w:t xml:space="preserve"> </w:t>
      </w:r>
      <w:r>
        <w:rPr>
          <w:rFonts w:hint="eastAsia" w:ascii="仿宋" w:hAnsi="仿宋" w:cs="仿宋"/>
          <w:b w:val="0"/>
          <w:color w:val="auto"/>
          <w:sz w:val="32"/>
          <w:szCs w:val="32"/>
          <w:lang w:val="en-US" w:eastAsia="zh-CN"/>
        </w:rPr>
        <w:t xml:space="preserve"> </w:t>
      </w:r>
      <w:r>
        <w:rPr>
          <w:rFonts w:hint="eastAsia" w:ascii="仿宋" w:hAnsi="仿宋" w:eastAsia="仿宋" w:cs="仿宋"/>
          <w:b w:val="0"/>
          <w:bCs/>
          <w:color w:val="auto"/>
          <w:sz w:val="32"/>
          <w:szCs w:val="32"/>
        </w:rPr>
        <w:t>主评人</w:t>
      </w:r>
      <w:r>
        <w:rPr>
          <w:rFonts w:hint="eastAsia" w:ascii="仿宋" w:hAnsi="仿宋" w:eastAsia="仿宋" w:cs="仿宋"/>
          <w:b w:val="0"/>
          <w:bCs/>
          <w:color w:val="auto"/>
          <w:sz w:val="32"/>
          <w:szCs w:val="32"/>
          <w:lang w:val="en-US" w:eastAsia="zh-CN"/>
        </w:rPr>
        <w:t>2</w:t>
      </w:r>
      <w:r>
        <w:rPr>
          <w:rFonts w:hint="eastAsia" w:ascii="仿宋" w:hAnsi="仿宋" w:eastAsia="仿宋" w:cs="仿宋"/>
          <w:b w:val="0"/>
          <w:bCs/>
          <w:color w:val="auto"/>
          <w:sz w:val="32"/>
          <w:szCs w:val="32"/>
        </w:rPr>
        <w:t>：孔建华</w:t>
      </w:r>
      <w:r>
        <w:rPr>
          <w:rFonts w:hint="eastAsia" w:ascii="仿宋" w:hAnsi="仿宋" w:eastAsia="仿宋" w:cs="仿宋"/>
          <w:b w:val="0"/>
          <w:color w:val="auto"/>
          <w:sz w:val="32"/>
          <w:szCs w:val="32"/>
        </w:rPr>
        <w:t xml:space="preserve">    </w:t>
      </w:r>
      <w:r>
        <w:rPr>
          <w:rFonts w:hint="eastAsia" w:ascii="仿宋" w:hAnsi="仿宋" w:eastAsia="仿宋" w:cs="仿宋"/>
          <w:b w:val="0"/>
          <w:color w:val="auto"/>
          <w:sz w:val="32"/>
          <w:szCs w:val="32"/>
          <w:lang w:val="en-US" w:eastAsia="zh-CN"/>
        </w:rPr>
        <w:t xml:space="preserve"> </w:t>
      </w:r>
      <w:r>
        <w:rPr>
          <w:rFonts w:hint="eastAsia" w:ascii="仿宋" w:hAnsi="仿宋" w:eastAsia="仿宋" w:cs="仿宋"/>
          <w:b w:val="0"/>
          <w:color w:val="auto"/>
          <w:sz w:val="32"/>
          <w:szCs w:val="32"/>
        </w:rPr>
        <w:t xml:space="preserve">     </w:t>
      </w:r>
      <w:r>
        <w:rPr>
          <w:rFonts w:hint="eastAsia" w:ascii="仿宋" w:hAnsi="仿宋" w:eastAsia="仿宋" w:cs="仿宋"/>
          <w:b w:val="0"/>
          <w:color w:val="auto"/>
          <w:sz w:val="32"/>
          <w:szCs w:val="32"/>
          <w:highlight w:val="none"/>
        </w:rPr>
        <w:t xml:space="preserve"> </w:t>
      </w:r>
      <w:r>
        <w:rPr>
          <w:rFonts w:hint="eastAsia" w:ascii="仿宋" w:hAnsi="仿宋" w:eastAsia="仿宋" w:cs="仿宋"/>
          <w:b w:val="0"/>
          <w:color w:val="auto"/>
          <w:sz w:val="32"/>
          <w:szCs w:val="32"/>
          <w:highlight w:val="none"/>
          <w:lang w:val="en-US" w:eastAsia="zh-CN"/>
        </w:rPr>
        <w:t xml:space="preserve"> </w:t>
      </w:r>
      <w:r>
        <w:rPr>
          <w:rFonts w:hint="eastAsia" w:ascii="仿宋" w:hAnsi="仿宋" w:eastAsia="仿宋" w:cs="仿宋"/>
          <w:b w:val="0"/>
          <w:color w:val="auto"/>
          <w:sz w:val="32"/>
          <w:szCs w:val="32"/>
          <w:highlight w:val="none"/>
          <w:lang w:eastAsia="zh-CN"/>
        </w:rPr>
        <w:t>2025年</w:t>
      </w:r>
      <w:r>
        <w:rPr>
          <w:rFonts w:hint="eastAsia" w:ascii="仿宋" w:hAnsi="仿宋" w:eastAsia="仿宋" w:cs="仿宋"/>
          <w:b w:val="0"/>
          <w:color w:val="auto"/>
          <w:sz w:val="32"/>
          <w:szCs w:val="32"/>
          <w:highlight w:val="none"/>
          <w:lang w:val="en-US" w:eastAsia="zh-CN"/>
        </w:rPr>
        <w:t>8</w:t>
      </w:r>
      <w:r>
        <w:rPr>
          <w:rFonts w:hint="eastAsia" w:ascii="仿宋" w:hAnsi="仿宋" w:eastAsia="仿宋" w:cs="仿宋"/>
          <w:b w:val="0"/>
          <w:color w:val="auto"/>
          <w:sz w:val="32"/>
          <w:szCs w:val="32"/>
          <w:highlight w:val="none"/>
          <w:lang w:eastAsia="zh-CN"/>
        </w:rPr>
        <w:t>月</w:t>
      </w:r>
      <w:r>
        <w:rPr>
          <w:rFonts w:hint="eastAsia" w:ascii="仿宋" w:hAnsi="仿宋" w:eastAsia="仿宋" w:cs="仿宋"/>
          <w:b w:val="0"/>
          <w:color w:val="auto"/>
          <w:sz w:val="32"/>
          <w:szCs w:val="32"/>
          <w:highlight w:val="none"/>
          <w:lang w:val="en-US" w:eastAsia="zh-CN"/>
        </w:rPr>
        <w:t>30</w:t>
      </w:r>
      <w:r>
        <w:rPr>
          <w:rFonts w:hint="eastAsia" w:ascii="仿宋" w:hAnsi="仿宋" w:eastAsia="仿宋" w:cs="仿宋"/>
          <w:b w:val="0"/>
          <w:color w:val="auto"/>
          <w:sz w:val="32"/>
          <w:szCs w:val="32"/>
          <w:highlight w:val="none"/>
          <w:lang w:eastAsia="zh-CN"/>
        </w:rPr>
        <w:t>日</w:t>
      </w:r>
    </w:p>
    <w:p w14:paraId="4E651D29">
      <w:pPr>
        <w:ind w:left="0" w:leftChars="0" w:firstLine="0" w:firstLineChars="0"/>
        <w:rPr>
          <w:rFonts w:hint="eastAsia"/>
          <w:color w:val="auto"/>
          <w:highlight w:val="none"/>
          <w:lang w:val="en-US" w:eastAsia="zh-CN"/>
        </w:rPr>
      </w:pPr>
    </w:p>
    <w:sectPr>
      <w:headerReference r:id="rId5" w:type="default"/>
      <w:footerReference r:id="rId6" w:type="default"/>
      <w:pgSz w:w="11906" w:h="16838"/>
      <w:pgMar w:top="1984" w:right="1587" w:bottom="1814" w:left="1587" w:header="851" w:footer="1417"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4EB6">
    <w:pPr>
      <w:pStyle w:val="11"/>
      <w:keepNext w:val="0"/>
      <w:keepLines w:val="0"/>
      <w:pageBreakBefore w:val="0"/>
      <w:widowControl w:val="0"/>
      <w:kinsoku/>
      <w:wordWrap/>
      <w:overflowPunct/>
      <w:topLinePunct w:val="0"/>
      <w:autoSpaceDE/>
      <w:autoSpaceDN/>
      <w:bidi w:val="0"/>
      <w:adjustRightInd/>
      <w:snapToGrid w:val="0"/>
      <w:spacing w:line="240" w:lineRule="exact"/>
      <w:textAlignment w:val="auto"/>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240030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08635">
                          <w:pPr>
                            <w:pStyle w:val="1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9pt;height:144pt;width:144pt;mso-position-horizontal:outside;mso-position-horizontal-relative:margin;mso-wrap-style:none;z-index:251660288;mso-width-relative:page;mso-height-relative:page;" filled="f" stroked="f" coordsize="21600,21600" o:gfxdata="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CKHOZ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76B08635">
                    <w:pPr>
                      <w:pStyle w:val="11"/>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3A007">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MDI0Mzg1NmNlYTVkZDg1MTEwZWI2NzY0Zjg4NzUifQ=="/>
    <w:docVar w:name="KSO_WPS_MARK_KEY" w:val="7b3143c6-c7ff-4cd5-8600-0168191df6f5"/>
  </w:docVars>
  <w:rsids>
    <w:rsidRoot w:val="00000000"/>
    <w:rsid w:val="02886481"/>
    <w:rsid w:val="068177B2"/>
    <w:rsid w:val="0A3E2510"/>
    <w:rsid w:val="0D0E12BA"/>
    <w:rsid w:val="0D6D057B"/>
    <w:rsid w:val="11640526"/>
    <w:rsid w:val="120B7959"/>
    <w:rsid w:val="1A466A5F"/>
    <w:rsid w:val="1BFA28E2"/>
    <w:rsid w:val="20533B65"/>
    <w:rsid w:val="2BB013F4"/>
    <w:rsid w:val="2D5B22B0"/>
    <w:rsid w:val="30447D35"/>
    <w:rsid w:val="40C14893"/>
    <w:rsid w:val="4867697B"/>
    <w:rsid w:val="5B012A77"/>
    <w:rsid w:val="5E6E26D7"/>
    <w:rsid w:val="6CE321B1"/>
    <w:rsid w:val="7BCD1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left="0" w:leftChars="0" w:firstLine="552" w:firstLineChars="200"/>
      <w:jc w:val="both"/>
    </w:pPr>
    <w:rPr>
      <w:rFonts w:ascii="Times New Roman" w:hAnsi="Times New Roman" w:eastAsia="仿宋" w:cs="Times New Roman"/>
      <w:kern w:val="2"/>
      <w:sz w:val="32"/>
      <w:szCs w:val="3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outlineLvl w:val="0"/>
    </w:pPr>
    <w:rPr>
      <w:rFonts w:eastAsia="黑体"/>
      <w:b/>
      <w:kern w:val="44"/>
    </w:rPr>
  </w:style>
  <w:style w:type="paragraph" w:styleId="4">
    <w:name w:val="heading 2"/>
    <w:basedOn w:val="1"/>
    <w:next w:val="1"/>
    <w:qFormat/>
    <w:uiPriority w:val="0"/>
    <w:pPr>
      <w:keepNext/>
      <w:keepLines/>
      <w:spacing w:beforeLines="0" w:beforeAutospacing="0" w:afterLines="0" w:afterAutospacing="0" w:line="560" w:lineRule="exact"/>
      <w:ind w:firstLine="0" w:firstLineChars="0"/>
      <w:outlineLvl w:val="1"/>
    </w:pPr>
    <w:rPr>
      <w:rFonts w:eastAsia="楷体"/>
      <w:b/>
      <w:kern w:val="0"/>
    </w:rPr>
  </w:style>
  <w:style w:type="paragraph" w:styleId="5">
    <w:name w:val="heading 3"/>
    <w:basedOn w:val="1"/>
    <w:next w:val="1"/>
    <w:qFormat/>
    <w:uiPriority w:val="9"/>
    <w:pPr>
      <w:keepNext/>
      <w:keepLines/>
      <w:spacing w:beforeLines="0" w:beforeAutospacing="0" w:afterLines="0" w:afterAutospacing="0" w:line="560" w:lineRule="exact"/>
      <w:ind w:left="0" w:leftChars="0" w:firstLine="0" w:firstLineChars="0"/>
      <w:outlineLvl w:val="2"/>
    </w:pPr>
    <w:rPr>
      <w:rFonts w:eastAsia="楷体"/>
      <w:b/>
      <w:szCs w:val="32"/>
    </w:rPr>
  </w:style>
  <w:style w:type="paragraph" w:styleId="6">
    <w:name w:val="heading 4"/>
    <w:basedOn w:val="1"/>
    <w:next w:val="1"/>
    <w:unhideWhenUsed/>
    <w:qFormat/>
    <w:uiPriority w:val="9"/>
    <w:pPr>
      <w:keepNext/>
      <w:keepLines/>
      <w:spacing w:beforeLines="0" w:beforeAutospacing="0" w:afterLines="0" w:afterAutospacing="0" w:line="560" w:lineRule="exact"/>
      <w:ind w:firstLine="0" w:firstLineChars="0"/>
      <w:outlineLvl w:val="3"/>
    </w:pPr>
    <w:rPr>
      <w:rFonts w:eastAsia="楷体"/>
      <w:b/>
    </w:rPr>
  </w:style>
  <w:style w:type="paragraph" w:styleId="7">
    <w:name w:val="heading 5"/>
    <w:basedOn w:val="1"/>
    <w:next w:val="1"/>
    <w:qFormat/>
    <w:uiPriority w:val="9"/>
    <w:pPr>
      <w:keepNext/>
      <w:keepLines/>
      <w:spacing w:line="560" w:lineRule="exact"/>
      <w:ind w:firstLine="0" w:firstLineChars="0"/>
      <w:outlineLvl w:val="4"/>
    </w:pPr>
    <w:rPr>
      <w:rFonts w:eastAsia="楷体"/>
      <w:b/>
      <w:bCs/>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8">
    <w:name w:val="annotation text"/>
    <w:basedOn w:val="1"/>
    <w:qFormat/>
    <w:uiPriority w:val="0"/>
    <w:pPr>
      <w:spacing w:line="360" w:lineRule="auto"/>
      <w:ind w:firstLine="200" w:firstLineChars="200"/>
      <w:jc w:val="left"/>
    </w:pPr>
    <w:rPr>
      <w:rFonts w:eastAsia="仿宋_GB2312"/>
      <w:sz w:val="24"/>
    </w:rPr>
  </w:style>
  <w:style w:type="paragraph" w:styleId="9">
    <w:name w:val="Body Text"/>
    <w:basedOn w:val="1"/>
    <w:qFormat/>
    <w:uiPriority w:val="0"/>
    <w:pPr>
      <w:spacing w:after="120" w:afterLines="0" w:afterAutospacing="0"/>
    </w:pPr>
  </w:style>
  <w:style w:type="paragraph" w:styleId="10">
    <w:name w:val="Body Text Indent"/>
    <w:basedOn w:val="1"/>
    <w:qFormat/>
    <w:uiPriority w:val="99"/>
    <w:pPr>
      <w:snapToGrid w:val="0"/>
      <w:spacing w:line="540" w:lineRule="exact"/>
      <w:ind w:firstLine="480" w:firstLineChars="200"/>
    </w:pPr>
    <w:rPr>
      <w:sz w:val="24"/>
    </w:rPr>
  </w:style>
  <w:style w:type="paragraph" w:styleId="11">
    <w:name w:val="footer"/>
    <w:basedOn w:val="1"/>
    <w:qFormat/>
    <w:uiPriority w:val="99"/>
    <w:pPr>
      <w:tabs>
        <w:tab w:val="center" w:pos="4153"/>
        <w:tab w:val="right" w:pos="8306"/>
      </w:tabs>
      <w:snapToGrid w:val="0"/>
      <w:jc w:val="left"/>
    </w:pPr>
    <w:rPr>
      <w:rFonts w:ascii="Times New Roman" w:hAnsi="Times New Roman"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3">
    <w:name w:val="Subtitle"/>
    <w:basedOn w:val="1"/>
    <w:next w:val="1"/>
    <w:qFormat/>
    <w:uiPriority w:val="0"/>
    <w:pPr>
      <w:ind w:firstLine="200" w:firstLineChars="200"/>
    </w:pPr>
    <w:rPr>
      <w:rFonts w:ascii="仿宋" w:hAnsi="仿宋" w:cs="Times New Roman"/>
      <w:bCs/>
      <w:kern w:val="28"/>
      <w:szCs w:val="32"/>
    </w:rPr>
  </w:style>
  <w:style w:type="paragraph" w:styleId="14">
    <w:name w:val="Normal (Web)"/>
    <w:basedOn w:val="1"/>
    <w:qFormat/>
    <w:uiPriority w:val="0"/>
    <w:rPr>
      <w:sz w:val="24"/>
    </w:rPr>
  </w:style>
  <w:style w:type="paragraph" w:styleId="15">
    <w:name w:val="Body Text First Indent 2"/>
    <w:basedOn w:val="10"/>
    <w:unhideWhenUsed/>
    <w:qFormat/>
    <w:uiPriority w:val="99"/>
    <w:pPr>
      <w:ind w:firstLine="420" w:firstLineChars="200"/>
    </w:pPr>
  </w:style>
  <w:style w:type="table" w:styleId="17">
    <w:name w:val="Table Grid"/>
    <w:basedOn w:val="16"/>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Hyperlink"/>
    <w:basedOn w:val="18"/>
    <w:qFormat/>
    <w:uiPriority w:val="0"/>
    <w:rPr>
      <w:color w:val="0000FF"/>
      <w:u w:val="single"/>
    </w:rPr>
  </w:style>
  <w:style w:type="paragraph" w:customStyle="1" w:styleId="20">
    <w:name w:val="table of authorities1"/>
    <w:basedOn w:val="1"/>
    <w:next w:val="1"/>
    <w:qFormat/>
    <w:uiPriority w:val="0"/>
    <w:pPr>
      <w:widowControl/>
      <w:ind w:left="200" w:leftChars="200"/>
      <w:textAlignment w:val="baseline"/>
    </w:pPr>
    <w:rPr>
      <w:szCs w:val="24"/>
    </w:rPr>
  </w:style>
  <w:style w:type="paragraph" w:styleId="21">
    <w:name w:val="List Paragraph"/>
    <w:basedOn w:val="1"/>
    <w:unhideWhenUsed/>
    <w:qFormat/>
    <w:uiPriority w:val="99"/>
    <w:pPr>
      <w:ind w:firstLine="420" w:firstLineChars="200"/>
    </w:pPr>
  </w:style>
  <w:style w:type="paragraph" w:customStyle="1" w:styleId="22">
    <w:name w:val="列出段落1"/>
    <w:basedOn w:val="1"/>
    <w:qFormat/>
    <w:uiPriority w:val="0"/>
    <w:pPr>
      <w:spacing w:line="240" w:lineRule="auto"/>
      <w:ind w:firstLine="200"/>
    </w:pPr>
    <w:rPr>
      <w:rFonts w:ascii="Calibri" w:hAnsi="Calibri" w:eastAsia="宋体"/>
      <w:sz w:val="21"/>
      <w:szCs w:val="21"/>
    </w:rPr>
  </w:style>
  <w:style w:type="paragraph" w:customStyle="1" w:styleId="23">
    <w:name w:val="标题 4 New"/>
    <w:basedOn w:val="1"/>
    <w:next w:val="1"/>
    <w:qFormat/>
    <w:uiPriority w:val="0"/>
    <w:pPr>
      <w:keepNext/>
      <w:keepLines/>
      <w:spacing w:before="100" w:beforeLines="0" w:beforeAutospacing="1" w:after="100" w:afterLines="0" w:afterAutospacing="1" w:line="360" w:lineRule="auto"/>
      <w:outlineLvl w:val="3"/>
    </w:pPr>
    <w:rPr>
      <w:rFonts w:ascii="Arial" w:hAnsi="Arial" w:eastAsia="仿宋_GB2312"/>
      <w:b/>
      <w:kern w:val="2"/>
      <w:sz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5745;&#31639;.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5745;&#31639;.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5745;&#3163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5745;&#316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投入得分情况</a:t>
            </a:r>
          </a:p>
        </c:rich>
      </c:tx>
      <c:layout/>
      <c:overlay val="0"/>
      <c:spPr>
        <a:noFill/>
        <a:ln>
          <a:noFill/>
        </a:ln>
        <a:effectLst/>
      </c:spPr>
    </c:title>
    <c:autoTitleDeleted val="0"/>
    <c:plotArea>
      <c:layout/>
      <c:barChart>
        <c:barDir val="col"/>
        <c:grouping val="clustered"/>
        <c:varyColors val="0"/>
        <c:ser>
          <c:idx val="0"/>
          <c:order val="0"/>
          <c:tx>
            <c:strRef>
              <c:f>[计算.xlsx]Sheet7!$B$3</c:f>
              <c:strCache>
                <c:ptCount val="1"/>
                <c:pt idx="0">
                  <c:v>满分</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[计算.xlsx]Sheet7!$A$4:$A$9</c:f>
              <c:strCache>
                <c:ptCount val="6"/>
                <c:pt idx="0">
                  <c:v>绩效目标合理性</c:v>
                </c:pt>
                <c:pt idx="1">
                  <c:v>绩效目标明确性</c:v>
                </c:pt>
                <c:pt idx="2">
                  <c:v>在职人员情况</c:v>
                </c:pt>
                <c:pt idx="3">
                  <c:v>公用经费情况</c:v>
                </c:pt>
                <c:pt idx="4">
                  <c:v>三公经费变动情况</c:v>
                </c:pt>
                <c:pt idx="5">
                  <c:v>预算编制</c:v>
                </c:pt>
              </c:strCache>
            </c:strRef>
          </c:cat>
          <c:val>
            <c:numRef>
              <c:f>[计算.xlsx]Sheet7!$B$4:$B$9</c:f>
              <c:numCache>
                <c:formatCode>General</c:formatCode>
                <c:ptCount val="6"/>
                <c:pt idx="0">
                  <c:v>3</c:v>
                </c:pt>
                <c:pt idx="1">
                  <c:v>3</c:v>
                </c:pt>
                <c:pt idx="2">
                  <c:v>3</c:v>
                </c:pt>
                <c:pt idx="3">
                  <c:v>3</c:v>
                </c:pt>
                <c:pt idx="4">
                  <c:v>3</c:v>
                </c:pt>
                <c:pt idx="5">
                  <c:v>5</c:v>
                </c:pt>
              </c:numCache>
            </c:numRef>
          </c:val>
        </c:ser>
        <c:ser>
          <c:idx val="1"/>
          <c:order val="1"/>
          <c:tx>
            <c:strRef>
              <c:f>[计算.xlsx]Sheet7!$C$3</c:f>
              <c:strCache>
                <c:ptCount val="1"/>
                <c:pt idx="0">
                  <c:v>实际得分</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[计算.xlsx]Sheet7!$A$4:$A$9</c:f>
              <c:strCache>
                <c:ptCount val="6"/>
                <c:pt idx="0">
                  <c:v>绩效目标合理性</c:v>
                </c:pt>
                <c:pt idx="1">
                  <c:v>绩效目标明确性</c:v>
                </c:pt>
                <c:pt idx="2">
                  <c:v>在职人员情况</c:v>
                </c:pt>
                <c:pt idx="3">
                  <c:v>公用经费情况</c:v>
                </c:pt>
                <c:pt idx="4">
                  <c:v>三公经费变动情况</c:v>
                </c:pt>
                <c:pt idx="5">
                  <c:v>预算编制</c:v>
                </c:pt>
              </c:strCache>
            </c:strRef>
          </c:cat>
          <c:val>
            <c:numRef>
              <c:f>[计算.xlsx]Sheet7!$C$4:$C$9</c:f>
              <c:numCache>
                <c:formatCode>General</c:formatCode>
                <c:ptCount val="6"/>
                <c:pt idx="0">
                  <c:v>3</c:v>
                </c:pt>
                <c:pt idx="1">
                  <c:v>3</c:v>
                </c:pt>
                <c:pt idx="2">
                  <c:v>3</c:v>
                </c:pt>
                <c:pt idx="3">
                  <c:v>3</c:v>
                </c:pt>
                <c:pt idx="4">
                  <c:v>2.5</c:v>
                </c:pt>
                <c:pt idx="5">
                  <c:v>3</c:v>
                </c:pt>
              </c:numCache>
            </c:numRef>
          </c:val>
        </c:ser>
        <c:dLbls>
          <c:showLegendKey val="0"/>
          <c:showVal val="1"/>
          <c:showCatName val="0"/>
          <c:showSerName val="0"/>
          <c:showPercent val="0"/>
          <c:showBubbleSize val="0"/>
        </c:dLbls>
        <c:gapWidth val="246"/>
        <c:overlap val="-28"/>
        <c:axId val="935951701"/>
        <c:axId val="936149578"/>
      </c:barChart>
      <c:catAx>
        <c:axId val="935951701"/>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36149578"/>
        <c:crosses val="autoZero"/>
        <c:auto val="1"/>
        <c:lblAlgn val="ctr"/>
        <c:lblOffset val="100"/>
        <c:noMultiLvlLbl val="0"/>
      </c:catAx>
      <c:valAx>
        <c:axId val="936149578"/>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359517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0c9703d6-c09d-4570-bd35-e50a4acc44a0}"/>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过程得分情况</a:t>
            </a:r>
          </a:p>
        </c:rich>
      </c:tx>
      <c:layout>
        <c:manualLayout>
          <c:xMode val="edge"/>
          <c:yMode val="edge"/>
          <c:x val="0.418421052631579"/>
          <c:y val="0.025"/>
        </c:manualLayout>
      </c:layout>
      <c:overlay val="0"/>
      <c:spPr>
        <a:noFill/>
        <a:ln>
          <a:noFill/>
        </a:ln>
        <a:effectLst/>
      </c:spPr>
    </c:title>
    <c:autoTitleDeleted val="0"/>
    <c:plotArea>
      <c:layout/>
      <c:barChart>
        <c:barDir val="col"/>
        <c:grouping val="clustered"/>
        <c:varyColors val="0"/>
        <c:ser>
          <c:idx val="0"/>
          <c:order val="0"/>
          <c:tx>
            <c:strRef>
              <c:f>[计算.xlsx]Sheet7!$B$11</c:f>
              <c:strCache>
                <c:ptCount val="1"/>
                <c:pt idx="0">
                  <c:v>满分</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[计算.xlsx]Sheet7!$A$12:$A$15</c:f>
              <c:strCache>
                <c:ptCount val="4"/>
                <c:pt idx="0">
                  <c:v>财务管理</c:v>
                </c:pt>
                <c:pt idx="1">
                  <c:v>绩效管理</c:v>
                </c:pt>
                <c:pt idx="2">
                  <c:v>资产管理</c:v>
                </c:pt>
                <c:pt idx="3">
                  <c:v>预算执行</c:v>
                </c:pt>
              </c:strCache>
            </c:strRef>
          </c:cat>
          <c:val>
            <c:numRef>
              <c:f>[计算.xlsx]Sheet7!$B$12:$B$15</c:f>
              <c:numCache>
                <c:formatCode>General</c:formatCode>
                <c:ptCount val="4"/>
                <c:pt idx="0">
                  <c:v>2</c:v>
                </c:pt>
                <c:pt idx="1">
                  <c:v>6</c:v>
                </c:pt>
                <c:pt idx="2">
                  <c:v>4</c:v>
                </c:pt>
                <c:pt idx="3">
                  <c:v>20</c:v>
                </c:pt>
              </c:numCache>
            </c:numRef>
          </c:val>
        </c:ser>
        <c:ser>
          <c:idx val="1"/>
          <c:order val="1"/>
          <c:tx>
            <c:strRef>
              <c:f>[计算.xlsx]Sheet7!$C$11</c:f>
              <c:strCache>
                <c:ptCount val="1"/>
                <c:pt idx="0">
                  <c:v>实际得分</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[计算.xlsx]Sheet7!$A$12:$A$15</c:f>
              <c:strCache>
                <c:ptCount val="4"/>
                <c:pt idx="0">
                  <c:v>财务管理</c:v>
                </c:pt>
                <c:pt idx="1">
                  <c:v>绩效管理</c:v>
                </c:pt>
                <c:pt idx="2">
                  <c:v>资产管理</c:v>
                </c:pt>
                <c:pt idx="3">
                  <c:v>预算执行</c:v>
                </c:pt>
              </c:strCache>
            </c:strRef>
          </c:cat>
          <c:val>
            <c:numRef>
              <c:f>[计算.xlsx]Sheet7!$C$12:$C$15</c:f>
              <c:numCache>
                <c:formatCode>General</c:formatCode>
                <c:ptCount val="4"/>
                <c:pt idx="0">
                  <c:v>2</c:v>
                </c:pt>
                <c:pt idx="1">
                  <c:v>5</c:v>
                </c:pt>
                <c:pt idx="2">
                  <c:v>3</c:v>
                </c:pt>
                <c:pt idx="3">
                  <c:v>14.8</c:v>
                </c:pt>
              </c:numCache>
            </c:numRef>
          </c:val>
        </c:ser>
        <c:dLbls>
          <c:showLegendKey val="0"/>
          <c:showVal val="1"/>
          <c:showCatName val="0"/>
          <c:showSerName val="0"/>
          <c:showPercent val="0"/>
          <c:showBubbleSize val="0"/>
        </c:dLbls>
        <c:gapWidth val="246"/>
        <c:overlap val="-28"/>
        <c:axId val="307246218"/>
        <c:axId val="471177613"/>
      </c:barChart>
      <c:catAx>
        <c:axId val="30724621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71177613"/>
        <c:crosses val="autoZero"/>
        <c:auto val="1"/>
        <c:lblAlgn val="ctr"/>
        <c:lblOffset val="100"/>
        <c:noMultiLvlLbl val="0"/>
      </c:catAx>
      <c:valAx>
        <c:axId val="471177613"/>
        <c:scaling>
          <c:orientation val="minMax"/>
          <c:max val="20"/>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072462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bb56387d-3468-4c6e-8aec-ee4768ca635b}"/>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产出得分情况</a:t>
            </a:r>
          </a:p>
        </c:rich>
      </c:tx>
      <c:layout/>
      <c:overlay val="0"/>
      <c:spPr>
        <a:noFill/>
        <a:ln>
          <a:noFill/>
        </a:ln>
        <a:effectLst/>
      </c:spPr>
    </c:title>
    <c:autoTitleDeleted val="0"/>
    <c:plotArea>
      <c:layout/>
      <c:barChart>
        <c:barDir val="col"/>
        <c:grouping val="clustered"/>
        <c:varyColors val="0"/>
        <c:ser>
          <c:idx val="0"/>
          <c:order val="0"/>
          <c:tx>
            <c:strRef>
              <c:f>[计算.xlsx]Sheet7!$B$18</c:f>
              <c:strCache>
                <c:ptCount val="1"/>
                <c:pt idx="0">
                  <c:v>满分</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[计算.xlsx]Sheet7!$A$19:$A$21</c:f>
              <c:strCache>
                <c:ptCount val="3"/>
                <c:pt idx="0">
                  <c:v>完成目标任务数量</c:v>
                </c:pt>
                <c:pt idx="1">
                  <c:v>完成目标成本</c:v>
                </c:pt>
                <c:pt idx="2">
                  <c:v>完成目标质量</c:v>
                </c:pt>
              </c:strCache>
            </c:strRef>
          </c:cat>
          <c:val>
            <c:numRef>
              <c:f>[计算.xlsx]Sheet7!$B$19:$B$21</c:f>
              <c:numCache>
                <c:formatCode>General</c:formatCode>
                <c:ptCount val="3"/>
                <c:pt idx="0">
                  <c:v>18</c:v>
                </c:pt>
                <c:pt idx="1">
                  <c:v>6</c:v>
                </c:pt>
                <c:pt idx="2">
                  <c:v>6</c:v>
                </c:pt>
              </c:numCache>
            </c:numRef>
          </c:val>
        </c:ser>
        <c:ser>
          <c:idx val="1"/>
          <c:order val="1"/>
          <c:tx>
            <c:strRef>
              <c:f>[计算.xlsx]Sheet7!$C$18</c:f>
              <c:strCache>
                <c:ptCount val="1"/>
                <c:pt idx="0">
                  <c:v>实际得分</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[计算.xlsx]Sheet7!$A$19:$A$21</c:f>
              <c:strCache>
                <c:ptCount val="3"/>
                <c:pt idx="0">
                  <c:v>完成目标任务数量</c:v>
                </c:pt>
                <c:pt idx="1">
                  <c:v>完成目标成本</c:v>
                </c:pt>
                <c:pt idx="2">
                  <c:v>完成目标质量</c:v>
                </c:pt>
              </c:strCache>
            </c:strRef>
          </c:cat>
          <c:val>
            <c:numRef>
              <c:f>[计算.xlsx]Sheet7!$C$19:$C$21</c:f>
              <c:numCache>
                <c:formatCode>General</c:formatCode>
                <c:ptCount val="3"/>
                <c:pt idx="0">
                  <c:v>18</c:v>
                </c:pt>
                <c:pt idx="1">
                  <c:v>6</c:v>
                </c:pt>
                <c:pt idx="2">
                  <c:v>6</c:v>
                </c:pt>
              </c:numCache>
            </c:numRef>
          </c:val>
        </c:ser>
        <c:dLbls>
          <c:showLegendKey val="0"/>
          <c:showVal val="1"/>
          <c:showCatName val="0"/>
          <c:showSerName val="0"/>
          <c:showPercent val="0"/>
          <c:showBubbleSize val="0"/>
        </c:dLbls>
        <c:gapWidth val="246"/>
        <c:overlap val="-28"/>
        <c:axId val="666994976"/>
        <c:axId val="159541766"/>
      </c:barChart>
      <c:catAx>
        <c:axId val="666994976"/>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59541766"/>
        <c:crosses val="autoZero"/>
        <c:auto val="1"/>
        <c:lblAlgn val="ctr"/>
        <c:lblOffset val="100"/>
        <c:noMultiLvlLbl val="0"/>
      </c:catAx>
      <c:valAx>
        <c:axId val="159541766"/>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669949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9a381240-7bfa-475e-80a0-29ff49d85eac}"/>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效益得分情况</a:t>
            </a:r>
          </a:p>
        </c:rich>
      </c:tx>
      <c:layout/>
      <c:overlay val="0"/>
      <c:spPr>
        <a:noFill/>
        <a:ln>
          <a:noFill/>
        </a:ln>
        <a:effectLst/>
      </c:spPr>
    </c:title>
    <c:autoTitleDeleted val="0"/>
    <c:plotArea>
      <c:layout/>
      <c:barChart>
        <c:barDir val="col"/>
        <c:grouping val="clustered"/>
        <c:varyColors val="0"/>
        <c:ser>
          <c:idx val="0"/>
          <c:order val="0"/>
          <c:tx>
            <c:strRef>
              <c:f>[计算.xlsx]Sheet7!$A$29</c:f>
              <c:strCache>
                <c:ptCount val="1"/>
                <c:pt idx="0">
                  <c:v>满分</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[计算.xlsx]Sheet7!$B$28:$C$28</c:f>
              <c:strCache>
                <c:ptCount val="2"/>
                <c:pt idx="0">
                  <c:v>社会效益</c:v>
                </c:pt>
                <c:pt idx="1">
                  <c:v>经济效益</c:v>
                </c:pt>
              </c:strCache>
            </c:strRef>
          </c:cat>
          <c:val>
            <c:numRef>
              <c:f>[计算.xlsx]Sheet7!$B$29:$C$29</c:f>
              <c:numCache>
                <c:formatCode>General</c:formatCode>
                <c:ptCount val="2"/>
                <c:pt idx="0">
                  <c:v>6</c:v>
                </c:pt>
                <c:pt idx="1">
                  <c:v>12</c:v>
                </c:pt>
              </c:numCache>
            </c:numRef>
          </c:val>
        </c:ser>
        <c:ser>
          <c:idx val="1"/>
          <c:order val="1"/>
          <c:tx>
            <c:strRef>
              <c:f>[计算.xlsx]Sheet7!$A$30</c:f>
              <c:strCache>
                <c:ptCount val="1"/>
                <c:pt idx="0">
                  <c:v>实际得分</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[计算.xlsx]Sheet7!$B$28:$C$28</c:f>
              <c:strCache>
                <c:ptCount val="2"/>
                <c:pt idx="0">
                  <c:v>社会效益</c:v>
                </c:pt>
                <c:pt idx="1">
                  <c:v>经济效益</c:v>
                </c:pt>
              </c:strCache>
            </c:strRef>
          </c:cat>
          <c:val>
            <c:numRef>
              <c:f>[计算.xlsx]Sheet7!$B$30:$C$30</c:f>
              <c:numCache>
                <c:formatCode>General</c:formatCode>
                <c:ptCount val="2"/>
                <c:pt idx="0">
                  <c:v>6</c:v>
                </c:pt>
                <c:pt idx="1">
                  <c:v>12</c:v>
                </c:pt>
              </c:numCache>
            </c:numRef>
          </c:val>
        </c:ser>
        <c:dLbls>
          <c:showLegendKey val="0"/>
          <c:showVal val="1"/>
          <c:showCatName val="0"/>
          <c:showSerName val="0"/>
          <c:showPercent val="0"/>
          <c:showBubbleSize val="0"/>
        </c:dLbls>
        <c:gapWidth val="246"/>
        <c:overlap val="-28"/>
        <c:axId val="21465560"/>
        <c:axId val="627543643"/>
      </c:barChart>
      <c:catAx>
        <c:axId val="21465560"/>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627543643"/>
        <c:crosses val="autoZero"/>
        <c:auto val="1"/>
        <c:lblAlgn val="ctr"/>
        <c:lblOffset val="100"/>
        <c:noMultiLvlLbl val="0"/>
      </c:catAx>
      <c:valAx>
        <c:axId val="627543643"/>
        <c:scaling>
          <c:orientation val="minMax"/>
        </c:scaling>
        <c:delete val="0"/>
        <c:axPos val="l"/>
        <c:majorGridlines>
          <c:spPr>
            <a:ln w="9525" cap="flat" cmpd="sng" algn="ctr">
              <a:solidFill>
                <a:srgbClr val="E6E6E6">
                  <a:lumMod val="902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14655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df26d41-126f-4767-b288-6edbbded3779}"/>
      </c:ext>
    </c:extLst>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10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rgbClr val="000000"/>
    </cs:fontRef>
    <cs:spPr>
      <a:ln>
        <a:noFill/>
      </a:ln>
      <a:effectLst/>
    </cs:spPr>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E6E6E6">
            <a:lumMod val="902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404040">
        <a:lumMod val="75000"/>
        <a:lumOff val="25000"/>
      </a:srgbClr>
    </cs:fontRef>
    <cs:defRPr sz="1400" b="1" kern="120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10256</Words>
  <Characters>11216</Characters>
  <Lines>0</Lines>
  <Paragraphs>0</Paragraphs>
  <TotalTime>0</TotalTime>
  <ScaleCrop>false</ScaleCrop>
  <LinksUpToDate>false</LinksUpToDate>
  <CharactersWithSpaces>11258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甘愿</cp:lastModifiedBy>
  <dcterms:modified xsi:type="dcterms:W3CDTF">2025-10-20T01:57:34Z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3F0583B60F944032A35A07CA80568A1D_12</vt:lpwstr>
  </property>
  <property fmtid="{D5CDD505-2E9C-101B-9397-08002B2CF9AE}" pid="4" name="KSOTemplateDocerSaveRecord">
    <vt:lpwstr>eyJoZGlkIjoiYjRjNzU1Y2E0ODQ1YTYyYmQ1ODY3ODU2NzRkNDBiOWQiLCJ1c2VySWQiOiIzMDU3MTc1ODQifQ==</vt:lpwstr>
  </property>
</Properties>
</file>