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C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baseline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6A7A6C4F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2024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年度城东应急水源项目项目自评表</w:t>
      </w:r>
    </w:p>
    <w:p w14:paraId="4883BBA3">
      <w:pPr>
        <w:rPr>
          <w:rFonts w:hint="default" w:ascii="Times New Roman" w:hAnsi="Times New Roman" w:cs="Times New Roman"/>
        </w:rPr>
      </w:pPr>
    </w:p>
    <w:p w14:paraId="691B7158">
      <w:pPr>
        <w:widowControl/>
        <w:jc w:val="left"/>
        <w:rPr>
          <w:rFonts w:hint="default" w:ascii="Times New Roman" w:hAnsi="Times New Roman" w:eastAsia="楷体_GB2312" w:cs="Times New Roman"/>
          <w:kern w:val="0"/>
          <w:sz w:val="48"/>
          <w:szCs w:val="48"/>
        </w:rPr>
      </w:pP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  <w:lang w:eastAsia="zh-CN"/>
        </w:rPr>
        <w:t>随州市住建重点项目服务中心</w:t>
      </w:r>
      <w:r>
        <w:rPr>
          <w:rFonts w:hint="default" w:ascii="Times New Roman" w:hAnsi="Times New Roman" w:eastAsia="楷体_GB2312" w:cs="Times New Roman"/>
          <w:kern w:val="0"/>
          <w:sz w:val="24"/>
          <w:szCs w:val="24"/>
        </w:rPr>
        <w:t xml:space="preserve">   </w:t>
      </w:r>
      <w:r>
        <w:rPr>
          <w:rFonts w:hint="default" w:ascii="Times New Roman" w:hAnsi="Times New Roman" w:eastAsia="楷体_GB2312" w:cs="Times New Roman"/>
          <w:kern w:val="0"/>
          <w:sz w:val="28"/>
          <w:szCs w:val="28"/>
        </w:rPr>
        <w:t xml:space="preserve"> 填报日期：</w:t>
      </w:r>
      <w:r>
        <w:rPr>
          <w:rFonts w:hint="eastAsia" w:ascii="Times New Roman" w:hAnsi="Times New Roman" w:eastAsia="楷体_GB2312" w:cs="Times New Roman"/>
          <w:kern w:val="0"/>
          <w:sz w:val="24"/>
          <w:szCs w:val="24"/>
          <w:lang w:val="en-US" w:eastAsia="zh-CN"/>
        </w:rPr>
        <w:t>2025年5月6日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00"/>
        <w:gridCol w:w="709"/>
        <w:gridCol w:w="413"/>
        <w:gridCol w:w="1319"/>
        <w:gridCol w:w="505"/>
        <w:gridCol w:w="900"/>
        <w:gridCol w:w="1337"/>
        <w:gridCol w:w="41"/>
        <w:gridCol w:w="1319"/>
        <w:gridCol w:w="877"/>
      </w:tblGrid>
      <w:tr w14:paraId="2BC2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203F34DD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432EFBD2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</w:rPr>
              <w:t>城东应急水源项目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0A6EDA78">
            <w:pPr>
              <w:widowControl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项目实施单位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55A6D48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</w:rPr>
              <w:t>市住建重点项目服务中心</w:t>
            </w:r>
          </w:p>
        </w:tc>
      </w:tr>
      <w:tr w14:paraId="10B5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237" w:type="dxa"/>
            <w:gridSpan w:val="3"/>
            <w:noWrap w:val="0"/>
            <w:vAlign w:val="center"/>
          </w:tcPr>
          <w:p w14:paraId="1EB8FCAB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项目主管单位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72C09D95">
            <w:pPr>
              <w:widowControl/>
              <w:snapToGrid w:val="0"/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市住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新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局</w:t>
            </w:r>
          </w:p>
        </w:tc>
        <w:tc>
          <w:tcPr>
            <w:tcW w:w="2237" w:type="dxa"/>
            <w:gridSpan w:val="2"/>
            <w:noWrap w:val="0"/>
            <w:vAlign w:val="center"/>
          </w:tcPr>
          <w:p w14:paraId="7605B8EA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78E03233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孙登攀</w:t>
            </w:r>
          </w:p>
        </w:tc>
      </w:tr>
      <w:tr w14:paraId="73F3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28" w:type="dxa"/>
            <w:gridSpan w:val="2"/>
            <w:noWrap w:val="0"/>
            <w:vAlign w:val="center"/>
          </w:tcPr>
          <w:p w14:paraId="20A67E0A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资金性质</w:t>
            </w:r>
          </w:p>
        </w:tc>
        <w:tc>
          <w:tcPr>
            <w:tcW w:w="7420" w:type="dxa"/>
            <w:gridSpan w:val="9"/>
            <w:noWrap w:val="0"/>
            <w:vAlign w:val="center"/>
          </w:tcPr>
          <w:p w14:paraId="2C75A8A5">
            <w:pPr>
              <w:widowControl/>
              <w:snapToGrid w:val="0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1、持续性项目     □   2、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一次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性项目 □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3、债券项目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</w:p>
        </w:tc>
      </w:tr>
      <w:tr w14:paraId="174D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56CCF90A">
            <w:pPr>
              <w:widowControl/>
              <w:snapToGrid w:val="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项目资金来源</w:t>
            </w:r>
          </w:p>
          <w:p w14:paraId="2BDFCD2A">
            <w:pPr>
              <w:widowControl/>
              <w:snapToGrid w:val="0"/>
              <w:ind w:firstLine="210" w:firstLineChars="1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 w14:paraId="7C7BBD4B">
            <w:pPr>
              <w:widowControl/>
              <w:snapToGrid w:val="0"/>
              <w:ind w:firstLine="630" w:firstLineChars="30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中央、省级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 w14:paraId="61E687A6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本级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0BF92B0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6EEA010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合计</w:t>
            </w:r>
          </w:p>
        </w:tc>
      </w:tr>
      <w:tr w14:paraId="7B4C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2E893E9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441" w:type="dxa"/>
            <w:gridSpan w:val="3"/>
            <w:noWrap w:val="0"/>
            <w:vAlign w:val="center"/>
          </w:tcPr>
          <w:p w14:paraId="25395EC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6227.88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 w14:paraId="5F734B5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8" w:type="dxa"/>
            <w:gridSpan w:val="2"/>
            <w:noWrap w:val="0"/>
            <w:vAlign w:val="center"/>
          </w:tcPr>
          <w:p w14:paraId="79F99C9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05E5D05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6227.88</w:t>
            </w:r>
          </w:p>
        </w:tc>
      </w:tr>
      <w:tr w14:paraId="1A5D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restart"/>
            <w:noWrap w:val="0"/>
            <w:vAlign w:val="center"/>
          </w:tcPr>
          <w:p w14:paraId="27AC35D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预算执行情况（万元）</w:t>
            </w:r>
          </w:p>
          <w:p w14:paraId="618803F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2616E7C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EE0651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预算数（A）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 w14:paraId="0A72045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执行数（B）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5AFB318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执行率</w:t>
            </w:r>
          </w:p>
          <w:p w14:paraId="77E0798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（B/A）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3B4D1CF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  <w:p w14:paraId="23A30F5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（20分*执行率）</w:t>
            </w:r>
          </w:p>
        </w:tc>
      </w:tr>
      <w:tr w14:paraId="4A927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" w:type="dxa"/>
            <w:gridSpan w:val="2"/>
            <w:vMerge w:val="continue"/>
            <w:noWrap w:val="0"/>
            <w:vAlign w:val="center"/>
          </w:tcPr>
          <w:p w14:paraId="7FAA85F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9E3E33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年度财政资金总额</w:t>
            </w:r>
          </w:p>
        </w:tc>
        <w:tc>
          <w:tcPr>
            <w:tcW w:w="1319" w:type="dxa"/>
            <w:noWrap w:val="0"/>
            <w:vAlign w:val="center"/>
          </w:tcPr>
          <w:p w14:paraId="4A32A23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6227.88</w:t>
            </w:r>
            <w:bookmarkStart w:id="0" w:name="_GoBack"/>
            <w:bookmarkEnd w:id="0"/>
          </w:p>
        </w:tc>
        <w:tc>
          <w:tcPr>
            <w:tcW w:w="1405" w:type="dxa"/>
            <w:gridSpan w:val="2"/>
            <w:noWrap w:val="0"/>
            <w:vAlign w:val="center"/>
          </w:tcPr>
          <w:p w14:paraId="013F1DD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6227.88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321740D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2FF3EFB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 w14:paraId="06E1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 w14:paraId="2977C7C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年度绩效目标1</w:t>
            </w:r>
          </w:p>
          <w:p w14:paraId="2BB8C2F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（XX分）</w:t>
            </w:r>
          </w:p>
        </w:tc>
        <w:tc>
          <w:tcPr>
            <w:tcW w:w="700" w:type="dxa"/>
            <w:noWrap w:val="0"/>
            <w:vAlign w:val="center"/>
          </w:tcPr>
          <w:p w14:paraId="5C0CB7F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58A83F5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2BB85AE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67B9BC6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年初目标值（A）</w:t>
            </w:r>
          </w:p>
        </w:tc>
        <w:tc>
          <w:tcPr>
            <w:tcW w:w="1319" w:type="dxa"/>
            <w:noWrap w:val="0"/>
            <w:vAlign w:val="center"/>
          </w:tcPr>
          <w:p w14:paraId="1CAB30F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实际完成值（B）</w:t>
            </w:r>
          </w:p>
        </w:tc>
        <w:tc>
          <w:tcPr>
            <w:tcW w:w="877" w:type="dxa"/>
            <w:noWrap w:val="0"/>
            <w:vAlign w:val="center"/>
          </w:tcPr>
          <w:p w14:paraId="65E32CC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得分</w:t>
            </w:r>
          </w:p>
        </w:tc>
      </w:tr>
      <w:tr w14:paraId="18C22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C4FA9C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56F79C1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2EFC3A4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时间成本指标</w:t>
            </w:r>
          </w:p>
        </w:tc>
        <w:tc>
          <w:tcPr>
            <w:tcW w:w="2724" w:type="dxa"/>
            <w:gridSpan w:val="3"/>
            <w:shd w:val="clear" w:color="auto" w:fill="auto"/>
            <w:noWrap w:val="0"/>
            <w:vAlign w:val="center"/>
          </w:tcPr>
          <w:p w14:paraId="2C7C1F6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378" w:type="dxa"/>
            <w:gridSpan w:val="2"/>
            <w:shd w:val="clear" w:color="auto" w:fill="auto"/>
            <w:noWrap w:val="0"/>
            <w:vAlign w:val="center"/>
          </w:tcPr>
          <w:p w14:paraId="5B2EC0F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35CD983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按进度完成改造任务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4691056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5591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9EDFF7F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155C44E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24CCDD7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24" w:type="dxa"/>
            <w:gridSpan w:val="3"/>
            <w:shd w:val="clear" w:color="auto" w:fill="auto"/>
            <w:noWrap w:val="0"/>
            <w:vAlign w:val="center"/>
          </w:tcPr>
          <w:p w14:paraId="4B93C6F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项目实施材料成本</w:t>
            </w:r>
          </w:p>
        </w:tc>
        <w:tc>
          <w:tcPr>
            <w:tcW w:w="1378" w:type="dxa"/>
            <w:gridSpan w:val="2"/>
            <w:shd w:val="clear" w:color="auto" w:fill="auto"/>
            <w:noWrap w:val="0"/>
            <w:vAlign w:val="center"/>
          </w:tcPr>
          <w:p w14:paraId="553F66C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0040DC2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材料成本有效节约控制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192C1F66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25CD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25AA062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77EFE3CD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shd w:val="clear" w:color="auto" w:fill="auto"/>
            <w:noWrap w:val="0"/>
            <w:vAlign w:val="center"/>
          </w:tcPr>
          <w:p w14:paraId="5FAFB13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设计成本指标</w:t>
            </w:r>
          </w:p>
        </w:tc>
        <w:tc>
          <w:tcPr>
            <w:tcW w:w="2724" w:type="dxa"/>
            <w:gridSpan w:val="3"/>
            <w:shd w:val="clear" w:color="auto" w:fill="auto"/>
            <w:noWrap w:val="0"/>
            <w:vAlign w:val="center"/>
          </w:tcPr>
          <w:p w14:paraId="565AD15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</w:t>
            </w:r>
          </w:p>
        </w:tc>
        <w:tc>
          <w:tcPr>
            <w:tcW w:w="1378" w:type="dxa"/>
            <w:gridSpan w:val="2"/>
            <w:shd w:val="clear" w:color="auto" w:fill="auto"/>
            <w:noWrap w:val="0"/>
            <w:vAlign w:val="center"/>
          </w:tcPr>
          <w:p w14:paraId="0333A620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1319" w:type="dxa"/>
            <w:shd w:val="clear" w:color="auto" w:fill="auto"/>
            <w:noWrap w:val="0"/>
            <w:vAlign w:val="center"/>
          </w:tcPr>
          <w:p w14:paraId="44F0E99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设计费用不超额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6D2D30B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13B8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0777D0F7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noWrap w:val="0"/>
            <w:vAlign w:val="center"/>
          </w:tcPr>
          <w:p w14:paraId="435E327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产出指标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429D477A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5A5FF71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完成水厂及配套设施建设一套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02915F1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完成水厂及配套设施建设一套</w:t>
            </w:r>
          </w:p>
        </w:tc>
        <w:tc>
          <w:tcPr>
            <w:tcW w:w="1319" w:type="dxa"/>
            <w:noWrap w:val="0"/>
            <w:vAlign w:val="center"/>
          </w:tcPr>
          <w:p w14:paraId="3DEEB1F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完成水厂及配套设施建设一套</w:t>
            </w:r>
          </w:p>
        </w:tc>
        <w:tc>
          <w:tcPr>
            <w:tcW w:w="877" w:type="dxa"/>
            <w:noWrap w:val="0"/>
            <w:vAlign w:val="center"/>
          </w:tcPr>
          <w:p w14:paraId="20E86EF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 w14:paraId="1AC74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69CF23D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435CFF8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29CDA96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4599798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确保安全生产零事故，工程质量达到验收标准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4971255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安全生产无事故，部分单体工程完成验收</w:t>
            </w:r>
          </w:p>
        </w:tc>
        <w:tc>
          <w:tcPr>
            <w:tcW w:w="1319" w:type="dxa"/>
            <w:noWrap w:val="0"/>
            <w:vAlign w:val="center"/>
          </w:tcPr>
          <w:p w14:paraId="1B0B722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安全生产无事故，部分单体工程完成验收</w:t>
            </w:r>
          </w:p>
        </w:tc>
        <w:tc>
          <w:tcPr>
            <w:tcW w:w="877" w:type="dxa"/>
            <w:noWrap w:val="0"/>
            <w:vAlign w:val="center"/>
          </w:tcPr>
          <w:p w14:paraId="2C4C428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3331B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199E28A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vMerge w:val="continue"/>
            <w:noWrap w:val="0"/>
            <w:vAlign w:val="center"/>
          </w:tcPr>
          <w:p w14:paraId="1EC3F30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 w14:paraId="4E25FE5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44E97CD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2023年年底前完成项目建设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0E304F7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已完成项目主体建设，并通过闭水实验</w:t>
            </w:r>
          </w:p>
        </w:tc>
        <w:tc>
          <w:tcPr>
            <w:tcW w:w="1319" w:type="dxa"/>
            <w:noWrap w:val="0"/>
            <w:vAlign w:val="center"/>
          </w:tcPr>
          <w:p w14:paraId="1D2DEE9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已完成项目主体建设，并通过闭水实验</w:t>
            </w:r>
          </w:p>
        </w:tc>
        <w:tc>
          <w:tcPr>
            <w:tcW w:w="877" w:type="dxa"/>
            <w:noWrap w:val="0"/>
            <w:vAlign w:val="center"/>
          </w:tcPr>
          <w:p w14:paraId="11B1C7B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DBE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43DCB5A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049E848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7B22F9A3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社会效益指标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301E006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确保城区供水安全，进一步提升城区供水能力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4370B3A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完成设备安装，并通过闭水实验</w:t>
            </w:r>
          </w:p>
        </w:tc>
        <w:tc>
          <w:tcPr>
            <w:tcW w:w="1319" w:type="dxa"/>
            <w:noWrap w:val="0"/>
            <w:vAlign w:val="center"/>
          </w:tcPr>
          <w:p w14:paraId="5EF11F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完成设备安装，并通过闭水实验</w:t>
            </w:r>
          </w:p>
        </w:tc>
        <w:tc>
          <w:tcPr>
            <w:tcW w:w="877" w:type="dxa"/>
            <w:noWrap w:val="0"/>
            <w:vAlign w:val="center"/>
          </w:tcPr>
          <w:p w14:paraId="6396A581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5D00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 w14:paraId="457AA41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CB8CEF4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 w14:paraId="0C690003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服务对象满意度</w:t>
            </w:r>
          </w:p>
        </w:tc>
        <w:tc>
          <w:tcPr>
            <w:tcW w:w="2724" w:type="dxa"/>
            <w:gridSpan w:val="3"/>
            <w:noWrap w:val="0"/>
            <w:vAlign w:val="center"/>
          </w:tcPr>
          <w:p w14:paraId="668CE86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≧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378" w:type="dxa"/>
            <w:gridSpan w:val="2"/>
            <w:noWrap w:val="0"/>
            <w:vAlign w:val="center"/>
          </w:tcPr>
          <w:p w14:paraId="30F0406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319" w:type="dxa"/>
            <w:noWrap w:val="0"/>
            <w:vAlign w:val="center"/>
          </w:tcPr>
          <w:p w14:paraId="6089F6B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877" w:type="dxa"/>
            <w:noWrap w:val="0"/>
            <w:vAlign w:val="center"/>
          </w:tcPr>
          <w:p w14:paraId="73D2C206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7505F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8" w:type="dxa"/>
            <w:noWrap w:val="0"/>
            <w:vAlign w:val="center"/>
          </w:tcPr>
          <w:p w14:paraId="3C08F5E3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总分</w:t>
            </w:r>
          </w:p>
        </w:tc>
        <w:tc>
          <w:tcPr>
            <w:tcW w:w="8120" w:type="dxa"/>
            <w:gridSpan w:val="10"/>
            <w:noWrap w:val="0"/>
            <w:vAlign w:val="center"/>
          </w:tcPr>
          <w:p w14:paraId="6E14064B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98</w:t>
            </w:r>
          </w:p>
        </w:tc>
      </w:tr>
    </w:tbl>
    <w:p w14:paraId="1561431A">
      <w:pPr>
        <w:spacing w:before="44" w:line="221" w:lineRule="auto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备注：</w:t>
      </w:r>
    </w:p>
    <w:p w14:paraId="59938479">
      <w:pPr>
        <w:spacing w:before="64" w:line="234" w:lineRule="auto"/>
        <w:ind w:left="35" w:right="125" w:firstLine="429"/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1.预算执行情况口径：预算数为调整后财政资金总额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包括上年结余结转</w:t>
      </w:r>
      <w:r>
        <w:rPr>
          <w:rFonts w:hint="eastAsia" w:ascii="Times New Roman" w:hAnsi="Times New Roman" w:eastAsia="楷体_GB2312" w:cs="Times New Roman"/>
          <w:spacing w:val="0"/>
          <w:position w:val="0"/>
          <w:lang w:eastAsia="zh-CN"/>
        </w:rPr>
        <w:t>），</w:t>
      </w:r>
      <w:r>
        <w:rPr>
          <w:rFonts w:hint="default" w:ascii="Times New Roman" w:hAnsi="Times New Roman" w:eastAsia="楷体_GB2312" w:cs="Times New Roman"/>
          <w:spacing w:val="0"/>
          <w:position w:val="0"/>
          <w:lang w:eastAsia="zh-CN"/>
        </w:rPr>
        <w:t>执行数为资金使用单位财政资金实际支出数。</w:t>
      </w:r>
    </w:p>
    <w:p w14:paraId="7833A2DE">
      <w:pPr>
        <w:pStyle w:val="2"/>
        <w:spacing w:before="66" w:line="220" w:lineRule="auto"/>
        <w:ind w:left="464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2.基于经济性和必要性等因素考虑，满意度指标暂可不作为必评指标</w:t>
      </w:r>
      <w:r>
        <w:rPr>
          <w:rFonts w:hint="eastAsia" w:ascii="Times New Roman" w:hAnsi="Times New Roman" w:eastAsia="楷体_GB2312" w:cs="Times New Roman"/>
          <w:spacing w:val="0"/>
          <w:position w:val="0"/>
          <w:sz w:val="21"/>
          <w:szCs w:val="21"/>
          <w:lang w:val="en-US" w:eastAsia="zh-CN"/>
        </w:rPr>
        <w:t>。</w:t>
      </w:r>
    </w:p>
    <w:p w14:paraId="6313D256">
      <w:pPr>
        <w:pStyle w:val="2"/>
        <w:spacing w:before="57" w:line="246" w:lineRule="auto"/>
        <w:ind w:left="35" w:right="141" w:firstLine="429"/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</w:pPr>
      <w:r>
        <w:rPr>
          <w:rFonts w:hint="default" w:ascii="Times New Roman" w:hAnsi="Times New Roman" w:eastAsia="楷体_GB2312" w:cs="Times New Roman"/>
          <w:spacing w:val="0"/>
          <w:position w:val="0"/>
          <w:sz w:val="21"/>
          <w:szCs w:val="21"/>
          <w:lang w:eastAsia="zh-CN"/>
        </w:rPr>
        <w:t>3.部门预算项目以二级项目填报，市直专项、市对下专项转移支付项目、具有特定用途和具 体使用目标的共同事权类一般性转移支付以一级项目填报。</w:t>
      </w:r>
    </w:p>
    <w:p w14:paraId="518237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MWU4OWU4ZjY4ZTgzYTRmM2JiZjc1YzI0OGIzNjIifQ=="/>
  </w:docVars>
  <w:rsids>
    <w:rsidRoot w:val="00000000"/>
    <w:rsid w:val="0D2C02FD"/>
    <w:rsid w:val="10A86942"/>
    <w:rsid w:val="1A0062D3"/>
    <w:rsid w:val="1BB52574"/>
    <w:rsid w:val="1CFC627E"/>
    <w:rsid w:val="32FD1D03"/>
    <w:rsid w:val="660C3DB8"/>
    <w:rsid w:val="6C3D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731</Words>
  <Characters>780</Characters>
  <Lines>0</Lines>
  <Paragraphs>0</Paragraphs>
  <TotalTime>0</TotalTime>
  <ScaleCrop>false</ScaleCrop>
  <LinksUpToDate>false</LinksUpToDate>
  <CharactersWithSpaces>797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2024-04-28T02:56:00Z</dcterms:created>
  <dc:creator>Administrator</dc:creator>
  <cp:lastModifiedBy>包温柔</cp:lastModifiedBy>
  <cp:lastPrinted>2024-05-07T01:53:00Z</cp:lastPrinted>
  <dcterms:modified xsi:type="dcterms:W3CDTF">2025-05-07T04:04:06Z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9787D8E28622459494450316893647B9_13</vt:lpwstr>
  </property>
  <property fmtid="{D5CDD505-2E9C-101B-9397-08002B2CF9AE}" pid="4" name="KSOTemplateDocerSaveRecord">
    <vt:lpwstr>eyJoZGlkIjoiMmQ4OWEzM2RhMTI3MmM1NDc4Yjc3ZmIxYjI1ODhkNDQiLCJ1c2VySWQiOiIxMTI1OTI5MDAwIn0=</vt:lpwstr>
  </property>
</Properties>
</file>