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91932B">
      <w:pPr>
        <w:jc w:val="center"/>
        <w:rPr>
          <w:rFonts w:hint="eastAsia" w:ascii="方正小标宋_GBK" w:hAnsi="方正小标宋_GBK" w:eastAsia="方正小标宋_GBK" w:cs="方正小标宋_GBK"/>
          <w:sz w:val="44"/>
          <w:szCs w:val="36"/>
        </w:rPr>
      </w:pPr>
    </w:p>
    <w:p w14:paraId="1F50C630">
      <w:pPr>
        <w:jc w:val="center"/>
        <w:rPr>
          <w:rFonts w:hint="eastAsia" w:ascii="方正小标宋_GBK" w:hAnsi="方正小标宋_GBK" w:eastAsia="方正小标宋_GBK" w:cs="方正小标宋_GBK"/>
          <w:sz w:val="44"/>
          <w:szCs w:val="36"/>
          <w:lang w:val="zh-CN"/>
        </w:rPr>
      </w:pPr>
      <w:r>
        <w:rPr>
          <w:rFonts w:hint="eastAsia" w:ascii="方正小标宋_GBK" w:hAnsi="方正小标宋_GBK" w:eastAsia="方正小标宋_GBK" w:cs="方正小标宋_GBK"/>
          <w:sz w:val="44"/>
          <w:szCs w:val="36"/>
        </w:rPr>
        <w:t>随州市</w:t>
      </w:r>
      <w:r>
        <w:rPr>
          <w:rFonts w:hint="eastAsia" w:ascii="方正小标宋_GBK" w:hAnsi="方正小标宋_GBK" w:eastAsia="方正小标宋_GBK" w:cs="方正小标宋_GBK"/>
          <w:sz w:val="44"/>
          <w:szCs w:val="36"/>
          <w:lang w:val="en-US" w:eastAsia="zh-CN"/>
        </w:rPr>
        <w:t>住建重点项目服务中心</w:t>
      </w:r>
      <w:r>
        <w:rPr>
          <w:rFonts w:hint="eastAsia" w:ascii="方正小标宋_GBK" w:hAnsi="方正小标宋_GBK" w:eastAsia="方正小标宋_GBK" w:cs="方正小标宋_GBK"/>
          <w:sz w:val="44"/>
          <w:szCs w:val="36"/>
          <w:lang w:val="zh-CN"/>
        </w:rPr>
        <w:t>202</w:t>
      </w:r>
      <w:r>
        <w:rPr>
          <w:rFonts w:hint="eastAsia" w:ascii="方正小标宋_GBK" w:hAnsi="方正小标宋_GBK" w:eastAsia="方正小标宋_GBK" w:cs="方正小标宋_GBK"/>
          <w:sz w:val="44"/>
          <w:szCs w:val="36"/>
          <w:lang w:val="en-US" w:eastAsia="zh-CN"/>
        </w:rPr>
        <w:t>4</w:t>
      </w:r>
      <w:r>
        <w:rPr>
          <w:rFonts w:hint="eastAsia" w:ascii="方正小标宋_GBK" w:hAnsi="方正小标宋_GBK" w:eastAsia="方正小标宋_GBK" w:cs="方正小标宋_GBK"/>
          <w:sz w:val="44"/>
          <w:szCs w:val="36"/>
          <w:lang w:val="zh-CN"/>
        </w:rPr>
        <w:t>年度部门整体支出绩效自评报告</w:t>
      </w:r>
    </w:p>
    <w:p w14:paraId="008E0715">
      <w:pPr>
        <w:jc w:val="center"/>
        <w:rPr>
          <w:rFonts w:hint="eastAsia" w:ascii="方正小标宋_GBK" w:hAnsi="方正小标宋_GBK" w:eastAsia="方正小标宋_GBK" w:cs="方正小标宋_GBK"/>
          <w:sz w:val="40"/>
          <w:szCs w:val="32"/>
        </w:rPr>
      </w:pPr>
    </w:p>
    <w:p w14:paraId="4DFD83CE">
      <w:pPr>
        <w:pageBreakBefore w:val="0"/>
        <w:spacing w:line="600" w:lineRule="exact"/>
        <w:ind w:left="0" w:right="0" w:firstLine="643"/>
        <w:jc w:val="center"/>
        <w:rPr>
          <w:rFonts w:hint="default" w:ascii="Times New Roman" w:hAnsi="Times New Roman" w:eastAsia="仿宋_GB2312" w:cs="Times New Roman"/>
          <w:b/>
          <w:bCs/>
          <w:sz w:val="32"/>
          <w:szCs w:val="32"/>
        </w:rPr>
      </w:pPr>
    </w:p>
    <w:p w14:paraId="0D545E46">
      <w:pPr>
        <w:pageBreakBefore w:val="0"/>
        <w:spacing w:line="600" w:lineRule="exact"/>
        <w:ind w:left="0" w:right="0" w:firstLine="640"/>
        <w:jc w:val="left"/>
        <w:rPr>
          <w:rFonts w:hint="default" w:ascii="Times New Roman" w:hAnsi="Times New Roman" w:eastAsia="仿宋_GB2312" w:cs="Times New Roman"/>
          <w:sz w:val="32"/>
          <w:szCs w:val="32"/>
        </w:rPr>
      </w:pPr>
    </w:p>
    <w:p w14:paraId="25F17885">
      <w:pPr>
        <w:pageBreakBefore w:val="0"/>
        <w:spacing w:line="600" w:lineRule="exact"/>
        <w:ind w:left="0" w:right="0" w:firstLine="640"/>
        <w:jc w:val="left"/>
        <w:rPr>
          <w:rFonts w:hint="default" w:ascii="Times New Roman" w:hAnsi="Times New Roman" w:eastAsia="仿宋_GB2312" w:cs="Times New Roman"/>
          <w:sz w:val="32"/>
          <w:szCs w:val="32"/>
        </w:rPr>
      </w:pPr>
    </w:p>
    <w:p w14:paraId="43E089E1">
      <w:pPr>
        <w:pageBreakBefore w:val="0"/>
        <w:spacing w:line="600" w:lineRule="exact"/>
        <w:ind w:left="0" w:right="0" w:firstLine="640"/>
        <w:jc w:val="left"/>
        <w:rPr>
          <w:rFonts w:hint="default" w:ascii="Times New Roman" w:hAnsi="Times New Roman" w:eastAsia="仿宋_GB2312" w:cs="Times New Roman"/>
          <w:sz w:val="32"/>
          <w:szCs w:val="32"/>
        </w:rPr>
      </w:pPr>
    </w:p>
    <w:p w14:paraId="4D80FFE0">
      <w:pPr>
        <w:pageBreakBefore w:val="0"/>
        <w:spacing w:line="600" w:lineRule="exact"/>
        <w:ind w:left="0" w:right="0" w:firstLine="640"/>
        <w:jc w:val="left"/>
        <w:rPr>
          <w:rFonts w:hint="default" w:ascii="Times New Roman" w:hAnsi="Times New Roman" w:eastAsia="仿宋_GB2312" w:cs="Times New Roman"/>
          <w:sz w:val="32"/>
          <w:szCs w:val="32"/>
        </w:rPr>
      </w:pPr>
    </w:p>
    <w:p w14:paraId="533A9D88">
      <w:pPr>
        <w:pageBreakBefore w:val="0"/>
        <w:spacing w:line="600" w:lineRule="exact"/>
        <w:ind w:left="0" w:right="0" w:firstLine="640"/>
        <w:jc w:val="left"/>
        <w:rPr>
          <w:rFonts w:hint="default" w:ascii="Times New Roman" w:hAnsi="Times New Roman" w:eastAsia="仿宋_GB2312" w:cs="Times New Roman"/>
          <w:sz w:val="32"/>
          <w:szCs w:val="32"/>
        </w:rPr>
      </w:pPr>
    </w:p>
    <w:p w14:paraId="38CE40C1">
      <w:pPr>
        <w:pageBreakBefore w:val="0"/>
        <w:spacing w:line="600" w:lineRule="exact"/>
        <w:ind w:left="0" w:right="0" w:firstLine="640"/>
        <w:jc w:val="left"/>
        <w:rPr>
          <w:rFonts w:hint="default" w:ascii="Times New Roman" w:hAnsi="Times New Roman" w:eastAsia="仿宋_GB2312" w:cs="Times New Roman"/>
          <w:sz w:val="32"/>
          <w:szCs w:val="32"/>
        </w:rPr>
      </w:pPr>
    </w:p>
    <w:p w14:paraId="22F99FB1">
      <w:pPr>
        <w:pageBreakBefore w:val="0"/>
        <w:spacing w:line="600" w:lineRule="exact"/>
        <w:ind w:left="0" w:right="0" w:firstLine="640"/>
        <w:jc w:val="left"/>
        <w:rPr>
          <w:rFonts w:hint="default" w:ascii="Times New Roman" w:hAnsi="Times New Roman" w:eastAsia="仿宋_GB2312" w:cs="Times New Roman"/>
          <w:sz w:val="32"/>
          <w:szCs w:val="32"/>
        </w:rPr>
      </w:pPr>
    </w:p>
    <w:p w14:paraId="16E0D91F">
      <w:pPr>
        <w:pageBreakBefore w:val="0"/>
        <w:spacing w:line="600" w:lineRule="exact"/>
        <w:ind w:left="0" w:right="0" w:firstLine="640"/>
        <w:jc w:val="left"/>
        <w:rPr>
          <w:rFonts w:hint="default" w:ascii="Times New Roman" w:hAnsi="Times New Roman" w:eastAsia="仿宋_GB2312" w:cs="Times New Roman"/>
          <w:sz w:val="32"/>
          <w:szCs w:val="32"/>
        </w:rPr>
      </w:pPr>
    </w:p>
    <w:p w14:paraId="012747CB">
      <w:pPr>
        <w:pageBreakBefore w:val="0"/>
        <w:spacing w:line="600" w:lineRule="exact"/>
        <w:ind w:left="0" w:right="0" w:firstLine="640"/>
        <w:jc w:val="left"/>
        <w:rPr>
          <w:rFonts w:hint="default" w:ascii="Times New Roman" w:hAnsi="Times New Roman" w:eastAsia="仿宋_GB2312" w:cs="Times New Roman"/>
          <w:sz w:val="32"/>
          <w:szCs w:val="32"/>
        </w:rPr>
      </w:pPr>
    </w:p>
    <w:p w14:paraId="52BD452D">
      <w:pPr>
        <w:pageBreakBefore w:val="0"/>
        <w:spacing w:line="600" w:lineRule="exact"/>
        <w:ind w:left="0" w:right="0" w:firstLine="720"/>
        <w:jc w:val="left"/>
        <w:rPr>
          <w:rFonts w:hint="default" w:ascii="Times New Roman" w:hAnsi="Times New Roman" w:eastAsia="仿宋_GB2312" w:cs="Times New Roman"/>
          <w:sz w:val="36"/>
          <w:szCs w:val="36"/>
        </w:rPr>
      </w:pPr>
    </w:p>
    <w:p w14:paraId="6C106062">
      <w:pPr>
        <w:keepNext w:val="0"/>
        <w:keepLines w:val="0"/>
        <w:pageBreakBefore w:val="0"/>
        <w:widowControl w:val="0"/>
        <w:spacing w:line="600" w:lineRule="exact"/>
        <w:ind w:left="0" w:right="0" w:firstLine="723"/>
        <w:jc w:val="both"/>
        <w:rPr>
          <w:rFonts w:hint="default" w:ascii="Times New Roman" w:hAnsi="Times New Roman" w:eastAsia="仿宋_GB2312" w:cs="Times New Roman"/>
          <w:b/>
          <w:bCs w:val="0"/>
          <w:sz w:val="36"/>
          <w:szCs w:val="36"/>
          <w:u w:val="single"/>
          <w:lang w:val="en-US" w:eastAsia="zh-CN"/>
        </w:rPr>
      </w:pPr>
      <w:r>
        <w:rPr>
          <w:rFonts w:hint="default" w:ascii="Times New Roman" w:hAnsi="Times New Roman" w:eastAsia="仿宋_GB2312" w:cs="Times New Roman"/>
          <w:b/>
          <w:bCs w:val="0"/>
          <w:sz w:val="36"/>
          <w:szCs w:val="36"/>
        </w:rPr>
        <w:t>项目名称：</w:t>
      </w:r>
      <w:r>
        <w:rPr>
          <w:rFonts w:hint="default" w:ascii="Times New Roman" w:hAnsi="Times New Roman" w:eastAsia="仿宋_GB2312" w:cs="Times New Roman"/>
          <w:b/>
          <w:bCs w:val="0"/>
          <w:sz w:val="36"/>
          <w:szCs w:val="36"/>
          <w:u w:val="single"/>
          <w:lang w:val="zh-CN"/>
        </w:rPr>
        <w:t>部门整体支出绩效</w:t>
      </w:r>
      <w:r>
        <w:rPr>
          <w:rFonts w:hint="default" w:ascii="Times New Roman" w:hAnsi="Times New Roman" w:eastAsia="仿宋_GB2312" w:cs="Times New Roman"/>
          <w:b/>
          <w:bCs w:val="0"/>
          <w:sz w:val="36"/>
          <w:szCs w:val="36"/>
          <w:u w:val="single"/>
          <w:lang w:val="zh-CN" w:eastAsia="zh-CN"/>
        </w:rPr>
        <w:t>评价</w:t>
      </w:r>
    </w:p>
    <w:p w14:paraId="14F3E8DE">
      <w:pPr>
        <w:keepNext w:val="0"/>
        <w:keepLines w:val="0"/>
        <w:pageBreakBefore w:val="0"/>
        <w:widowControl w:val="0"/>
        <w:spacing w:line="600" w:lineRule="exact"/>
        <w:ind w:left="0" w:right="0" w:firstLine="723"/>
        <w:jc w:val="left"/>
        <w:rPr>
          <w:rFonts w:hint="default" w:ascii="Times New Roman" w:hAnsi="Times New Roman" w:eastAsia="仿宋_GB2312" w:cs="Times New Roman"/>
          <w:b/>
          <w:bCs w:val="0"/>
          <w:sz w:val="36"/>
          <w:szCs w:val="36"/>
          <w:u w:val="single"/>
          <w:lang w:val="en-US" w:eastAsia="zh-CN"/>
        </w:rPr>
      </w:pPr>
      <w:r>
        <w:rPr>
          <w:rFonts w:hint="default" w:ascii="Times New Roman" w:hAnsi="Times New Roman" w:eastAsia="仿宋_GB2312" w:cs="Times New Roman"/>
          <w:b/>
          <w:bCs w:val="0"/>
          <w:sz w:val="36"/>
          <w:szCs w:val="36"/>
        </w:rPr>
        <w:t>项目单位：</w:t>
      </w:r>
      <w:r>
        <w:rPr>
          <w:rFonts w:hint="default" w:ascii="Times New Roman" w:hAnsi="Times New Roman" w:eastAsia="仿宋_GB2312" w:cs="Times New Roman"/>
          <w:b/>
          <w:bCs w:val="0"/>
          <w:sz w:val="36"/>
          <w:szCs w:val="36"/>
          <w:u w:val="single"/>
        </w:rPr>
        <w:t>随州市</w:t>
      </w:r>
      <w:r>
        <w:rPr>
          <w:rFonts w:hint="default" w:ascii="Times New Roman" w:hAnsi="Times New Roman" w:eastAsia="仿宋_GB2312" w:cs="Times New Roman"/>
          <w:b/>
          <w:bCs w:val="0"/>
          <w:sz w:val="36"/>
          <w:szCs w:val="36"/>
          <w:u w:val="single"/>
          <w:lang w:val="en-US" w:eastAsia="zh-CN"/>
        </w:rPr>
        <w:t>住建局重点项目服务中心</w:t>
      </w:r>
    </w:p>
    <w:p w14:paraId="512BEDCA">
      <w:pPr>
        <w:keepNext w:val="0"/>
        <w:keepLines w:val="0"/>
        <w:pageBreakBefore w:val="0"/>
        <w:widowControl w:val="0"/>
        <w:spacing w:line="600" w:lineRule="exact"/>
        <w:ind w:left="0" w:right="0" w:firstLine="723"/>
        <w:jc w:val="left"/>
        <w:rPr>
          <w:rFonts w:hint="default" w:ascii="Times New Roman" w:hAnsi="Times New Roman" w:eastAsia="仿宋_GB2312" w:cs="Times New Roman"/>
          <w:b/>
          <w:bCs w:val="0"/>
          <w:sz w:val="36"/>
          <w:szCs w:val="36"/>
          <w:highlight w:val="none"/>
          <w:u w:val="single"/>
          <w:lang w:val="en-US" w:eastAsia="zh-CN"/>
        </w:rPr>
      </w:pPr>
      <w:r>
        <w:rPr>
          <w:rFonts w:hint="default" w:ascii="Times New Roman" w:hAnsi="Times New Roman" w:eastAsia="仿宋_GB2312" w:cs="Times New Roman"/>
          <w:b/>
          <w:bCs w:val="0"/>
          <w:sz w:val="36"/>
          <w:szCs w:val="36"/>
        </w:rPr>
        <w:t>主管单位：</w:t>
      </w:r>
      <w:r>
        <w:rPr>
          <w:rFonts w:hint="default" w:ascii="Times New Roman" w:hAnsi="Times New Roman" w:eastAsia="仿宋_GB2312" w:cs="Times New Roman"/>
          <w:b/>
          <w:bCs w:val="0"/>
          <w:sz w:val="36"/>
          <w:szCs w:val="36"/>
          <w:highlight w:val="none"/>
          <w:u w:val="single"/>
        </w:rPr>
        <w:t>随州市住房和</w:t>
      </w:r>
      <w:r>
        <w:rPr>
          <w:rFonts w:hint="default" w:ascii="Times New Roman" w:hAnsi="Times New Roman" w:eastAsia="仿宋_GB2312" w:cs="Times New Roman"/>
          <w:b/>
          <w:bCs w:val="0"/>
          <w:sz w:val="36"/>
          <w:szCs w:val="36"/>
          <w:highlight w:val="none"/>
          <w:u w:val="single"/>
          <w:lang w:val="en-US" w:eastAsia="zh-CN"/>
        </w:rPr>
        <w:t>城市更新</w:t>
      </w:r>
      <w:r>
        <w:rPr>
          <w:rFonts w:hint="default" w:ascii="Times New Roman" w:hAnsi="Times New Roman" w:eastAsia="仿宋_GB2312" w:cs="Times New Roman"/>
          <w:b/>
          <w:bCs w:val="0"/>
          <w:sz w:val="36"/>
          <w:szCs w:val="36"/>
          <w:highlight w:val="none"/>
          <w:u w:val="single"/>
        </w:rPr>
        <w:t>局</w:t>
      </w:r>
      <w:r>
        <w:rPr>
          <w:rFonts w:hint="default" w:ascii="Times New Roman" w:hAnsi="Times New Roman" w:eastAsia="仿宋_GB2312" w:cs="Times New Roman"/>
          <w:b/>
          <w:bCs w:val="0"/>
          <w:sz w:val="36"/>
          <w:szCs w:val="36"/>
          <w:highlight w:val="none"/>
          <w:u w:val="single"/>
          <w:lang w:val="en-US" w:eastAsia="zh-CN"/>
        </w:rPr>
        <w:t xml:space="preserve">      </w:t>
      </w:r>
    </w:p>
    <w:p w14:paraId="01CDFF9B">
      <w:pPr>
        <w:pageBreakBefore w:val="0"/>
        <w:spacing w:line="600" w:lineRule="exact"/>
        <w:ind w:left="0" w:right="0" w:firstLine="643"/>
        <w:rPr>
          <w:rFonts w:hint="default" w:ascii="Times New Roman" w:hAnsi="Times New Roman" w:eastAsia="仿宋_GB2312" w:cs="Times New Roman"/>
          <w:b/>
          <w:bCs/>
          <w:sz w:val="32"/>
          <w:szCs w:val="32"/>
        </w:rPr>
      </w:pPr>
    </w:p>
    <w:p w14:paraId="27E20DFB">
      <w:pPr>
        <w:pageBreakBefore w:val="0"/>
        <w:spacing w:line="600" w:lineRule="exact"/>
        <w:ind w:left="0" w:right="0" w:firstLine="643"/>
        <w:jc w:val="center"/>
        <w:rPr>
          <w:rFonts w:hint="default" w:ascii="Times New Roman" w:hAnsi="Times New Roman" w:eastAsia="仿宋_GB2312" w:cs="Times New Roman"/>
          <w:b/>
          <w:bCs/>
          <w:sz w:val="32"/>
          <w:szCs w:val="32"/>
        </w:rPr>
      </w:pPr>
    </w:p>
    <w:p w14:paraId="7858215F">
      <w:pPr>
        <w:pageBreakBefore w:val="0"/>
        <w:spacing w:line="600" w:lineRule="exact"/>
        <w:ind w:left="0" w:right="0" w:firstLine="643"/>
        <w:jc w:val="center"/>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二〇二</w:t>
      </w:r>
      <w:r>
        <w:rPr>
          <w:rFonts w:hint="default" w:ascii="Times New Roman" w:hAnsi="Times New Roman" w:eastAsia="仿宋_GB2312" w:cs="Times New Roman"/>
          <w:b/>
          <w:bCs/>
          <w:sz w:val="32"/>
          <w:szCs w:val="32"/>
          <w:lang w:val="en-US" w:eastAsia="zh-CN"/>
        </w:rPr>
        <w:t>五</w:t>
      </w:r>
      <w:r>
        <w:rPr>
          <w:rFonts w:hint="default" w:ascii="Times New Roman" w:hAnsi="Times New Roman" w:eastAsia="仿宋_GB2312" w:cs="Times New Roman"/>
          <w:b/>
          <w:bCs/>
          <w:sz w:val="32"/>
          <w:szCs w:val="32"/>
        </w:rPr>
        <w:t>年</w:t>
      </w:r>
      <w:r>
        <w:rPr>
          <w:rFonts w:hint="default" w:ascii="Times New Roman" w:hAnsi="Times New Roman" w:eastAsia="仿宋_GB2312" w:cs="Times New Roman"/>
          <w:b/>
          <w:bCs/>
          <w:sz w:val="32"/>
          <w:szCs w:val="32"/>
          <w:lang w:eastAsia="zh-CN"/>
        </w:rPr>
        <w:t>五</w:t>
      </w:r>
      <w:r>
        <w:rPr>
          <w:rFonts w:hint="default" w:ascii="Times New Roman" w:hAnsi="Times New Roman" w:eastAsia="仿宋_GB2312" w:cs="Times New Roman"/>
          <w:b/>
          <w:bCs/>
          <w:sz w:val="32"/>
          <w:szCs w:val="32"/>
        </w:rPr>
        <w:t>月</w:t>
      </w:r>
    </w:p>
    <w:p w14:paraId="24EA64CF">
      <w:pPr>
        <w:pageBreakBefore w:val="0"/>
        <w:spacing w:line="600" w:lineRule="exact"/>
        <w:ind w:left="0" w:right="0" w:firstLine="640"/>
        <w:jc w:val="left"/>
        <w:rPr>
          <w:rFonts w:hint="default" w:ascii="Times New Roman" w:hAnsi="Times New Roman" w:eastAsia="仿宋_GB2312" w:cs="Times New Roman"/>
          <w:sz w:val="32"/>
          <w:szCs w:val="32"/>
        </w:rPr>
      </w:pPr>
    </w:p>
    <w:p w14:paraId="66757BEB">
      <w:pPr>
        <w:keepNext w:val="0"/>
        <w:keepLines w:val="0"/>
        <w:pageBreakBefore w:val="0"/>
        <w:widowControl w:val="0"/>
        <w:spacing w:line="240" w:lineRule="auto"/>
        <w:ind w:left="0" w:right="0" w:firstLine="0"/>
        <w:jc w:val="center"/>
        <w:rPr>
          <w:rFonts w:hint="eastAsia" w:ascii="方正小标宋_GBK" w:hAnsi="方正小标宋_GBK" w:eastAsia="方正小标宋_GBK" w:cs="方正小标宋_GBK"/>
          <w:b w:val="0"/>
          <w:bCs/>
          <w:sz w:val="36"/>
          <w:szCs w:val="36"/>
        </w:rPr>
      </w:pPr>
      <w:r>
        <w:rPr>
          <w:rFonts w:hint="eastAsia" w:ascii="方正小标宋_GBK" w:hAnsi="方正小标宋_GBK" w:eastAsia="方正小标宋_GBK" w:cs="方正小标宋_GBK"/>
          <w:b w:val="0"/>
          <w:bCs/>
          <w:sz w:val="36"/>
          <w:szCs w:val="36"/>
          <w:lang w:eastAsia="zh-CN"/>
        </w:rPr>
        <w:t>随州市</w:t>
      </w:r>
      <w:r>
        <w:rPr>
          <w:rFonts w:hint="eastAsia" w:ascii="方正小标宋_GBK" w:hAnsi="方正小标宋_GBK" w:eastAsia="方正小标宋_GBK" w:cs="方正小标宋_GBK"/>
          <w:b w:val="0"/>
          <w:bCs/>
          <w:sz w:val="36"/>
          <w:szCs w:val="36"/>
          <w:lang w:val="en-US" w:eastAsia="zh-CN"/>
        </w:rPr>
        <w:t>住建局重点项目服务中心</w:t>
      </w:r>
      <w:r>
        <w:rPr>
          <w:rFonts w:hint="eastAsia" w:ascii="方正小标宋_GBK" w:hAnsi="方正小标宋_GBK" w:eastAsia="方正小标宋_GBK" w:cs="方正小标宋_GBK"/>
          <w:b w:val="0"/>
          <w:bCs/>
          <w:sz w:val="36"/>
          <w:szCs w:val="36"/>
          <w:lang w:eastAsia="zh-CN"/>
        </w:rPr>
        <w:t>202</w:t>
      </w:r>
      <w:r>
        <w:rPr>
          <w:rFonts w:hint="eastAsia" w:ascii="方正小标宋_GBK" w:hAnsi="方正小标宋_GBK" w:eastAsia="方正小标宋_GBK" w:cs="方正小标宋_GBK"/>
          <w:b w:val="0"/>
          <w:bCs/>
          <w:sz w:val="36"/>
          <w:szCs w:val="36"/>
          <w:lang w:val="en-US" w:eastAsia="zh-CN"/>
        </w:rPr>
        <w:t>4</w:t>
      </w:r>
      <w:r>
        <w:rPr>
          <w:rFonts w:hint="eastAsia" w:ascii="方正小标宋_GBK" w:hAnsi="方正小标宋_GBK" w:eastAsia="方正小标宋_GBK" w:cs="方正小标宋_GBK"/>
          <w:b w:val="0"/>
          <w:bCs/>
          <w:sz w:val="36"/>
          <w:szCs w:val="36"/>
          <w:lang w:eastAsia="zh-CN"/>
        </w:rPr>
        <w:t>年</w:t>
      </w:r>
      <w:r>
        <w:rPr>
          <w:rFonts w:hint="eastAsia" w:ascii="方正小标宋_GBK" w:hAnsi="方正小标宋_GBK" w:eastAsia="方正小标宋_GBK" w:cs="方正小标宋_GBK"/>
          <w:b w:val="0"/>
          <w:bCs/>
          <w:sz w:val="36"/>
          <w:szCs w:val="36"/>
        </w:rPr>
        <w:t>度部门整体支出绩效自评报告</w:t>
      </w:r>
    </w:p>
    <w:p w14:paraId="608DFA85">
      <w:pPr>
        <w:pStyle w:val="15"/>
        <w:pageBreakBefore w:val="0"/>
        <w:spacing w:line="600" w:lineRule="exact"/>
        <w:ind w:left="0" w:right="0" w:firstLine="640"/>
        <w:rPr>
          <w:rFonts w:hint="default" w:ascii="Times New Roman" w:hAnsi="Times New Roman" w:eastAsia="仿宋_GB2312" w:cs="Times New Roman"/>
          <w:sz w:val="32"/>
          <w:szCs w:val="32"/>
        </w:rPr>
      </w:pPr>
    </w:p>
    <w:p w14:paraId="22EF8589">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根据市财政局《关于开展</w:t>
      </w: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rPr>
        <w:t>度市财政支出绩效</w:t>
      </w:r>
      <w:r>
        <w:rPr>
          <w:rFonts w:hint="default" w:ascii="Times New Roman" w:hAnsi="Times New Roman" w:eastAsia="仿宋_GB2312" w:cs="Times New Roman"/>
          <w:color w:val="auto"/>
          <w:sz w:val="32"/>
          <w:szCs w:val="32"/>
          <w:lang w:val="en-US" w:eastAsia="zh-CN"/>
        </w:rPr>
        <w:t>目标绩效评价工作</w:t>
      </w:r>
      <w:r>
        <w:rPr>
          <w:rFonts w:hint="default" w:ascii="Times New Roman" w:hAnsi="Times New Roman" w:eastAsia="仿宋_GB2312" w:cs="Times New Roman"/>
          <w:color w:val="auto"/>
          <w:sz w:val="32"/>
          <w:szCs w:val="32"/>
        </w:rPr>
        <w:t>的通知》（随财函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rPr>
        <w:t>号），随州市</w:t>
      </w:r>
      <w:r>
        <w:rPr>
          <w:rFonts w:hint="default" w:ascii="Times New Roman" w:hAnsi="Times New Roman" w:eastAsia="仿宋_GB2312" w:cs="Times New Roman"/>
          <w:color w:val="auto"/>
          <w:sz w:val="32"/>
          <w:szCs w:val="32"/>
          <w:lang w:val="en-US" w:eastAsia="zh-CN"/>
        </w:rPr>
        <w:t>住建局重点项目服务中心</w:t>
      </w:r>
      <w:r>
        <w:rPr>
          <w:rFonts w:hint="default" w:ascii="Times New Roman" w:hAnsi="Times New Roman" w:eastAsia="仿宋_GB2312" w:cs="Times New Roman"/>
          <w:sz w:val="32"/>
          <w:szCs w:val="32"/>
        </w:rPr>
        <w:t>根据工作职能，结合单位整体支出的实际情况，在财政局的指导下，严格按照预算绩效管理的规定，对</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rPr>
        <w:t>度随州市住房和城乡建设信息中心整体支出进行了认真自评,现将有关情况报告如下：</w:t>
      </w:r>
    </w:p>
    <w:p w14:paraId="05648504">
      <w:pPr>
        <w:keepNext w:val="0"/>
        <w:keepLines w:val="0"/>
        <w:pageBreakBefore w:val="0"/>
        <w:widowControl w:val="0"/>
        <w:spacing w:line="600" w:lineRule="exact"/>
        <w:ind w:left="0" w:right="0" w:firstLine="643"/>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一、自评结论</w:t>
      </w:r>
    </w:p>
    <w:p w14:paraId="63A013F7">
      <w:pPr>
        <w:keepNext w:val="0"/>
        <w:keepLines w:val="0"/>
        <w:pageBreakBefore w:val="0"/>
        <w:widowControl w:val="0"/>
        <w:spacing w:line="600" w:lineRule="exact"/>
        <w:ind w:left="0" w:right="0"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（一）部门整体绩效自评得</w:t>
      </w:r>
      <w:r>
        <w:rPr>
          <w:rFonts w:hint="default" w:ascii="Times New Roman" w:hAnsi="Times New Roman" w:eastAsia="仿宋_GB2312" w:cs="Times New Roman"/>
          <w:color w:val="auto"/>
          <w:sz w:val="32"/>
          <w:szCs w:val="32"/>
        </w:rPr>
        <w:t>分：</w:t>
      </w:r>
      <w:r>
        <w:rPr>
          <w:rFonts w:hint="default" w:ascii="Times New Roman" w:hAnsi="Times New Roman" w:eastAsia="仿宋_GB2312" w:cs="Times New Roman"/>
          <w:color w:val="auto"/>
          <w:sz w:val="32"/>
          <w:szCs w:val="32"/>
          <w:lang w:val="en-US" w:eastAsia="zh-CN"/>
        </w:rPr>
        <w:t>98</w:t>
      </w:r>
      <w:r>
        <w:rPr>
          <w:rFonts w:hint="default" w:ascii="Times New Roman" w:hAnsi="Times New Roman" w:eastAsia="仿宋_GB2312" w:cs="Times New Roman"/>
          <w:color w:val="auto"/>
          <w:sz w:val="32"/>
          <w:szCs w:val="32"/>
        </w:rPr>
        <w:t>分</w:t>
      </w:r>
    </w:p>
    <w:p w14:paraId="6DEB2CED">
      <w:pPr>
        <w:keepNext w:val="0"/>
        <w:keepLines w:val="0"/>
        <w:pageBreakBefore w:val="0"/>
        <w:widowControl w:val="0"/>
        <w:spacing w:line="600" w:lineRule="exact"/>
        <w:ind w:left="0" w:right="0"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（二）部门整体绩效目标完成情况</w:t>
      </w:r>
    </w:p>
    <w:p w14:paraId="18D137F9">
      <w:pPr>
        <w:keepNext w:val="0"/>
        <w:keepLines w:val="0"/>
        <w:pageBreakBefore w:val="0"/>
        <w:widowControl w:val="0"/>
        <w:spacing w:line="600" w:lineRule="exact"/>
        <w:ind w:left="0" w:right="0"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1、预算执行率情况。</w:t>
      </w: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rPr>
        <w:t>部门整体预算支出总额</w:t>
      </w:r>
      <w:r>
        <w:rPr>
          <w:rFonts w:hint="default" w:ascii="Times New Roman" w:hAnsi="Times New Roman" w:eastAsia="仿宋_GB2312" w:cs="Times New Roman"/>
          <w:color w:val="auto"/>
          <w:sz w:val="32"/>
          <w:szCs w:val="32"/>
          <w:lang w:val="en-US" w:eastAsia="zh-CN"/>
        </w:rPr>
        <w:t>24520.87万</w:t>
      </w:r>
      <w:r>
        <w:rPr>
          <w:rFonts w:hint="default" w:ascii="Times New Roman" w:hAnsi="Times New Roman" w:eastAsia="仿宋_GB2312" w:cs="Times New Roman"/>
          <w:color w:val="auto"/>
          <w:sz w:val="32"/>
          <w:szCs w:val="32"/>
        </w:rPr>
        <w:t>元，实际支出总额</w:t>
      </w:r>
      <w:r>
        <w:rPr>
          <w:rFonts w:hint="default" w:ascii="Times New Roman" w:hAnsi="Times New Roman" w:eastAsia="仿宋_GB2312" w:cs="Times New Roman"/>
          <w:color w:val="auto"/>
          <w:sz w:val="32"/>
          <w:szCs w:val="32"/>
          <w:lang w:val="en-US" w:eastAsia="zh-CN"/>
        </w:rPr>
        <w:t>24520.87元</w:t>
      </w:r>
      <w:r>
        <w:rPr>
          <w:rFonts w:hint="default" w:ascii="Times New Roman" w:hAnsi="Times New Roman" w:eastAsia="仿宋_GB2312" w:cs="Times New Roman"/>
          <w:color w:val="auto"/>
          <w:sz w:val="32"/>
          <w:szCs w:val="32"/>
        </w:rPr>
        <w:t>，预算执行率</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p>
    <w:p w14:paraId="4A54A67E">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2、部门绩效目标：主要抓好两方面工作：一是局属重点项目建设，主要包括：九大片区、城东水厂、</w:t>
      </w:r>
      <w:r>
        <w:rPr>
          <w:rFonts w:hint="default" w:ascii="Times New Roman" w:hAnsi="Times New Roman" w:eastAsia="仿宋_GB2312" w:cs="Times New Roman"/>
          <w:sz w:val="32"/>
          <w:szCs w:val="32"/>
          <w:lang w:eastAsia="zh-CN"/>
        </w:rPr>
        <w:t>基建支出</w:t>
      </w:r>
      <w:r>
        <w:rPr>
          <w:rFonts w:hint="default" w:ascii="Times New Roman" w:hAnsi="Times New Roman" w:eastAsia="仿宋_GB2312" w:cs="Times New Roman"/>
          <w:sz w:val="32"/>
          <w:szCs w:val="32"/>
        </w:rPr>
        <w:t>、老城区供水管网改造项目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市本级政府投资代建项目；</w:t>
      </w:r>
      <w:r>
        <w:rPr>
          <w:rFonts w:hint="default" w:ascii="Times New Roman" w:hAnsi="Times New Roman" w:eastAsia="仿宋_GB2312" w:cs="Times New Roman"/>
          <w:sz w:val="32"/>
          <w:szCs w:val="32"/>
          <w:lang w:eastAsia="zh-CN"/>
        </w:rPr>
        <w:t>燃气管道及设施更新改造</w:t>
      </w:r>
      <w:r>
        <w:rPr>
          <w:rFonts w:hint="default" w:ascii="Times New Roman" w:hAnsi="Times New Roman" w:eastAsia="仿宋_GB2312" w:cs="Times New Roman"/>
          <w:sz w:val="32"/>
          <w:szCs w:val="32"/>
        </w:rPr>
        <w:t>项目工作。</w:t>
      </w:r>
    </w:p>
    <w:p w14:paraId="6469D736">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 1 \* GB3 \* MERGEFORMAT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①</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t>完成的绩效指标</w:t>
      </w:r>
    </w:p>
    <w:p w14:paraId="5297BA56">
      <w:pPr>
        <w:keepNext w:val="0"/>
        <w:keepLines w:val="0"/>
        <w:pageBreakBefore w:val="0"/>
        <w:widowControl w:val="0"/>
        <w:spacing w:line="600" w:lineRule="exact"/>
        <w:ind w:left="0" w:right="0"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（1）九大片区建设。</w:t>
      </w:r>
      <w:r>
        <w:rPr>
          <w:rFonts w:hint="default" w:ascii="Times New Roman" w:hAnsi="Times New Roman" w:eastAsia="仿宋_GB2312" w:cs="Times New Roman"/>
          <w:sz w:val="32"/>
          <w:szCs w:val="32"/>
          <w:lang w:val="en-US" w:eastAsia="zh-CN"/>
        </w:rPr>
        <w:t>九大片区项目于2021年4月1日正式启动施工，2024年6月30日全面完工，2024年7月17日完成竣工验收，共完成74条微循环道路、8处社区服务中心（红色驿站）、15处新能源汽车充电站（113个充电桩）和5个片区的弱电迁改施工。其中：改造道路28.9公里，铺设沥青13.6万平方米；新建雨水管网 20.7 公里，污水管网 20.9 公里；新增绿化面积1.2万平方米；增设停车位543个；增设路灯1094盏；迁改弱电线缆4</w:t>
      </w:r>
      <w:r>
        <w:rPr>
          <w:rFonts w:hint="default" w:ascii="Times New Roman" w:hAnsi="Times New Roman" w:eastAsia="仿宋_GB2312" w:cs="Times New Roman"/>
          <w:sz w:val="32"/>
          <w:szCs w:val="32"/>
        </w:rPr>
        <w:t>30 公里。目前正在办理竣工</w:t>
      </w:r>
      <w:r>
        <w:rPr>
          <w:rFonts w:hint="default" w:ascii="Times New Roman" w:hAnsi="Times New Roman" w:eastAsia="仿宋_GB2312" w:cs="Times New Roman"/>
          <w:sz w:val="32"/>
          <w:szCs w:val="32"/>
          <w:lang w:eastAsia="zh-CN"/>
        </w:rPr>
        <w:t>备案和竣工</w:t>
      </w:r>
      <w:r>
        <w:rPr>
          <w:rFonts w:hint="default" w:ascii="Times New Roman" w:hAnsi="Times New Roman" w:eastAsia="仿宋_GB2312" w:cs="Times New Roman"/>
          <w:sz w:val="32"/>
          <w:szCs w:val="32"/>
        </w:rPr>
        <w:t>结算。</w:t>
      </w:r>
    </w:p>
    <w:p w14:paraId="39A243B6">
      <w:pPr>
        <w:keepNext w:val="0"/>
        <w:keepLines w:val="0"/>
        <w:pageBreakBefore w:val="0"/>
        <w:widowControl w:val="0"/>
        <w:spacing w:line="600" w:lineRule="exact"/>
        <w:ind w:left="0" w:right="0"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（2）城市应急水源工程（城东水厂）。项目位于高新区寨湾村，总投资6.2亿元，设计总规模20万m³/d，分两期建设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一期10万m³/d；配套建设配水管网81.8km，为加快施工，施工方分4个作业区同时作业。截至目前，</w:t>
      </w:r>
      <w:r>
        <w:rPr>
          <w:rFonts w:hint="default" w:ascii="Times New Roman" w:hAnsi="Times New Roman" w:eastAsia="仿宋_GB2312" w:cs="Times New Roman"/>
          <w:sz w:val="32"/>
          <w:szCs w:val="32"/>
          <w:lang w:eastAsia="zh-CN"/>
        </w:rPr>
        <w:t>一期工程已全部完工，正在进行竣工结算</w:t>
      </w:r>
      <w:r>
        <w:rPr>
          <w:rFonts w:hint="default" w:ascii="Times New Roman" w:hAnsi="Times New Roman" w:eastAsia="仿宋_GB2312" w:cs="Times New Roman"/>
          <w:sz w:val="32"/>
          <w:szCs w:val="32"/>
        </w:rPr>
        <w:t>。</w:t>
      </w:r>
    </w:p>
    <w:p w14:paraId="4A2A7C76">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（3）燃气管道老化更新改造。谋划了“随州市曾都区东城汉东星都小区、烈山大道东”等8个片区老旧小区燃气管道更新改造项目，估算投资</w:t>
      </w:r>
      <w:r>
        <w:rPr>
          <w:rFonts w:hint="default" w:ascii="Times New Roman" w:hAnsi="Times New Roman" w:eastAsia="仿宋_GB2312" w:cs="Times New Roman"/>
          <w:sz w:val="32"/>
          <w:szCs w:val="32"/>
          <w:lang w:val="en-US" w:eastAsia="zh-CN"/>
        </w:rPr>
        <w:t>5.17</w:t>
      </w:r>
      <w:r>
        <w:rPr>
          <w:rFonts w:hint="default" w:ascii="Times New Roman" w:hAnsi="Times New Roman" w:eastAsia="仿宋_GB2312" w:cs="Times New Roman"/>
          <w:sz w:val="32"/>
          <w:szCs w:val="32"/>
        </w:rPr>
        <w:t>亿元，争取中央预算内补助资金</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亿元，主要内容涉及847个小区，庭院管道和立管改造</w:t>
      </w:r>
      <w:r>
        <w:rPr>
          <w:rFonts w:hint="default" w:ascii="Times New Roman" w:hAnsi="Times New Roman" w:eastAsia="仿宋_GB2312" w:cs="Times New Roman"/>
          <w:sz w:val="32"/>
          <w:szCs w:val="32"/>
          <w:lang w:val="en-US" w:eastAsia="zh-CN"/>
        </w:rPr>
        <w:t>459.59</w:t>
      </w:r>
      <w:r>
        <w:rPr>
          <w:rFonts w:hint="default" w:ascii="Times New Roman" w:hAnsi="Times New Roman" w:eastAsia="仿宋_GB2312" w:cs="Times New Roman"/>
          <w:sz w:val="32"/>
          <w:szCs w:val="32"/>
        </w:rPr>
        <w:t>公里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同步增加物联感知系统和监测远传装置，建立燃气信息化监管平台系统，加强燃气安全日常监管，提高信息化水平。截至目前市本级619个小区已全部开工，完成</w:t>
      </w:r>
      <w:r>
        <w:rPr>
          <w:rFonts w:hint="default" w:ascii="Times New Roman" w:hAnsi="Times New Roman" w:eastAsia="仿宋_GB2312" w:cs="Times New Roman"/>
          <w:sz w:val="32"/>
          <w:szCs w:val="32"/>
          <w:lang w:val="en-US" w:eastAsia="zh-CN"/>
        </w:rPr>
        <w:t>234.85</w:t>
      </w:r>
      <w:r>
        <w:rPr>
          <w:rFonts w:hint="default" w:ascii="Times New Roman" w:hAnsi="Times New Roman" w:eastAsia="仿宋_GB2312" w:cs="Times New Roman"/>
          <w:sz w:val="32"/>
          <w:szCs w:val="32"/>
        </w:rPr>
        <w:t>公里庭院管</w:t>
      </w:r>
      <w:r>
        <w:rPr>
          <w:rFonts w:hint="default" w:ascii="Times New Roman" w:hAnsi="Times New Roman" w:eastAsia="仿宋_GB2312" w:cs="Times New Roman"/>
          <w:sz w:val="32"/>
          <w:szCs w:val="32"/>
          <w:lang w:val="en-US" w:eastAsia="zh-CN"/>
        </w:rPr>
        <w:t>网</w:t>
      </w:r>
      <w:r>
        <w:rPr>
          <w:rFonts w:hint="default" w:ascii="Times New Roman" w:hAnsi="Times New Roman" w:eastAsia="仿宋_GB2312" w:cs="Times New Roman"/>
          <w:sz w:val="32"/>
          <w:szCs w:val="32"/>
        </w:rPr>
        <w:t>及立管改造</w:t>
      </w:r>
      <w:r>
        <w:rPr>
          <w:rFonts w:hint="default" w:ascii="Times New Roman" w:hAnsi="Times New Roman" w:eastAsia="仿宋_GB2312" w:cs="Times New Roman"/>
          <w:sz w:val="32"/>
          <w:szCs w:val="32"/>
          <w:lang w:eastAsia="zh-CN"/>
        </w:rPr>
        <w:t>。</w:t>
      </w:r>
    </w:p>
    <w:p w14:paraId="4AB10ACC">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（4）草甸子街历史文化街区改造。</w:t>
      </w:r>
      <w:r>
        <w:rPr>
          <w:rFonts w:hint="default"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总投资8.7亿，致力打造为新城市会客厅、打卡地。截至目前，房屋征收已全部完成，当前，北街新建建筑主体已全部完工，正在进行道路地面铺装；十三户历史建筑保护修缮工作已完成且已进行现场竣工验收，正在进行验收相关资料整理归档；牌坊主体已安装完成；汉东楼主体已完工，正在进行室内装修；同步启动各保留建筑的立面风貌改造；强弱电、智慧景区、亮化系统综合布管正逐步推进。文化植入正在实施，招商运营也在同步实施，暂定于今年国庆节前北街开街，2025年元旦前整条街区试营业，春节前正式开放，开街后预计将引进约200家商户，多以经营非遗文创产品、农特产、旅游纪念品、特色餐饮小吃、民宿、娱乐休闲等文化及旅游相关业态为主。</w:t>
      </w:r>
    </w:p>
    <w:p w14:paraId="05076E34">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市本级政府投资代建项目。受局委托，我中心负责文化二路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白桃一路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编钟大道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、随城山大道（文化一路至涢水大道段）等8个市本级政府投资项目的代建工作。截至目前，8个代建项目均已签订委托代建协议，均委托市国投公司负责代建。其中：文化二路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白桃一路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编钟大道</w:t>
      </w:r>
      <w:r>
        <w:rPr>
          <w:rFonts w:hint="default" w:ascii="Times New Roman" w:hAnsi="Times New Roman" w:eastAsia="仿宋_GB2312" w:cs="Times New Roman"/>
          <w:sz w:val="32"/>
          <w:szCs w:val="32"/>
          <w:lang w:eastAsia="zh-CN"/>
        </w:rPr>
        <w:t>）建设项目已基本完成前期手续办理工作，拟于今年八月启动开工建设；其余七个代建项目均已完成立项批复，正在加快项目前期手续的办理工作。</w:t>
      </w:r>
    </w:p>
    <w:p w14:paraId="3B928ACE">
      <w:pPr>
        <w:keepNext w:val="0"/>
        <w:keepLines w:val="0"/>
        <w:pageBreakBefore w:val="0"/>
        <w:widowControl w:val="0"/>
        <w:spacing w:line="600" w:lineRule="exact"/>
        <w:ind w:left="0" w:right="0"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（6）加快智慧燃气建设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成了燃气信息化监管平台基本框架和基础数据对接，正在与省信息平台沟通对接，加快推动形成中心城区燃气安全监管“一张网、一张图”，构建城市生命线工程。累计完成520套智能监测设备，33辆瓶装气配送小黄车北斗定位等，实现对液化气厂站、管网24小时全时段监控。</w:t>
      </w:r>
    </w:p>
    <w:p w14:paraId="069BCDF4">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（7）推进液化石油气</w:t>
      </w:r>
      <w:r>
        <w:rPr>
          <w:rFonts w:hint="default" w:ascii="Times New Roman" w:hAnsi="Times New Roman" w:eastAsia="仿宋_GB2312" w:cs="Times New Roman"/>
          <w:sz w:val="32"/>
          <w:szCs w:val="32"/>
          <w:lang w:eastAsia="zh-CN"/>
        </w:rPr>
        <w:t>企业关停</w:t>
      </w:r>
      <w:r>
        <w:rPr>
          <w:rFonts w:hint="default" w:ascii="Times New Roman" w:hAnsi="Times New Roman" w:eastAsia="仿宋_GB2312" w:cs="Times New Roman"/>
          <w:sz w:val="32"/>
          <w:szCs w:val="32"/>
        </w:rPr>
        <w:t>整合。按照市场主导、企业自发的原则，对存在安全隐患的液化气企业一律实行关停，鼓励瓶装液化石油气经营企业整合，形成集中统一配送和安检服务模式，实现瓶装液化石油气企业可追溯的信息化、规模化、标准化经营。目前，全市56家液化气站（市本级5家、随县23家、广水市22家、曾都区4家、高新区2家），已关停12家，拟整合成立6家液化气公司。开展液化气钢瓶自有化和配送规范化行动，中心城区4家液化气站已配备送气工30余人，有力保障燃气市场的规范化和钢瓶的可溯性。</w:t>
      </w:r>
    </w:p>
    <w:p w14:paraId="4081E13C">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开展燃气用户端安全宣传教育。扎实开展燃气安全“敲门行动”、燃气安全用气知识“六进”活动等，通过电视、网络、报纸、微信公众号、抖音、电子屏等媒体，广泛宣传燃气安全知识。全市餐饮用户4979户已全部完成“三件套”安装，居民用户“三件套”安装正在快速推进中，管道天然气居民用户累计安装完成28.53万户，完成率98.2%，基本实现全覆盖。全市具备瓶改管的小微企业318户已全部完成，并在积极拓展居民瓶改管工作。组织对5240余家餐饮等工商用户和燃气企业开展燃气安全培训，通过立体式、全覆盖、无死角的宣传，增强用户安全使用燃气的自觉意识。</w:t>
      </w:r>
    </w:p>
    <w:p w14:paraId="144CAA3E">
      <w:pPr>
        <w:keepNext w:val="0"/>
        <w:keepLines w:val="0"/>
        <w:pageBreakBefore w:val="0"/>
        <w:widowControl w:val="0"/>
        <w:spacing w:line="600" w:lineRule="exact"/>
        <w:ind w:left="0" w:right="0"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依法开展等保测评工作。及时选定测评机构开展等保工作，城建档案管理系统和地下管网信息系统评定一级。智慧排水系统评定二级，智慧工地和个人住房系统评定三级，已取得公安部门的备案证书，并督促各单位根据测评问题开展整改近期启动复测。</w:t>
      </w:r>
    </w:p>
    <w:p w14:paraId="4834789A">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（10）开展网络安全培训。组织召开全市住建行业网络安全专题培训会议，邀请市委宣传部副部长袁绪军、市公安局网安支队大队长吴永超、市大数据中心陈娇参加，聘请网络安全专家授课。</w:t>
      </w:r>
    </w:p>
    <w:p w14:paraId="51B49999">
      <w:pPr>
        <w:keepNext w:val="0"/>
        <w:keepLines w:val="0"/>
        <w:pageBreakBefore w:val="0"/>
        <w:widowControl w:val="0"/>
        <w:numPr>
          <w:ilvl w:val="0"/>
          <w:numId w:val="0"/>
        </w:numPr>
        <w:spacing w:line="600" w:lineRule="exact"/>
        <w:ind w:left="0" w:right="0" w:firstLine="640"/>
        <w:rPr>
          <w:rFonts w:hint="default" w:ascii="Times New Roman" w:hAnsi="Times New Roman" w:eastAsia="仿宋_GB2312" w:cs="Times New Roman"/>
          <w:sz w:val="32"/>
          <w:szCs w:val="32"/>
        </w:rPr>
      </w:pPr>
    </w:p>
    <w:p w14:paraId="2EB1B9EE">
      <w:pPr>
        <w:keepNext w:val="0"/>
        <w:keepLines w:val="0"/>
        <w:pageBreakBefore w:val="0"/>
        <w:widowControl w:val="0"/>
        <w:numPr>
          <w:ilvl w:val="0"/>
          <w:numId w:val="0"/>
        </w:numPr>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（三）存在的问题和原因</w:t>
      </w:r>
    </w:p>
    <w:p w14:paraId="310E984E">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一是项目代建工作机制不顺畅。因项目代建单位和委托单位对《政府投资项目代建制管理办法》理解存在差异，导致项目在前期手续办理过程中无法正常推进，需进一步理顺代建工作机制。</w:t>
      </w:r>
    </w:p>
    <w:p w14:paraId="3DA5225D">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二是燃气更新改造项目推进缓慢。</w:t>
      </w:r>
      <w:r>
        <w:rPr>
          <w:rFonts w:hint="default" w:ascii="Times New Roman" w:hAnsi="Times New Roman" w:eastAsia="仿宋_GB2312" w:cs="Times New Roman"/>
          <w:sz w:val="32"/>
          <w:szCs w:val="32"/>
        </w:rPr>
        <w:t>前期宣传乏力，居民对该项惠民工程认识不足，造成抵触情绪</w:t>
      </w:r>
      <w:r>
        <w:rPr>
          <w:rFonts w:hint="default" w:ascii="Times New Roman" w:hAnsi="Times New Roman" w:eastAsia="仿宋_GB2312" w:cs="Times New Roman"/>
          <w:sz w:val="32"/>
          <w:szCs w:val="32"/>
          <w:lang w:eastAsia="zh-CN"/>
        </w:rPr>
        <w:t>，影响项目施工进展。</w:t>
      </w:r>
    </w:p>
    <w:p w14:paraId="5FB093A3">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三是燃气管理合力不够，执法力度还需加强。在工作开展中，各部门和辖区街道办之间无法形成强有力的工作合力，执法部门对隐患整治参与度与执法力度不够。</w:t>
      </w:r>
    </w:p>
    <w:p w14:paraId="3AEA12F5">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四是燃气报警器安装工作进展缓慢。可燃气体报警装置安装涉及各行各业，存在报警装置安装的行政执法权、餐饮行业安全管理主体不明等问题。五是燃气用户安全意识有待提高。部分用户存在抵触情绪，认为现有设施很安全，增加设备没有必要。</w:t>
      </w:r>
    </w:p>
    <w:p w14:paraId="1B342E80">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（四）下一步拟改进措施</w:t>
      </w:r>
    </w:p>
    <w:p w14:paraId="144E191C">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（一）全力以赴推进重点项目建设。</w:t>
      </w:r>
      <w:r>
        <w:rPr>
          <w:rFonts w:hint="default" w:ascii="Times New Roman" w:hAnsi="Times New Roman" w:eastAsia="仿宋_GB2312" w:cs="Times New Roman"/>
          <w:sz w:val="32"/>
          <w:szCs w:val="32"/>
          <w:lang w:eastAsia="zh-CN"/>
        </w:rPr>
        <w:t>一是</w:t>
      </w:r>
      <w:r>
        <w:rPr>
          <w:rFonts w:hint="default" w:ascii="Times New Roman" w:hAnsi="Times New Roman" w:eastAsia="仿宋_GB2312" w:cs="Times New Roman"/>
          <w:sz w:val="32"/>
          <w:szCs w:val="32"/>
        </w:rPr>
        <w:t>充分发挥建设单位主体责任</w:t>
      </w:r>
      <w:r>
        <w:rPr>
          <w:rFonts w:hint="default" w:ascii="Times New Roman" w:hAnsi="Times New Roman" w:eastAsia="仿宋_GB2312" w:cs="Times New Roman"/>
          <w:sz w:val="32"/>
          <w:szCs w:val="32"/>
          <w:lang w:eastAsia="zh-CN"/>
        </w:rPr>
        <w:t>，加大统筹</w:t>
      </w:r>
      <w:r>
        <w:rPr>
          <w:rFonts w:hint="default" w:ascii="Times New Roman" w:hAnsi="Times New Roman" w:eastAsia="仿宋_GB2312" w:cs="Times New Roman"/>
          <w:sz w:val="32"/>
          <w:szCs w:val="32"/>
        </w:rPr>
        <w:t>协调</w:t>
      </w:r>
      <w:r>
        <w:rPr>
          <w:rFonts w:hint="default" w:ascii="Times New Roman" w:hAnsi="Times New Roman" w:eastAsia="仿宋_GB2312" w:cs="Times New Roman"/>
          <w:sz w:val="32"/>
          <w:szCs w:val="32"/>
          <w:lang w:eastAsia="zh-CN"/>
        </w:rPr>
        <w:t>力度</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进一步压实各参建单位工作责任，强化项目全生命周期监督管理，</w:t>
      </w:r>
      <w:r>
        <w:rPr>
          <w:rFonts w:hint="default" w:ascii="Times New Roman" w:hAnsi="Times New Roman" w:eastAsia="仿宋_GB2312" w:cs="Times New Roman"/>
          <w:sz w:val="32"/>
          <w:szCs w:val="32"/>
        </w:rPr>
        <w:t>全力推进</w:t>
      </w:r>
      <w:r>
        <w:rPr>
          <w:rFonts w:hint="default" w:ascii="Times New Roman" w:hAnsi="Times New Roman" w:eastAsia="仿宋_GB2312" w:cs="Times New Roman"/>
          <w:sz w:val="32"/>
          <w:szCs w:val="32"/>
          <w:lang w:eastAsia="zh-CN"/>
        </w:rPr>
        <w:t>燃气管网更新改造</w:t>
      </w:r>
      <w:r>
        <w:rPr>
          <w:rFonts w:hint="default" w:ascii="Times New Roman" w:hAnsi="Times New Roman" w:eastAsia="仿宋_GB2312" w:cs="Times New Roman"/>
          <w:sz w:val="32"/>
          <w:szCs w:val="32"/>
        </w:rPr>
        <w:t>项目建设进度</w:t>
      </w:r>
      <w:r>
        <w:rPr>
          <w:rFonts w:hint="default" w:ascii="Times New Roman" w:hAnsi="Times New Roman" w:eastAsia="仿宋_GB2312" w:cs="Times New Roman"/>
          <w:sz w:val="32"/>
          <w:szCs w:val="32"/>
          <w:lang w:eastAsia="zh-CN"/>
        </w:rPr>
        <w:t>；二是加快完成九大片区、城东应急水源工程收尾工作，及时办理项目竣工结算；三是</w:t>
      </w:r>
      <w:r>
        <w:rPr>
          <w:rFonts w:hint="default" w:ascii="Times New Roman" w:hAnsi="Times New Roman" w:eastAsia="仿宋_GB2312" w:cs="Times New Roman"/>
          <w:sz w:val="32"/>
          <w:szCs w:val="32"/>
          <w:lang w:val="en-US" w:eastAsia="zh-CN"/>
        </w:rPr>
        <w:t>积极对接市发改委等相关部门，进一步理顺代建项目工作机制，督促并配合代建单位加快代建项目的手续办理工作，确保项目如期按质完成</w:t>
      </w:r>
      <w:r>
        <w:rPr>
          <w:rFonts w:hint="default" w:ascii="Times New Roman" w:hAnsi="Times New Roman" w:eastAsia="仿宋_GB2312" w:cs="Times New Roman"/>
          <w:sz w:val="32"/>
          <w:szCs w:val="32"/>
        </w:rPr>
        <w:t>。</w:t>
      </w:r>
    </w:p>
    <w:p w14:paraId="031674A0">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压实工作责任</w:t>
      </w:r>
      <w:r>
        <w:rPr>
          <w:rFonts w:hint="default" w:ascii="Times New Roman" w:hAnsi="Times New Roman" w:eastAsia="仿宋_GB2312" w:cs="Times New Roman"/>
          <w:sz w:val="32"/>
          <w:szCs w:val="32"/>
        </w:rPr>
        <w:t>。提高思想认识和政治站位，进一步压实行业部门监管责任、属地管理责任、企业主体责任，对燃气管道进行大起底排查，建立问题管网更新改造一张图，实现问题一个清单、计划一张表、整改一本台账，确保数据精准，夯实燃气安全管理基础。督促指导燃气企业进一步完善安全风险防控体系和隐患排查治理体系，开展日常动态监测和常态化隐患整治。</w:t>
      </w:r>
    </w:p>
    <w:p w14:paraId="417E0816">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）坚持问题导向。</w:t>
      </w:r>
      <w:r>
        <w:rPr>
          <w:rFonts w:hint="default" w:ascii="Times New Roman" w:hAnsi="Times New Roman" w:eastAsia="仿宋_GB2312" w:cs="Times New Roman"/>
          <w:sz w:val="32"/>
          <w:szCs w:val="32"/>
          <w:lang w:eastAsia="zh-CN"/>
        </w:rPr>
        <w:t>坚持问题导向、</w:t>
      </w:r>
      <w:r>
        <w:rPr>
          <w:rFonts w:hint="default" w:ascii="Times New Roman" w:hAnsi="Times New Roman" w:eastAsia="仿宋_GB2312" w:cs="Times New Roman"/>
          <w:sz w:val="32"/>
          <w:szCs w:val="32"/>
        </w:rPr>
        <w:t>举一反三，聚焦中办和省委省政府督办落实的工作重点，抓住燃气管道更新改造阶段性的主要矛盾，压实行业部门和属地政府安全生产责任，深入开展天然气企业特许经营权集中整治，务实推进城市燃气安全专项整治行动，确保硬账硬结。</w:t>
      </w:r>
    </w:p>
    <w:p w14:paraId="69A78E49">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）强化日常监管。加快推进物联感知和监测预警新技术应用，组建市县燃气一体化信息监管平台，开展信息化日常巡查和动态监测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现“一网统管”。制定中长期任务清单，统筹各方力量，共同做好燃气老旧管道更新改造工作。按照“场站标准化、运营规范化、管理专业化”要求，持续推动液化气站整合关停，天然气入户安检等全链条提升监管。</w:t>
      </w:r>
    </w:p>
    <w:p w14:paraId="67454CC4">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加强隐患整改。持续开展城镇燃气及气瓶、燃气具及配件市场整治，严厉打击充装超期未检气瓶、生产销售假冒伪劣、“三无”产品、未取得3C认证、无熄火保护装置等燃气具的违法行为，盯牢风险隐患整改，力减存量，严控增量。强化燃气管道施工质量管控，防止第三方破坏造成燃气泄漏和安全事故。</w:t>
      </w:r>
    </w:p>
    <w:p w14:paraId="76E083BF">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）建立长效机制。</w:t>
      </w:r>
      <w:r>
        <w:rPr>
          <w:rFonts w:hint="default" w:ascii="Times New Roman" w:hAnsi="Times New Roman" w:eastAsia="仿宋_GB2312" w:cs="Times New Roman"/>
          <w:sz w:val="32"/>
          <w:szCs w:val="32"/>
          <w:lang w:eastAsia="zh-CN"/>
        </w:rPr>
        <w:t>坚持</w:t>
      </w:r>
      <w:r>
        <w:rPr>
          <w:rFonts w:hint="default" w:ascii="Times New Roman" w:hAnsi="Times New Roman" w:eastAsia="仿宋_GB2312" w:cs="Times New Roman"/>
          <w:sz w:val="32"/>
          <w:szCs w:val="32"/>
        </w:rPr>
        <w:t>政府统筹、条块协作、企业参与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w:t>
      </w:r>
      <w:r>
        <w:rPr>
          <w:rFonts w:hint="default" w:ascii="Times New Roman" w:hAnsi="Times New Roman" w:eastAsia="仿宋_GB2312" w:cs="Times New Roman"/>
          <w:sz w:val="32"/>
          <w:szCs w:val="32"/>
          <w:lang w:eastAsia="zh-CN"/>
        </w:rPr>
        <w:t>健全</w:t>
      </w:r>
      <w:r>
        <w:rPr>
          <w:rFonts w:hint="default" w:ascii="Times New Roman" w:hAnsi="Times New Roman" w:eastAsia="仿宋_GB2312" w:cs="Times New Roman"/>
          <w:sz w:val="32"/>
          <w:szCs w:val="32"/>
        </w:rPr>
        <w:t>城</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燃气管道常态化巡护、定期体检、动态评估、有序改造、信息共享的工作机制，</w:t>
      </w:r>
      <w:r>
        <w:rPr>
          <w:rFonts w:hint="default" w:ascii="Times New Roman" w:hAnsi="Times New Roman" w:eastAsia="仿宋_GB2312" w:cs="Times New Roman"/>
          <w:sz w:val="32"/>
          <w:szCs w:val="32"/>
          <w:lang w:eastAsia="zh-CN"/>
        </w:rPr>
        <w:t>推动</w:t>
      </w:r>
      <w:r>
        <w:rPr>
          <w:rFonts w:hint="default" w:ascii="Times New Roman" w:hAnsi="Times New Roman" w:eastAsia="仿宋_GB2312" w:cs="Times New Roman"/>
          <w:sz w:val="32"/>
          <w:szCs w:val="32"/>
        </w:rPr>
        <w:t>各部门、各环节责任明晰、齐抓共管、有效联动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重塑“严进、严管、严罚”新机制，加快推进城市基础设施生命线安全工程建设，坚决杜绝形式主义，营造全社会安全用气</w:t>
      </w:r>
      <w:r>
        <w:rPr>
          <w:rFonts w:hint="default" w:ascii="Times New Roman" w:hAnsi="Times New Roman" w:eastAsia="仿宋_GB2312" w:cs="Times New Roman"/>
          <w:sz w:val="32"/>
          <w:szCs w:val="32"/>
          <w:lang w:eastAsia="zh-CN"/>
        </w:rPr>
        <w:t>良好</w:t>
      </w:r>
      <w:r>
        <w:rPr>
          <w:rFonts w:hint="default" w:ascii="Times New Roman" w:hAnsi="Times New Roman" w:eastAsia="仿宋_GB2312" w:cs="Times New Roman"/>
          <w:sz w:val="32"/>
          <w:szCs w:val="32"/>
        </w:rPr>
        <w:t>氛围。</w:t>
      </w:r>
    </w:p>
    <w:p w14:paraId="4C1D93AB">
      <w:pPr>
        <w:keepNext w:val="0"/>
        <w:keepLines w:val="0"/>
        <w:pageBreakBefore w:val="0"/>
        <w:widowControl w:val="0"/>
        <w:spacing w:line="600" w:lineRule="exact"/>
        <w:ind w:left="0" w:right="0" w:firstLine="643"/>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二、佐证材料</w:t>
      </w:r>
    </w:p>
    <w:p w14:paraId="2E60B4F3">
      <w:pPr>
        <w:keepNext w:val="0"/>
        <w:keepLines w:val="0"/>
        <w:pageBreakBefore w:val="0"/>
        <w:widowControl w:val="0"/>
        <w:spacing w:line="600" w:lineRule="exact"/>
        <w:ind w:left="0" w:right="0" w:firstLine="643"/>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（一）基本情况</w:t>
      </w:r>
    </w:p>
    <w:p w14:paraId="4AC28CBD">
      <w:pPr>
        <w:pageBreakBefore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员情况：随州市住建重点项目服务中心于2014年12月经随州市机构编制委员会（随编发［2014］49号）批准成立，为正科级公益一类事业单位，内设综合组、燃气管理组、工程管理组三个科室。目前核定人员编制8名，领导职数2名，较去年无变化。重点项目服务中心年末实有在职人员</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名，无退休人员，隶属市住</w:t>
      </w:r>
      <w:r>
        <w:rPr>
          <w:rFonts w:hint="default" w:ascii="Times New Roman" w:hAnsi="Times New Roman" w:eastAsia="仿宋_GB2312" w:cs="Times New Roman"/>
          <w:sz w:val="32"/>
          <w:szCs w:val="32"/>
          <w:lang w:val="en-US" w:eastAsia="zh-CN"/>
        </w:rPr>
        <w:t>新</w:t>
      </w:r>
      <w:r>
        <w:rPr>
          <w:rFonts w:hint="default" w:ascii="Times New Roman" w:hAnsi="Times New Roman" w:eastAsia="仿宋_GB2312" w:cs="Times New Roman"/>
          <w:sz w:val="32"/>
          <w:szCs w:val="32"/>
        </w:rPr>
        <w:t>局管理，与市住</w:t>
      </w:r>
      <w:r>
        <w:rPr>
          <w:rFonts w:hint="default" w:ascii="Times New Roman" w:hAnsi="Times New Roman" w:eastAsia="仿宋_GB2312" w:cs="Times New Roman"/>
          <w:sz w:val="32"/>
          <w:szCs w:val="32"/>
          <w:lang w:val="en-US" w:eastAsia="zh-CN"/>
        </w:rPr>
        <w:t>新</w:t>
      </w:r>
      <w:r>
        <w:rPr>
          <w:rFonts w:hint="default" w:ascii="Times New Roman" w:hAnsi="Times New Roman" w:eastAsia="仿宋_GB2312" w:cs="Times New Roman"/>
          <w:sz w:val="32"/>
          <w:szCs w:val="32"/>
        </w:rPr>
        <w:t>局机关合署办公。</w:t>
      </w:r>
    </w:p>
    <w:p w14:paraId="4DC97330">
      <w:pPr>
        <w:pStyle w:val="188"/>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w:t>
      </w:r>
    </w:p>
    <w:p w14:paraId="7B67E707">
      <w:pPr>
        <w:keepNext w:val="0"/>
        <w:keepLines w:val="0"/>
        <w:pageBreakBefore w:val="0"/>
        <w:widowControl w:val="0"/>
        <w:spacing w:line="600" w:lineRule="exact"/>
        <w:ind w:left="0" w:right="0" w:firstLine="640"/>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3、部门支出基本情况</w:t>
      </w:r>
    </w:p>
    <w:p w14:paraId="4D04A9E8">
      <w:pPr>
        <w:pageBreakBefore w:val="0"/>
        <w:spacing w:line="600" w:lineRule="exact"/>
        <w:ind w:left="0" w:right="0" w:firstLine="640"/>
        <w:rPr>
          <w:rFonts w:hint="default" w:ascii="Times New Roman" w:hAnsi="Times New Roman" w:eastAsia="仿宋_GB2312" w:cs="Times New Roman"/>
          <w:b w:val="0"/>
          <w:bCs/>
          <w:color w:val="000000" w:themeColor="text1"/>
          <w:sz w:val="32"/>
          <w:szCs w:val="32"/>
          <w:highlight w:val="none"/>
          <w14:textFill>
            <w14:solidFill>
              <w14:schemeClr w14:val="tx1"/>
            </w14:solidFill>
          </w14:textFill>
        </w:rPr>
      </w:pPr>
      <w:r>
        <w:rPr>
          <w:rFonts w:hint="default" w:ascii="Times New Roman" w:hAnsi="Times New Roman" w:eastAsia="仿宋_GB2312" w:cs="Times New Roman"/>
          <w:sz w:val="32"/>
          <w:szCs w:val="32"/>
          <w:lang w:eastAsia="zh-CN"/>
        </w:rPr>
        <w:t>2024年</w:t>
      </w:r>
      <w:r>
        <w:rPr>
          <w:rFonts w:hint="default" w:ascii="Times New Roman" w:hAnsi="Times New Roman" w:eastAsia="仿宋_GB2312" w:cs="Times New Roman"/>
          <w:sz w:val="32"/>
          <w:szCs w:val="32"/>
        </w:rPr>
        <w:t>度支出合计</w:t>
      </w:r>
      <w:r>
        <w:rPr>
          <w:rFonts w:hint="default" w:ascii="Times New Roman" w:hAnsi="Times New Roman" w:eastAsia="仿宋_GB2312" w:cs="Times New Roman"/>
          <w:sz w:val="32"/>
          <w:szCs w:val="32"/>
          <w:u w:val="single"/>
          <w:lang w:val="en-US" w:eastAsia="zh-CN"/>
        </w:rPr>
        <w:t>24520.87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color w:val="000000" w:themeColor="text1"/>
          <w:sz w:val="32"/>
          <w:szCs w:val="32"/>
          <w:highlight w:val="none"/>
          <w14:textFill>
            <w14:solidFill>
              <w14:schemeClr w14:val="tx1"/>
            </w14:solidFill>
          </w14:textFill>
        </w:rPr>
        <w:t>，按支出性质分：基本支出</w:t>
      </w:r>
      <w:r>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87.08</w:t>
      </w:r>
      <w:r>
        <w:rPr>
          <w:rFonts w:hint="default" w:ascii="Times New Roman" w:hAnsi="Times New Roman" w:eastAsia="仿宋_GB2312" w:cs="Times New Roman"/>
          <w:b w:val="0"/>
          <w:bCs/>
          <w:color w:val="000000" w:themeColor="text1"/>
          <w:sz w:val="32"/>
          <w:szCs w:val="32"/>
          <w:highlight w:val="none"/>
          <w14:textFill>
            <w14:solidFill>
              <w14:schemeClr w14:val="tx1"/>
            </w14:solidFill>
          </w14:textFill>
        </w:rPr>
        <w:t>万元（其中人员支出</w:t>
      </w:r>
      <w:r>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82.18</w:t>
      </w:r>
      <w:r>
        <w:rPr>
          <w:rFonts w:hint="default" w:ascii="Times New Roman" w:hAnsi="Times New Roman" w:eastAsia="仿宋_GB2312" w:cs="Times New Roman"/>
          <w:b w:val="0"/>
          <w:bCs/>
          <w:color w:val="000000" w:themeColor="text1"/>
          <w:sz w:val="32"/>
          <w:szCs w:val="32"/>
          <w:highlight w:val="none"/>
          <w14:textFill>
            <w14:solidFill>
              <w14:schemeClr w14:val="tx1"/>
            </w14:solidFill>
          </w14:textFill>
        </w:rPr>
        <w:t>万元，日常公用支出</w:t>
      </w:r>
      <w:r>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4.9</w:t>
      </w:r>
      <w:r>
        <w:rPr>
          <w:rFonts w:hint="default" w:ascii="Times New Roman" w:hAnsi="Times New Roman" w:eastAsia="仿宋_GB2312" w:cs="Times New Roman"/>
          <w:b w:val="0"/>
          <w:bCs/>
          <w:color w:val="000000" w:themeColor="text1"/>
          <w:sz w:val="32"/>
          <w:szCs w:val="32"/>
          <w:highlight w:val="none"/>
          <w14:textFill>
            <w14:solidFill>
              <w14:schemeClr w14:val="tx1"/>
            </w14:solidFill>
          </w14:textFill>
        </w:rPr>
        <w:t>万元），</w:t>
      </w:r>
      <w:r>
        <w:rPr>
          <w:rFonts w:hint="default" w:ascii="Times New Roman" w:hAnsi="Times New Roman" w:eastAsia="仿宋_GB2312" w:cs="Times New Roman"/>
          <w:bCs/>
          <w:sz w:val="32"/>
          <w:szCs w:val="32"/>
          <w:highlight w:val="none"/>
        </w:rPr>
        <w:t>项目支出</w:t>
      </w:r>
      <w:r>
        <w:rPr>
          <w:rFonts w:hint="default" w:ascii="Times New Roman" w:hAnsi="Times New Roman" w:eastAsia="仿宋_GB2312" w:cs="Times New Roman"/>
          <w:bCs/>
          <w:sz w:val="32"/>
          <w:szCs w:val="32"/>
          <w:highlight w:val="none"/>
          <w:u w:val="single"/>
        </w:rPr>
        <w:t>24433.79</w:t>
      </w:r>
      <w:r>
        <w:rPr>
          <w:rFonts w:hint="default" w:ascii="Times New Roman" w:hAnsi="Times New Roman" w:eastAsia="仿宋_GB2312" w:cs="Times New Roman"/>
          <w:bCs/>
          <w:sz w:val="32"/>
          <w:szCs w:val="32"/>
          <w:highlight w:val="none"/>
        </w:rPr>
        <w:t>万元，</w:t>
      </w:r>
      <w:r>
        <w:rPr>
          <w:rFonts w:hint="default" w:ascii="Times New Roman" w:hAnsi="Times New Roman" w:eastAsia="仿宋_GB2312" w:cs="Times New Roman"/>
          <w:b w:val="0"/>
          <w:bCs/>
          <w:color w:val="000000" w:themeColor="text1"/>
          <w:sz w:val="32"/>
          <w:szCs w:val="32"/>
          <w:highlight w:val="none"/>
          <w:lang w:eastAsia="zh-CN"/>
          <w14:textFill>
            <w14:solidFill>
              <w14:schemeClr w14:val="tx1"/>
            </w14:solidFill>
          </w14:textFill>
        </w:rPr>
        <w:t>202</w:t>
      </w:r>
      <w:r>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b w:val="0"/>
          <w:bCs/>
          <w:color w:val="000000" w:themeColor="text1"/>
          <w:sz w:val="32"/>
          <w:szCs w:val="32"/>
          <w:highlight w:val="none"/>
          <w:lang w:eastAsia="zh-CN"/>
          <w14:textFill>
            <w14:solidFill>
              <w14:schemeClr w14:val="tx1"/>
            </w14:solidFill>
          </w14:textFill>
        </w:rPr>
        <w:t>年</w:t>
      </w:r>
      <w:r>
        <w:rPr>
          <w:rFonts w:hint="default" w:ascii="Times New Roman" w:hAnsi="Times New Roman" w:eastAsia="仿宋_GB2312" w:cs="Times New Roman"/>
          <w:b w:val="0"/>
          <w:bCs/>
          <w:color w:val="000000" w:themeColor="text1"/>
          <w:sz w:val="32"/>
          <w:szCs w:val="32"/>
          <w:highlight w:val="none"/>
          <w14:textFill>
            <w14:solidFill>
              <w14:schemeClr w14:val="tx1"/>
            </w14:solidFill>
          </w14:textFill>
        </w:rPr>
        <w:t>度完成了政府交办的各项任务。</w:t>
      </w:r>
    </w:p>
    <w:p w14:paraId="7EB09029">
      <w:pPr>
        <w:keepNext w:val="0"/>
        <w:keepLines w:val="0"/>
        <w:pageBreakBefore w:val="0"/>
        <w:widowControl w:val="0"/>
        <w:spacing w:line="600" w:lineRule="exact"/>
        <w:ind w:left="0" w:right="0" w:firstLine="643"/>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lang w:eastAsia="zh-CN"/>
        </w:rPr>
        <w:t>202</w:t>
      </w: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eastAsia="zh-CN"/>
        </w:rPr>
        <w:t>年</w:t>
      </w:r>
      <w:r>
        <w:rPr>
          <w:rFonts w:hint="default" w:ascii="Times New Roman" w:hAnsi="Times New Roman" w:eastAsia="仿宋_GB2312" w:cs="Times New Roman"/>
          <w:b/>
          <w:bCs/>
          <w:sz w:val="32"/>
          <w:szCs w:val="32"/>
        </w:rPr>
        <w:t>度部门整体绩效目标情况</w:t>
      </w:r>
    </w:p>
    <w:p w14:paraId="4E15DE2B">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（一）九大片区建设。</w:t>
      </w:r>
      <w:r>
        <w:rPr>
          <w:rFonts w:hint="default" w:ascii="Times New Roman" w:hAnsi="Times New Roman" w:eastAsia="仿宋_GB2312" w:cs="Times New Roman"/>
          <w:sz w:val="32"/>
          <w:szCs w:val="32"/>
          <w:lang w:eastAsia="zh-CN"/>
        </w:rPr>
        <w:t>全</w:t>
      </w:r>
      <w:r>
        <w:rPr>
          <w:rFonts w:hint="default" w:ascii="Times New Roman" w:hAnsi="Times New Roman" w:eastAsia="仿宋_GB2312" w:cs="Times New Roman"/>
          <w:sz w:val="32"/>
          <w:szCs w:val="32"/>
        </w:rPr>
        <w:t>称“老旧小区红线外微循道路及附属设施改造项目”（因分九</w:t>
      </w:r>
      <w:r>
        <w:rPr>
          <w:rFonts w:hint="default" w:ascii="Times New Roman" w:hAnsi="Times New Roman" w:eastAsia="仿宋_GB2312" w:cs="Times New Roman"/>
          <w:sz w:val="32"/>
          <w:szCs w:val="32"/>
          <w:lang w:eastAsia="zh-CN"/>
        </w:rPr>
        <w:t>个</w:t>
      </w:r>
      <w:r>
        <w:rPr>
          <w:rFonts w:hint="default" w:ascii="Times New Roman" w:hAnsi="Times New Roman" w:eastAsia="仿宋_GB2312" w:cs="Times New Roman"/>
          <w:sz w:val="32"/>
          <w:szCs w:val="32"/>
        </w:rPr>
        <w:t>片区</w:t>
      </w:r>
      <w:r>
        <w:rPr>
          <w:rFonts w:hint="default" w:ascii="Times New Roman" w:hAnsi="Times New Roman" w:eastAsia="仿宋_GB2312" w:cs="Times New Roman"/>
          <w:sz w:val="32"/>
          <w:szCs w:val="32"/>
          <w:lang w:eastAsia="zh-CN"/>
        </w:rPr>
        <w:t>建设</w:t>
      </w:r>
      <w:r>
        <w:rPr>
          <w:rFonts w:hint="default" w:ascii="Times New Roman" w:hAnsi="Times New Roman" w:eastAsia="仿宋_GB2312" w:cs="Times New Roman"/>
          <w:sz w:val="32"/>
          <w:szCs w:val="32"/>
        </w:rPr>
        <w:t>所以俗称“九大片区”）采用EPC模式，由中建三局与武汉市政设计院组成的联合体中标。建设内容为城区老旧小区红线外配套微循环道路及附属设施提升，主要</w:t>
      </w:r>
      <w:r>
        <w:rPr>
          <w:rFonts w:hint="default" w:ascii="Times New Roman" w:hAnsi="Times New Roman" w:eastAsia="仿宋_GB2312" w:cs="Times New Roman"/>
          <w:sz w:val="32"/>
          <w:szCs w:val="32"/>
          <w:lang w:eastAsia="zh-CN"/>
        </w:rPr>
        <w:t>是</w:t>
      </w:r>
      <w:r>
        <w:rPr>
          <w:rFonts w:hint="default" w:ascii="Times New Roman" w:hAnsi="Times New Roman" w:eastAsia="仿宋_GB2312" w:cs="Times New Roman"/>
          <w:sz w:val="32"/>
          <w:szCs w:val="32"/>
        </w:rPr>
        <w:t>雨污分流、道路修复、道路刷黑、强弱电迁改、绿化、路灯、交通标识、监控、充电桩、停车位、消防、环卫等附属设施建设及文化提升打造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配套老年活动中心、社区服务中心等公共服务用房建设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预算资金8.8亿元，项目实际总投资2.81 亿元，资金来源</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中央算内资金2944万元</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政府专债， 2021年4月1日正式启动施工，共完成74条微循环道路</w:t>
      </w:r>
      <w:r>
        <w:rPr>
          <w:rFonts w:hint="default" w:ascii="Times New Roman" w:hAnsi="Times New Roman" w:eastAsia="仿宋_GB2312" w:cs="Times New Roman"/>
          <w:sz w:val="32"/>
          <w:szCs w:val="32"/>
          <w:lang w:eastAsia="zh-CN"/>
        </w:rPr>
        <w:t>及配套设施建设</w:t>
      </w:r>
      <w:r>
        <w:rPr>
          <w:rFonts w:hint="default" w:ascii="Times New Roman" w:hAnsi="Times New Roman" w:eastAsia="仿宋_GB2312" w:cs="Times New Roman"/>
          <w:sz w:val="32"/>
          <w:szCs w:val="32"/>
        </w:rPr>
        <w:t>，8处社区服务中心等建设内容，2024年6月30日全面完工，同年7月完成竣工验收， 10月完竣工备案和结算，现正在</w:t>
      </w:r>
      <w:r>
        <w:rPr>
          <w:rFonts w:hint="default" w:ascii="Times New Roman" w:hAnsi="Times New Roman" w:eastAsia="仿宋_GB2312" w:cs="Times New Roman"/>
          <w:sz w:val="32"/>
          <w:szCs w:val="32"/>
          <w:lang w:eastAsia="zh-CN"/>
        </w:rPr>
        <w:t>进行财务</w:t>
      </w:r>
      <w:r>
        <w:rPr>
          <w:rFonts w:hint="default" w:ascii="Times New Roman" w:hAnsi="Times New Roman" w:eastAsia="仿宋_GB2312" w:cs="Times New Roman"/>
          <w:sz w:val="32"/>
          <w:szCs w:val="32"/>
        </w:rPr>
        <w:t>决</w:t>
      </w:r>
      <w:r>
        <w:rPr>
          <w:rFonts w:hint="default" w:ascii="Times New Roman" w:hAnsi="Times New Roman" w:eastAsia="仿宋_GB2312" w:cs="Times New Roman"/>
          <w:sz w:val="32"/>
          <w:szCs w:val="32"/>
          <w:lang w:eastAsia="zh-CN"/>
        </w:rPr>
        <w:t>算</w:t>
      </w:r>
      <w:r>
        <w:rPr>
          <w:rFonts w:hint="default" w:ascii="Times New Roman" w:hAnsi="Times New Roman" w:eastAsia="仿宋_GB2312" w:cs="Times New Roman"/>
          <w:sz w:val="32"/>
          <w:szCs w:val="32"/>
        </w:rPr>
        <w:t>和审计工作。</w:t>
      </w:r>
    </w:p>
    <w:p w14:paraId="48EE4B3E">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（二）城市应急水源工程（城东水厂）。该项目是为了落实省委省政府建设城市应急水源的指示精神，完善城市供水基础设施，缓解我市供水压力，提升城市供水能力，2018年该项目</w:t>
      </w:r>
      <w:r>
        <w:rPr>
          <w:rFonts w:hint="default" w:ascii="Times New Roman" w:hAnsi="Times New Roman" w:eastAsia="仿宋_GB2312" w:cs="Times New Roman"/>
          <w:sz w:val="32"/>
          <w:szCs w:val="32"/>
          <w:lang w:eastAsia="zh-CN"/>
        </w:rPr>
        <w:t>由原玉龙供水公司</w:t>
      </w:r>
      <w:r>
        <w:rPr>
          <w:rFonts w:hint="default" w:ascii="Times New Roman" w:hAnsi="Times New Roman" w:eastAsia="仿宋_GB2312" w:cs="Times New Roman"/>
          <w:sz w:val="32"/>
          <w:szCs w:val="32"/>
        </w:rPr>
        <w:t>立项，因无资金未启动，2022年6月开工建设，建设内容：1、取水工程。主要对先觉庙水库原防空涵洞阀门进行改造，完成长15.37km输水管道建设</w:t>
      </w:r>
      <w:r>
        <w:rPr>
          <w:rFonts w:hint="default" w:ascii="Times New Roman" w:hAnsi="Times New Roman" w:eastAsia="仿宋_GB2312" w:cs="Times New Roman"/>
          <w:sz w:val="32"/>
          <w:szCs w:val="32"/>
          <w:lang w:eastAsia="zh-CN"/>
        </w:rPr>
        <w:t>，使</w:t>
      </w:r>
      <w:r>
        <w:rPr>
          <w:rFonts w:hint="default" w:ascii="Times New Roman" w:hAnsi="Times New Roman" w:eastAsia="仿宋_GB2312" w:cs="Times New Roman"/>
          <w:sz w:val="32"/>
          <w:szCs w:val="32"/>
        </w:rPr>
        <w:t>取水</w:t>
      </w:r>
      <w:r>
        <w:rPr>
          <w:rFonts w:hint="default" w:ascii="Times New Roman" w:hAnsi="Times New Roman" w:eastAsia="仿宋_GB2312" w:cs="Times New Roman"/>
          <w:sz w:val="32"/>
          <w:szCs w:val="32"/>
          <w:lang w:eastAsia="zh-CN"/>
        </w:rPr>
        <w:t>能力达到</w:t>
      </w:r>
      <w:r>
        <w:rPr>
          <w:rFonts w:hint="default" w:ascii="Times New Roman" w:hAnsi="Times New Roman" w:eastAsia="仿宋_GB2312" w:cs="Times New Roman"/>
          <w:sz w:val="32"/>
          <w:szCs w:val="32"/>
        </w:rPr>
        <w:t>20万m³/d规模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2、制水工程。在高新区寨湾村征地9.92hm²，建设20万m³/d 的净水厂一座，分两期建设，一期建设规模10万m³/d（目前仅建设一期）。3、配水工程。铺设DN300-DN1600的球墨铸铁配水管网81.8km。水厂生产工艺完善、生产设备先进、智能管理，出厂水浊度可稳定在0.1度以下，出厂水合格率可达到99.9%以上，达到了国内先进水平。项目预算资金4.58亿元，其中：取水工程已由市水利和湖泊局实施并投资1.9亿元完成；水厂建设由我局实施，项目中标单位为：河南安阳建工集团公司，资金来源政府专项债</w:t>
      </w:r>
      <w:r>
        <w:rPr>
          <w:rFonts w:hint="default" w:ascii="Times New Roman" w:hAnsi="Times New Roman" w:eastAsia="仿宋_GB2312" w:cs="Times New Roman"/>
          <w:sz w:val="32"/>
          <w:szCs w:val="32"/>
          <w:lang w:eastAsia="zh-CN"/>
        </w:rPr>
        <w:t>，截止项目已完工，结算</w:t>
      </w:r>
      <w:r>
        <w:rPr>
          <w:rFonts w:hint="default" w:ascii="Times New Roman" w:hAnsi="Times New Roman" w:eastAsia="仿宋_GB2312" w:cs="Times New Roman"/>
          <w:sz w:val="32"/>
          <w:szCs w:val="32"/>
        </w:rPr>
        <w:t>总投资</w:t>
      </w:r>
      <w:r>
        <w:rPr>
          <w:rFonts w:hint="default" w:ascii="Times New Roman" w:hAnsi="Times New Roman" w:eastAsia="仿宋_GB2312" w:cs="Times New Roman"/>
          <w:sz w:val="32"/>
          <w:szCs w:val="32"/>
          <w:lang w:val="en-US" w:eastAsia="zh-CN"/>
        </w:rPr>
        <w:t>1.61</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（含</w:t>
      </w:r>
      <w:r>
        <w:rPr>
          <w:rFonts w:hint="default" w:ascii="Times New Roman" w:hAnsi="Times New Roman" w:eastAsia="仿宋_GB2312" w:cs="Times New Roman"/>
          <w:sz w:val="32"/>
          <w:szCs w:val="32"/>
        </w:rPr>
        <w:t>土地征收及相关前期费用0.38亿元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已支付1.1亿元</w:t>
      </w:r>
      <w:r>
        <w:rPr>
          <w:rFonts w:hint="default" w:ascii="Times New Roman" w:hAnsi="Times New Roman" w:eastAsia="仿宋_GB2312" w:cs="Times New Roman"/>
          <w:sz w:val="32"/>
          <w:szCs w:val="32"/>
          <w:lang w:eastAsia="zh-CN"/>
        </w:rPr>
        <w:t>；配水管网工程，</w:t>
      </w:r>
      <w:r>
        <w:rPr>
          <w:rFonts w:hint="default" w:ascii="Times New Roman" w:hAnsi="Times New Roman" w:eastAsia="仿宋_GB2312" w:cs="Times New Roman"/>
          <w:sz w:val="32"/>
          <w:szCs w:val="32"/>
        </w:rPr>
        <w:t>2023年8月</w:t>
      </w:r>
      <w:r>
        <w:rPr>
          <w:rFonts w:hint="default" w:ascii="Times New Roman" w:hAnsi="Times New Roman" w:eastAsia="仿宋_GB2312" w:cs="Times New Roman"/>
          <w:sz w:val="32"/>
          <w:szCs w:val="32"/>
          <w:lang w:eastAsia="zh-CN"/>
        </w:rPr>
        <w:t>按市领导指示和代建制要求，</w:t>
      </w:r>
      <w:r>
        <w:rPr>
          <w:rFonts w:hint="default" w:ascii="Times New Roman" w:hAnsi="Times New Roman" w:eastAsia="仿宋_GB2312" w:cs="Times New Roman"/>
          <w:sz w:val="32"/>
          <w:szCs w:val="32"/>
        </w:rPr>
        <w:t>委托国投公司代建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招标价格9134万元（设计预算投资1.07亿元），2024年12月1日配水管网已贯通正式运营</w:t>
      </w:r>
      <w:r>
        <w:rPr>
          <w:rFonts w:hint="default" w:ascii="Times New Roman" w:hAnsi="Times New Roman" w:eastAsia="仿宋_GB2312" w:cs="Times New Roman"/>
          <w:sz w:val="32"/>
          <w:szCs w:val="32"/>
          <w:lang w:eastAsia="zh-CN"/>
        </w:rPr>
        <w:t>。目前整个水厂</w:t>
      </w:r>
      <w:r>
        <w:rPr>
          <w:rFonts w:hint="default" w:ascii="Times New Roman" w:hAnsi="Times New Roman" w:eastAsia="仿宋_GB2312" w:cs="Times New Roman"/>
          <w:sz w:val="32"/>
          <w:szCs w:val="32"/>
        </w:rPr>
        <w:t>工程验收、备案、结算已完成，</w:t>
      </w:r>
      <w:r>
        <w:rPr>
          <w:rFonts w:hint="default" w:ascii="Times New Roman" w:hAnsi="Times New Roman" w:eastAsia="仿宋_GB2312" w:cs="Times New Roman"/>
          <w:sz w:val="32"/>
          <w:szCs w:val="32"/>
          <w:lang w:eastAsia="zh-CN"/>
        </w:rPr>
        <w:t>现</w:t>
      </w:r>
      <w:r>
        <w:rPr>
          <w:rFonts w:hint="default" w:ascii="Times New Roman" w:hAnsi="Times New Roman" w:eastAsia="仿宋_GB2312" w:cs="Times New Roman"/>
          <w:sz w:val="32"/>
          <w:szCs w:val="32"/>
        </w:rPr>
        <w:t>正在进行财务决算和审计工作。</w:t>
      </w:r>
    </w:p>
    <w:p w14:paraId="3E96AB01">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2022年燃气管道老化更新改造。项目采用EPC模式，由随州中燃公司与中晨宏远建设工程有限公司、重庆川东燃气设计院组成的联合体中标，建设内容涉及东城、西城等5个片区老旧小区燃气管道老化更新改造，共计740个小区、覆盖用户14万户，计划改造庭院地埋管道81.8千米、老旧立管273.5千米，并增加监测远传装置、燃气安全标识、调压设施和立管防撞护栏、探测装置、自闭阀等设施，更换表箱、调压箱、钢塑转换、户内外阀门、波纹管</w:t>
      </w:r>
      <w:r>
        <w:rPr>
          <w:rFonts w:hint="default" w:ascii="Times New Roman" w:hAnsi="Times New Roman" w:eastAsia="仿宋_GB2312" w:cs="Times New Roman"/>
          <w:sz w:val="32"/>
          <w:szCs w:val="32"/>
          <w:lang w:eastAsia="zh-CN"/>
        </w:rPr>
        <w:t>等设施</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sz w:val="32"/>
          <w:szCs w:val="32"/>
          <w:lang w:eastAsia="zh-CN"/>
        </w:rPr>
        <w:t>招标价</w:t>
      </w:r>
      <w:r>
        <w:rPr>
          <w:rFonts w:hint="default" w:ascii="Times New Roman" w:hAnsi="Times New Roman" w:eastAsia="仿宋_GB2312" w:cs="Times New Roman"/>
          <w:sz w:val="32"/>
          <w:szCs w:val="32"/>
          <w:lang w:val="en-US" w:eastAsia="zh-CN"/>
        </w:rPr>
        <w:t>1.48亿元，</w:t>
      </w:r>
      <w:r>
        <w:rPr>
          <w:rFonts w:hint="default" w:ascii="Times New Roman" w:hAnsi="Times New Roman" w:eastAsia="仿宋_GB2312" w:cs="Times New Roman"/>
          <w:sz w:val="32"/>
          <w:szCs w:val="32"/>
        </w:rPr>
        <w:t>争取中央预算内投资资金8994万元，目前拨付资金4815万元，还有4179万元中央资金未拨付（中央补助资金外的合同价款由中燃公司兜底）。项目2022年12月开工，预计3月10日前完成户外所有管道及设施建设，但立管转换气还需时间。</w:t>
      </w:r>
    </w:p>
    <w:p w14:paraId="34256462">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（四）</w:t>
      </w:r>
      <w:r>
        <w:rPr>
          <w:rFonts w:hint="default" w:ascii="Times New Roman" w:hAnsi="Times New Roman" w:eastAsia="仿宋_GB2312" w:cs="Times New Roman"/>
          <w:sz w:val="32"/>
          <w:szCs w:val="32"/>
        </w:rPr>
        <w:t>草甸子街历史文化街区改造。该项目是市国投的做为建设主体，我局做为指挥部成员单位和指挥部办公室负责组织协调推进督办，项目致力打造为新城市会客厅、打卡地。截至目前北街完工并顺利开街，南区主体完工正在进行道路等附属工程，定于今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五一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整条街区</w:t>
      </w:r>
      <w:r>
        <w:rPr>
          <w:rFonts w:hint="default" w:ascii="Times New Roman" w:hAnsi="Times New Roman" w:eastAsia="仿宋_GB2312" w:cs="Times New Roman"/>
          <w:sz w:val="32"/>
          <w:szCs w:val="32"/>
          <w:lang w:eastAsia="zh-CN"/>
        </w:rPr>
        <w:t>开街</w:t>
      </w:r>
      <w:r>
        <w:rPr>
          <w:rFonts w:hint="default" w:ascii="Times New Roman" w:hAnsi="Times New Roman" w:eastAsia="仿宋_GB2312" w:cs="Times New Roman"/>
          <w:sz w:val="32"/>
          <w:szCs w:val="32"/>
        </w:rPr>
        <w:t>营业。</w:t>
      </w:r>
    </w:p>
    <w:p w14:paraId="2747D9EE">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2023年燃气管道老化更新改造。项目采用EPC模式，由随州中燃公司与重庆川东燃气设计院、信阳市通佳燃气安装有限公司组成的联合体中标，建设内容涉及烈山大道东、擂鼓墩大道南、沿河大道北等3个片区燃气管道老化更新改造，共计107个小区，覆盖用户37080户，改造庭院地埋管道30.13千米和老旧立管74.16千米，增加更换表箱、调压箱、钢塑转换、户内外阀门、波纹管</w:t>
      </w:r>
      <w:r>
        <w:rPr>
          <w:rFonts w:hint="default" w:ascii="Times New Roman" w:hAnsi="Times New Roman" w:eastAsia="仿宋_GB2312" w:cs="Times New Roman"/>
          <w:sz w:val="32"/>
          <w:szCs w:val="32"/>
          <w:lang w:eastAsia="zh-CN"/>
        </w:rPr>
        <w:t>等设施</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招标价为</w:t>
      </w:r>
      <w:r>
        <w:rPr>
          <w:rFonts w:hint="default" w:ascii="Times New Roman" w:hAnsi="Times New Roman" w:eastAsia="仿宋_GB2312" w:cs="Times New Roman"/>
          <w:sz w:val="32"/>
          <w:szCs w:val="32"/>
          <w:lang w:val="en-US" w:eastAsia="zh-CN"/>
        </w:rPr>
        <w:t>5152万元，实际</w:t>
      </w:r>
      <w:r>
        <w:rPr>
          <w:rFonts w:hint="default" w:ascii="Times New Roman" w:hAnsi="Times New Roman" w:eastAsia="仿宋_GB2312" w:cs="Times New Roman"/>
          <w:sz w:val="32"/>
          <w:szCs w:val="32"/>
        </w:rPr>
        <w:t>争取中央预算内投资2395万元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目前拨付资金</w:t>
      </w:r>
      <w:r>
        <w:rPr>
          <w:rFonts w:hint="default" w:ascii="Times New Roman" w:hAnsi="Times New Roman" w:eastAsia="仿宋_GB2312" w:cs="Times New Roman"/>
          <w:sz w:val="32"/>
          <w:szCs w:val="32"/>
          <w:lang w:val="en-US" w:eastAsia="zh-CN"/>
        </w:rPr>
        <w:t>1030</w:t>
      </w:r>
      <w:r>
        <w:rPr>
          <w:rFonts w:hint="default" w:ascii="Times New Roman" w:hAnsi="Times New Roman" w:eastAsia="仿宋_GB2312" w:cs="Times New Roman"/>
          <w:sz w:val="32"/>
          <w:szCs w:val="32"/>
        </w:rPr>
        <w:t>万元，还有</w:t>
      </w:r>
      <w:r>
        <w:rPr>
          <w:rFonts w:hint="default" w:ascii="Times New Roman" w:hAnsi="Times New Roman" w:eastAsia="仿宋_GB2312" w:cs="Times New Roman"/>
          <w:sz w:val="32"/>
          <w:szCs w:val="32"/>
          <w:lang w:val="en-US" w:eastAsia="zh-CN"/>
        </w:rPr>
        <w:t>1365</w:t>
      </w:r>
      <w:r>
        <w:rPr>
          <w:rFonts w:hint="default" w:ascii="Times New Roman" w:hAnsi="Times New Roman" w:eastAsia="仿宋_GB2312" w:cs="Times New Roman"/>
          <w:sz w:val="32"/>
          <w:szCs w:val="32"/>
        </w:rPr>
        <w:t>万元中央资金未拨付</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中央补助资金外的由中燃公司兜底）。2024年1月20日开工，</w:t>
      </w:r>
      <w:r>
        <w:rPr>
          <w:rFonts w:hint="default" w:ascii="Times New Roman" w:hAnsi="Times New Roman" w:eastAsia="仿宋_GB2312" w:cs="Times New Roman"/>
          <w:sz w:val="32"/>
          <w:szCs w:val="32"/>
          <w:lang w:eastAsia="zh-CN"/>
        </w:rPr>
        <w:t>目前</w:t>
      </w:r>
      <w:r>
        <w:rPr>
          <w:rFonts w:hint="default" w:ascii="Times New Roman" w:hAnsi="Times New Roman" w:eastAsia="仿宋_GB2312" w:cs="Times New Roman"/>
          <w:sz w:val="32"/>
          <w:szCs w:val="32"/>
        </w:rPr>
        <w:t>已支付</w:t>
      </w:r>
      <w:r>
        <w:rPr>
          <w:rFonts w:hint="default" w:ascii="Times New Roman" w:hAnsi="Times New Roman" w:eastAsia="仿宋_GB2312" w:cs="Times New Roman"/>
          <w:sz w:val="32"/>
          <w:szCs w:val="32"/>
          <w:lang w:eastAsia="zh-CN"/>
        </w:rPr>
        <w:t>资金</w:t>
      </w:r>
      <w:r>
        <w:rPr>
          <w:rFonts w:hint="default" w:ascii="Times New Roman" w:hAnsi="Times New Roman" w:eastAsia="仿宋_GB2312" w:cs="Times New Roman"/>
          <w:sz w:val="32"/>
          <w:szCs w:val="32"/>
        </w:rPr>
        <w:t>1030万元，</w:t>
      </w:r>
      <w:r>
        <w:rPr>
          <w:rFonts w:hint="default" w:ascii="Times New Roman" w:hAnsi="Times New Roman" w:eastAsia="仿宋_GB2312" w:cs="Times New Roman"/>
          <w:sz w:val="32"/>
          <w:szCs w:val="32"/>
          <w:lang w:eastAsia="zh-CN"/>
        </w:rPr>
        <w:t>预计</w:t>
      </w:r>
      <w:r>
        <w:rPr>
          <w:rFonts w:hint="default" w:ascii="Times New Roman" w:hAnsi="Times New Roman" w:eastAsia="仿宋_GB2312" w:cs="Times New Roman"/>
          <w:sz w:val="32"/>
          <w:szCs w:val="32"/>
          <w:lang w:val="en-US" w:eastAsia="zh-CN"/>
        </w:rPr>
        <w:t>2025年4月完成</w:t>
      </w:r>
      <w:r>
        <w:rPr>
          <w:rFonts w:hint="default" w:ascii="Times New Roman" w:hAnsi="Times New Roman" w:eastAsia="仿宋_GB2312" w:cs="Times New Roman"/>
          <w:sz w:val="32"/>
          <w:szCs w:val="32"/>
        </w:rPr>
        <w:t>。</w:t>
      </w:r>
    </w:p>
    <w:p w14:paraId="15EEAB30">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2024年燃气管道老化更新改造。又叫城市生命线，可能是今年重中之重，要开全省的生命线示范会，项目总投资10330万元全部到位，资金来源超长期特别国债，项目由政府批准采用EPC模式实施，中标单位是中建三局</w:t>
      </w:r>
      <w:r>
        <w:rPr>
          <w:rFonts w:hint="default" w:ascii="Times New Roman" w:hAnsi="Times New Roman" w:eastAsia="仿宋_GB2312" w:cs="Times New Roman"/>
          <w:sz w:val="32"/>
          <w:szCs w:val="32"/>
          <w:lang w:eastAsia="zh-CN"/>
        </w:rPr>
        <w:t>、随州中燃、湖北公众信息、中国市政中南设计院</w:t>
      </w:r>
      <w:r>
        <w:rPr>
          <w:rFonts w:hint="default" w:ascii="Times New Roman" w:hAnsi="Times New Roman" w:eastAsia="仿宋_GB2312" w:cs="Times New Roman"/>
          <w:sz w:val="32"/>
          <w:szCs w:val="32"/>
        </w:rPr>
        <w:t>组成的联合体，2024年12月30日办理开工许可证，目前</w:t>
      </w:r>
      <w:r>
        <w:rPr>
          <w:rFonts w:hint="default" w:ascii="Times New Roman" w:hAnsi="Times New Roman" w:eastAsia="仿宋_GB2312" w:cs="Times New Roman"/>
          <w:sz w:val="32"/>
          <w:szCs w:val="32"/>
          <w:lang w:eastAsia="zh-CN"/>
        </w:rPr>
        <w:t>现正在开</w:t>
      </w:r>
      <w:bookmarkStart w:id="0" w:name="_GoBack"/>
      <w:bookmarkEnd w:id="0"/>
      <w:r>
        <w:rPr>
          <w:rFonts w:hint="default" w:ascii="Times New Roman" w:hAnsi="Times New Roman" w:eastAsia="仿宋_GB2312" w:cs="Times New Roman"/>
          <w:sz w:val="32"/>
          <w:szCs w:val="32"/>
          <w:lang w:eastAsia="zh-CN"/>
        </w:rPr>
        <w:t>展对燃气平台进行生命线燃气专项功能核对工作，完善平台功能，完成液化气储配站现场踏勘设计资料对接，下一步设备的采购、土建施工、设备安装</w:t>
      </w:r>
      <w:r>
        <w:rPr>
          <w:rFonts w:hint="eastAsia" w:cs="Times New Roman"/>
          <w:sz w:val="32"/>
          <w:szCs w:val="32"/>
          <w:lang w:eastAsia="zh-CN"/>
        </w:rPr>
        <w:t>调试</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本次的城市生命线是从城市燃气安全运行的高度出发，以预防燃气泄漏爆炸等安全事故为目标而建设的，从管理模式、监测手段、信息共享、协同运作等多个方面提高城市燃气监管能力，实现</w:t>
      </w:r>
      <w:r>
        <w:rPr>
          <w:rFonts w:hint="default" w:ascii="Times New Roman" w:hAnsi="Times New Roman" w:eastAsia="仿宋_GB2312" w:cs="Times New Roman"/>
          <w:sz w:val="32"/>
          <w:szCs w:val="32"/>
          <w:lang w:eastAsia="zh-CN"/>
        </w:rPr>
        <w:t>目标为“</w:t>
      </w:r>
      <w:r>
        <w:rPr>
          <w:rFonts w:hint="default" w:ascii="Times New Roman" w:hAnsi="Times New Roman" w:eastAsia="仿宋_GB2312" w:cs="Times New Roman"/>
          <w:sz w:val="32"/>
          <w:szCs w:val="32"/>
        </w:rPr>
        <w:t>从人防向技防、从看不见向看得见、从事后调查处理向事前事中预警、从被动应对向主动防控”</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w:t>
      </w:r>
    </w:p>
    <w:p w14:paraId="7E6F42C3">
      <w:pPr>
        <w:keepNext w:val="0"/>
        <w:keepLines w:val="0"/>
        <w:pageBreakBefore w:val="0"/>
        <w:widowControl w:val="0"/>
        <w:numPr>
          <w:ilvl w:val="0"/>
          <w:numId w:val="1"/>
        </w:numPr>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市本级政府投资代建项目。</w:t>
      </w:r>
      <w:r>
        <w:rPr>
          <w:rFonts w:hint="default" w:ascii="Times New Roman" w:hAnsi="Times New Roman" w:eastAsia="仿宋_GB2312" w:cs="Times New Roman"/>
          <w:sz w:val="32"/>
          <w:szCs w:val="32"/>
          <w:lang w:eastAsia="zh-CN"/>
        </w:rPr>
        <w:t>目前我中心</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个代建项目，共涉及资金</w:t>
      </w:r>
      <w:r>
        <w:rPr>
          <w:rFonts w:hint="default" w:ascii="Times New Roman" w:hAnsi="Times New Roman" w:eastAsia="仿宋_GB2312" w:cs="Times New Roman"/>
          <w:sz w:val="32"/>
          <w:szCs w:val="32"/>
          <w:lang w:val="en-US" w:eastAsia="zh-CN"/>
        </w:rPr>
        <w:t>10.84</w:t>
      </w:r>
      <w:r>
        <w:rPr>
          <w:rFonts w:hint="default" w:ascii="Times New Roman" w:hAnsi="Times New Roman" w:eastAsia="仿宋_GB2312" w:cs="Times New Roman"/>
          <w:sz w:val="32"/>
          <w:szCs w:val="32"/>
        </w:rPr>
        <w:t>亿元。其中2024年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个，2025年新增</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个。截至目前，2024年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个代建项目已均与市国投公司签订委托代建协议，文化二路（白桃一路—编钟大道）建设项目已基本完成前期手续办理工作，拟于今年八月启动开工建设；其余均已完成立项，正在加快前期手续的办理工作。2025年根据市委市政府指示精神，新增市迎宾大道（编钟大道-炎帝大道）改造提升工程、文海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文帝大道等</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条代建道路，目前均在办理前期手续。</w:t>
      </w:r>
    </w:p>
    <w:p w14:paraId="3962DF44">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 1 \* GB3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①</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t>结转结余率</w:t>
      </w:r>
    </w:p>
    <w:p w14:paraId="724AC3DC">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根据预决算资料，部门本年度结余结转金额</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万元，全年调整后预算总额</w:t>
      </w:r>
      <w:r>
        <w:rPr>
          <w:rFonts w:hint="default" w:ascii="Times New Roman" w:hAnsi="Times New Roman" w:eastAsia="仿宋_GB2312" w:cs="Times New Roman"/>
          <w:color w:val="auto"/>
          <w:sz w:val="32"/>
          <w:szCs w:val="32"/>
          <w:highlight w:val="none"/>
          <w:lang w:val="en-US" w:eastAsia="zh-CN"/>
        </w:rPr>
        <w:t>24504.4</w:t>
      </w:r>
      <w:r>
        <w:rPr>
          <w:rFonts w:hint="default" w:ascii="Times New Roman" w:hAnsi="Times New Roman" w:eastAsia="仿宋_GB2312" w:cs="Times New Roman"/>
          <w:sz w:val="32"/>
          <w:szCs w:val="32"/>
          <w:highlight w:val="none"/>
        </w:rPr>
        <w:t>万元，结转结余率为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%。年度结转结余得到有效控制。</w:t>
      </w:r>
    </w:p>
    <w:p w14:paraId="0953FD5D">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fldChar w:fldCharType="begin"/>
      </w:r>
      <w:r>
        <w:rPr>
          <w:rFonts w:hint="default" w:ascii="Times New Roman" w:hAnsi="Times New Roman" w:eastAsia="仿宋_GB2312" w:cs="Times New Roman"/>
          <w:sz w:val="32"/>
          <w:szCs w:val="32"/>
          <w:highlight w:val="none"/>
        </w:rPr>
        <w:instrText xml:space="preserve"> = 2 \* GB3 </w:instrText>
      </w:r>
      <w:r>
        <w:rPr>
          <w:rFonts w:hint="default" w:ascii="Times New Roman" w:hAnsi="Times New Roman" w:eastAsia="仿宋_GB2312" w:cs="Times New Roman"/>
          <w:sz w:val="32"/>
          <w:szCs w:val="32"/>
          <w:highlight w:val="none"/>
        </w:rPr>
        <w:fldChar w:fldCharType="separate"/>
      </w:r>
      <w:r>
        <w:rPr>
          <w:rFonts w:hint="default" w:ascii="Times New Roman" w:hAnsi="Times New Roman" w:eastAsia="仿宋_GB2312" w:cs="Times New Roman"/>
          <w:sz w:val="32"/>
          <w:szCs w:val="32"/>
          <w:highlight w:val="none"/>
        </w:rPr>
        <w:t>②</w:t>
      </w:r>
      <w:r>
        <w:rPr>
          <w:rFonts w:hint="default" w:ascii="Times New Roman" w:hAnsi="Times New Roman" w:eastAsia="仿宋_GB2312" w:cs="Times New Roman"/>
          <w:sz w:val="32"/>
          <w:szCs w:val="32"/>
          <w:highlight w:val="none"/>
        </w:rPr>
        <w:fldChar w:fldCharType="end"/>
      </w:r>
      <w:r>
        <w:rPr>
          <w:rFonts w:hint="default" w:ascii="Times New Roman" w:hAnsi="Times New Roman" w:eastAsia="仿宋_GB2312" w:cs="Times New Roman"/>
          <w:sz w:val="32"/>
          <w:szCs w:val="32"/>
          <w:highlight w:val="none"/>
        </w:rPr>
        <w:t>公用经费控制率</w:t>
      </w:r>
    </w:p>
    <w:p w14:paraId="570EBAE3">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根据预决算资料，部门预算安排的公用</w:t>
      </w:r>
      <w:r>
        <w:rPr>
          <w:rFonts w:hint="default" w:ascii="Times New Roman" w:hAnsi="Times New Roman" w:eastAsia="仿宋_GB2312" w:cs="Times New Roman"/>
          <w:color w:val="000000"/>
          <w:sz w:val="32"/>
          <w:szCs w:val="32"/>
          <w:highlight w:val="none"/>
        </w:rPr>
        <w:t>经费总额为</w:t>
      </w:r>
      <w:r>
        <w:rPr>
          <w:rFonts w:hint="default" w:ascii="Times New Roman" w:hAnsi="Times New Roman" w:eastAsia="仿宋_GB2312" w:cs="Times New Roman"/>
          <w:color w:val="000000"/>
          <w:sz w:val="32"/>
          <w:szCs w:val="32"/>
          <w:highlight w:val="none"/>
          <w:lang w:val="en-US" w:eastAsia="zh-CN"/>
        </w:rPr>
        <w:t>4.9</w:t>
      </w:r>
      <w:r>
        <w:rPr>
          <w:rFonts w:hint="default" w:ascii="Times New Roman" w:hAnsi="Times New Roman" w:eastAsia="仿宋_GB2312" w:cs="Times New Roman"/>
          <w:color w:val="000000"/>
          <w:sz w:val="32"/>
          <w:szCs w:val="32"/>
          <w:highlight w:val="none"/>
        </w:rPr>
        <w:t>万元，实际支出的公用经费总额为</w:t>
      </w:r>
      <w:r>
        <w:rPr>
          <w:rFonts w:hint="default" w:ascii="Times New Roman" w:hAnsi="Times New Roman" w:eastAsia="仿宋_GB2312" w:cs="Times New Roman"/>
          <w:color w:val="000000"/>
          <w:sz w:val="32"/>
          <w:szCs w:val="32"/>
          <w:highlight w:val="none"/>
          <w:lang w:val="en-US" w:eastAsia="zh-CN"/>
        </w:rPr>
        <w:t>4.9</w:t>
      </w:r>
      <w:r>
        <w:rPr>
          <w:rFonts w:hint="default" w:ascii="Times New Roman" w:hAnsi="Times New Roman" w:eastAsia="仿宋_GB2312" w:cs="Times New Roman"/>
          <w:color w:val="000000"/>
          <w:sz w:val="32"/>
          <w:szCs w:val="32"/>
          <w:highlight w:val="none"/>
        </w:rPr>
        <w:t>万元，公用经费控制率</w:t>
      </w:r>
      <w:r>
        <w:rPr>
          <w:rFonts w:hint="default" w:ascii="Times New Roman" w:hAnsi="Times New Roman" w:eastAsia="仿宋_GB2312" w:cs="Times New Roman"/>
          <w:color w:val="000000"/>
          <w:sz w:val="32"/>
          <w:szCs w:val="32"/>
          <w:highlight w:val="none"/>
          <w:lang w:val="en-US" w:eastAsia="zh-CN"/>
        </w:rPr>
        <w:t>100</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sz w:val="32"/>
          <w:szCs w:val="32"/>
          <w:highlight w:val="none"/>
        </w:rPr>
        <w:t>公用经费是厉行节约所致。</w:t>
      </w:r>
    </w:p>
    <w:p w14:paraId="4021B329">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fldChar w:fldCharType="begin"/>
      </w:r>
      <w:r>
        <w:rPr>
          <w:rFonts w:hint="default" w:ascii="Times New Roman" w:hAnsi="Times New Roman" w:eastAsia="仿宋_GB2312" w:cs="Times New Roman"/>
          <w:sz w:val="32"/>
          <w:szCs w:val="32"/>
          <w:highlight w:val="none"/>
        </w:rPr>
        <w:instrText xml:space="preserve"> = 3 \* GB3 </w:instrText>
      </w:r>
      <w:r>
        <w:rPr>
          <w:rFonts w:hint="default" w:ascii="Times New Roman" w:hAnsi="Times New Roman" w:eastAsia="仿宋_GB2312" w:cs="Times New Roman"/>
          <w:sz w:val="32"/>
          <w:szCs w:val="32"/>
          <w:highlight w:val="none"/>
        </w:rPr>
        <w:fldChar w:fldCharType="separate"/>
      </w:r>
      <w:r>
        <w:rPr>
          <w:rFonts w:hint="default" w:ascii="Times New Roman" w:hAnsi="Times New Roman" w:eastAsia="仿宋_GB2312" w:cs="Times New Roman"/>
          <w:sz w:val="32"/>
          <w:szCs w:val="32"/>
          <w:highlight w:val="none"/>
        </w:rPr>
        <w:t>③</w:t>
      </w:r>
      <w:r>
        <w:rPr>
          <w:rFonts w:hint="default" w:ascii="Times New Roman" w:hAnsi="Times New Roman" w:eastAsia="仿宋_GB2312" w:cs="Times New Roman"/>
          <w:sz w:val="32"/>
          <w:szCs w:val="32"/>
          <w:highlight w:val="none"/>
        </w:rPr>
        <w:fldChar w:fldCharType="end"/>
      </w:r>
      <w:r>
        <w:rPr>
          <w:rFonts w:hint="default" w:ascii="Times New Roman" w:hAnsi="Times New Roman" w:eastAsia="仿宋_GB2312" w:cs="Times New Roman"/>
          <w:sz w:val="32"/>
          <w:szCs w:val="32"/>
          <w:highlight w:val="none"/>
        </w:rPr>
        <w:t xml:space="preserve"> “三公经费”控制率</w:t>
      </w:r>
    </w:p>
    <w:p w14:paraId="468C534A">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根据预决算资料，“三公经费”预算数为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万元，实际支出数为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万元。因公出国（境）未发生费用，且实施公务用车制度改革，加强公务用车管理，公务接待活动，使得“三公”经费单项</w:t>
      </w:r>
      <w:r>
        <w:rPr>
          <w:rFonts w:hint="default" w:ascii="Times New Roman" w:hAnsi="Times New Roman" w:eastAsia="仿宋_GB2312" w:cs="Times New Roman"/>
          <w:sz w:val="32"/>
          <w:szCs w:val="32"/>
          <w:highlight w:val="none"/>
          <w:lang w:val="en-US" w:eastAsia="zh-CN"/>
        </w:rPr>
        <w:t>支出较少</w:t>
      </w:r>
      <w:r>
        <w:rPr>
          <w:rFonts w:hint="default" w:ascii="Times New Roman" w:hAnsi="Times New Roman" w:eastAsia="仿宋_GB2312" w:cs="Times New Roman"/>
          <w:sz w:val="32"/>
          <w:szCs w:val="32"/>
          <w:highlight w:val="none"/>
        </w:rPr>
        <w:t>。</w:t>
      </w:r>
    </w:p>
    <w:p w14:paraId="342385C4">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④管理制度健全性</w:t>
      </w:r>
    </w:p>
    <w:p w14:paraId="3084A775">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本部门建立各项管理制度，有内部财务管理制度、会计核算制度、公务接待制度、出差管理办法、公车管理、会议制度、预案销号制度、厉行节约制度</w:t>
      </w:r>
      <w:r>
        <w:rPr>
          <w:rFonts w:hint="default" w:ascii="Times New Roman" w:hAnsi="Times New Roman" w:eastAsia="仿宋_GB2312" w:cs="Times New Roman"/>
          <w:sz w:val="32"/>
          <w:szCs w:val="32"/>
          <w:lang w:eastAsia="zh-CN"/>
        </w:rPr>
        <w:t>、资产管理</w:t>
      </w:r>
      <w:r>
        <w:rPr>
          <w:rFonts w:hint="default" w:ascii="Times New Roman" w:hAnsi="Times New Roman" w:eastAsia="仿宋_GB2312" w:cs="Times New Roman"/>
          <w:sz w:val="32"/>
          <w:szCs w:val="32"/>
        </w:rPr>
        <w:t>等制度，相关管理制度合法、合规、完整，相关管理制度得到有效执行。</w:t>
      </w:r>
    </w:p>
    <w:p w14:paraId="1A925431">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⑤资金使用合规</w:t>
      </w:r>
      <w:r>
        <w:rPr>
          <w:rFonts w:hint="default" w:ascii="Times New Roman" w:hAnsi="Times New Roman" w:eastAsia="仿宋_GB2312" w:cs="Times New Roman"/>
          <w:sz w:val="32"/>
          <w:szCs w:val="32"/>
          <w:lang w:eastAsia="zh-CN"/>
        </w:rPr>
        <w:t>性</w:t>
      </w:r>
    </w:p>
    <w:p w14:paraId="67DE005B">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支出符合国家财经法规和财务管理制度规定以及有关专项资金管理办法的规定，资金的拨付有完整的审批过程和手续，项目的支出按规定经过评估论证，支出符合部门预算批复的用途，资金使用无截留、挤占、挪用、虚列支出等情况。</w:t>
      </w:r>
    </w:p>
    <w:p w14:paraId="0EE9F5D1">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 6 \* GB3 \* MERGEFORMAT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⑥</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t>资产管理</w:t>
      </w:r>
      <w:r>
        <w:rPr>
          <w:rFonts w:hint="default" w:ascii="Times New Roman" w:hAnsi="Times New Roman" w:eastAsia="仿宋_GB2312" w:cs="Times New Roman"/>
          <w:sz w:val="32"/>
          <w:szCs w:val="32"/>
          <w:lang w:eastAsia="zh-CN"/>
        </w:rPr>
        <w:t>安全性</w:t>
      </w:r>
    </w:p>
    <w:p w14:paraId="1BD2A5CE">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资产保存完整、使用合规、配置合理、处置规范、收入及时足额上缴，资产账务管理合规，账实相符。</w:t>
      </w:r>
    </w:p>
    <w:p w14:paraId="28220F3B">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2、绩效目标完成情况分析</w:t>
      </w:r>
    </w:p>
    <w:p w14:paraId="4E278E54">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（1）产出指标完成情况分析</w:t>
      </w:r>
    </w:p>
    <w:p w14:paraId="21A748F4">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 1 \* GB3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①</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eastAsia="zh-CN"/>
        </w:rPr>
        <w:t>城市更新工程</w:t>
      </w:r>
    </w:p>
    <w:p w14:paraId="4A4BD821">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bidi="ar-SA"/>
        </w:rPr>
        <w:t>坚持片区化、系统化改造老城区。</w:t>
      </w:r>
    </w:p>
    <w:p w14:paraId="78254054">
      <w:pPr>
        <w:keepNext w:val="0"/>
        <w:keepLines w:val="0"/>
        <w:pageBreakBefore w:val="0"/>
        <w:widowControl w:val="0"/>
        <w:spacing w:line="600" w:lineRule="exact"/>
        <w:ind w:left="0" w:right="0" w:firstLine="640"/>
        <w:rPr>
          <w:rFonts w:hint="default" w:ascii="Times New Roman" w:hAnsi="Times New Roman" w:eastAsia="仿宋_GB2312" w:cs="Times New Roman"/>
          <w:bCs/>
          <w:color w:val="auto"/>
          <w:sz w:val="32"/>
          <w:szCs w:val="32"/>
          <w:lang w:val="en-US" w:eastAsia="zh-CN" w:bidi="ar-SA"/>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 2 \* GB3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②</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eastAsia="zh-CN"/>
        </w:rPr>
        <w:t>历史文化特点的保护、改造</w:t>
      </w:r>
      <w:r>
        <w:rPr>
          <w:rFonts w:hint="default" w:ascii="Times New Roman" w:hAnsi="Times New Roman" w:eastAsia="仿宋_GB2312" w:cs="Times New Roman"/>
          <w:bCs/>
          <w:color w:val="auto"/>
          <w:sz w:val="32"/>
          <w:szCs w:val="32"/>
          <w:lang w:val="en-US" w:eastAsia="zh-CN" w:bidi="ar-SA"/>
        </w:rPr>
        <w:t>。</w:t>
      </w:r>
    </w:p>
    <w:p w14:paraId="4BCCF825">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Cs/>
          <w:color w:val="auto"/>
          <w:sz w:val="32"/>
          <w:szCs w:val="32"/>
          <w:lang w:val="en-US" w:eastAsia="zh-CN" w:bidi="ar-SA"/>
        </w:rPr>
        <w:t>推进草甸子历史文化街区、西护城河文化长廊等一批城市亮点工程，文峰特色商业街顺利开街。</w:t>
      </w:r>
    </w:p>
    <w:p w14:paraId="1C6C53E0">
      <w:pPr>
        <w:keepNext w:val="0"/>
        <w:keepLines w:val="0"/>
        <w:pageBreakBefore w:val="0"/>
        <w:widowControl w:val="0"/>
        <w:spacing w:line="600" w:lineRule="exact"/>
        <w:ind w:left="0" w:right="0" w:firstLine="64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fldChar w:fldCharType="begin"/>
      </w:r>
      <w:r>
        <w:rPr>
          <w:rFonts w:hint="default" w:ascii="Times New Roman" w:hAnsi="Times New Roman" w:eastAsia="仿宋_GB2312" w:cs="Times New Roman"/>
          <w:color w:val="auto"/>
          <w:sz w:val="32"/>
          <w:szCs w:val="32"/>
        </w:rPr>
        <w:instrText xml:space="preserve"> = 3 \* GB3 </w:instrText>
      </w:r>
      <w:r>
        <w:rPr>
          <w:rFonts w:hint="default" w:ascii="Times New Roman" w:hAnsi="Times New Roman" w:eastAsia="仿宋_GB2312" w:cs="Times New Roman"/>
          <w:color w:val="auto"/>
          <w:sz w:val="32"/>
          <w:szCs w:val="32"/>
        </w:rPr>
        <w:fldChar w:fldCharType="separate"/>
      </w:r>
      <w:r>
        <w:rPr>
          <w:rFonts w:hint="default" w:ascii="Times New Roman" w:hAnsi="Times New Roman" w:eastAsia="仿宋_GB2312" w:cs="Times New Roman"/>
          <w:color w:val="auto"/>
          <w:sz w:val="32"/>
          <w:szCs w:val="32"/>
        </w:rPr>
        <w:t>③</w:t>
      </w:r>
      <w:r>
        <w:rPr>
          <w:rFonts w:hint="default" w:ascii="Times New Roman" w:hAnsi="Times New Roman" w:eastAsia="仿宋_GB2312" w:cs="Times New Roman"/>
          <w:color w:val="auto"/>
          <w:sz w:val="32"/>
          <w:szCs w:val="32"/>
        </w:rPr>
        <w:fldChar w:fldCharType="end"/>
      </w:r>
      <w:r>
        <w:rPr>
          <w:rFonts w:hint="default" w:ascii="Times New Roman" w:hAnsi="Times New Roman" w:eastAsia="仿宋_GB2312" w:cs="Times New Roman"/>
          <w:color w:val="auto"/>
          <w:sz w:val="32"/>
          <w:szCs w:val="32"/>
          <w:lang w:val="en-US" w:eastAsia="zh-CN"/>
        </w:rPr>
        <w:t>管网改造投资</w:t>
      </w:r>
    </w:p>
    <w:p w14:paraId="3E47D531">
      <w:pPr>
        <w:keepNext w:val="0"/>
        <w:keepLines w:val="0"/>
        <w:pageBreakBefore w:val="0"/>
        <w:widowControl w:val="0"/>
        <w:spacing w:line="600" w:lineRule="exact"/>
        <w:ind w:left="0" w:right="0" w:firstLine="640"/>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谋划了“随州市曾都区东城汉东星都小区、烈山大道东”等8个片区老旧小区燃气管道更新改造项目，估算投资5.17亿元，争取中央预算内补助资金2.36亿元，主要内容涉及847个小区，庭院管道和立管改造459.59公里；同步增加物联感知系统和监测远传装置，建立燃气信息化监管平台系统，加强燃气安全日常监管，提高信息化水平。截至目前市本级619个小区已全部开工，完成234.85公里庭院管网及立管改造。建成后，有效有提高了燃气用户端的安全。</w:t>
      </w:r>
    </w:p>
    <w:p w14:paraId="69CFE529">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（2）效益指标完成情况分析</w:t>
      </w:r>
    </w:p>
    <w:p w14:paraId="4BF5EC33">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 1 \* GB3 \* MERGEFORMAT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①</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打通城市“断头路”</w:t>
      </w:r>
      <w:r>
        <w:rPr>
          <w:rFonts w:hint="default" w:ascii="Times New Roman" w:hAnsi="Times New Roman" w:eastAsia="仿宋_GB2312" w:cs="Times New Roman"/>
          <w:sz w:val="32"/>
          <w:szCs w:val="32"/>
          <w:lang w:val="en-US" w:eastAsia="zh-CN" w:bidi="ar-SA"/>
        </w:rPr>
        <w:t>智慧工地二期”初步和编制初步预算，10余条城市道路建成通车，改造背街小巷43条</w:t>
      </w:r>
    </w:p>
    <w:p w14:paraId="5448E0C1">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val="en-US" w:eastAsia="zh-CN" w:bidi="ar-SA"/>
        </w:rPr>
        <w:fldChar w:fldCharType="begin"/>
      </w:r>
      <w:r>
        <w:rPr>
          <w:rFonts w:hint="default" w:ascii="Times New Roman" w:hAnsi="Times New Roman" w:eastAsia="仿宋_GB2312" w:cs="Times New Roman"/>
          <w:sz w:val="32"/>
          <w:szCs w:val="32"/>
          <w:lang w:val="en-US" w:eastAsia="zh-CN" w:bidi="ar-SA"/>
        </w:rPr>
        <w:instrText xml:space="preserve"> = 2 \* GB3 \* MERGEFORMAT </w:instrText>
      </w:r>
      <w:r>
        <w:rPr>
          <w:rFonts w:hint="default" w:ascii="Times New Roman" w:hAnsi="Times New Roman" w:eastAsia="仿宋_GB2312" w:cs="Times New Roman"/>
          <w:sz w:val="32"/>
          <w:szCs w:val="32"/>
          <w:lang w:val="en-US" w:eastAsia="zh-CN" w:bidi="ar-SA"/>
        </w:rPr>
        <w:fldChar w:fldCharType="separate"/>
      </w:r>
      <w:r>
        <w:rPr>
          <w:rFonts w:hint="default" w:ascii="Times New Roman" w:hAnsi="Times New Roman" w:eastAsia="仿宋_GB2312" w:cs="Times New Roman"/>
          <w:sz w:val="32"/>
          <w:szCs w:val="32"/>
          <w:lang w:val="en-US" w:eastAsia="zh-CN" w:bidi="ar-SA"/>
        </w:rPr>
        <w:t>②</w:t>
      </w:r>
      <w:r>
        <w:rPr>
          <w:rFonts w:hint="default" w:ascii="Times New Roman" w:hAnsi="Times New Roman" w:eastAsia="仿宋_GB2312" w:cs="Times New Roman"/>
          <w:sz w:val="32"/>
          <w:szCs w:val="32"/>
          <w:lang w:val="en-US" w:eastAsia="zh-CN" w:bidi="ar-SA"/>
        </w:rPr>
        <w:fldChar w:fldCharType="end"/>
      </w:r>
      <w:r>
        <w:rPr>
          <w:rFonts w:hint="default" w:ascii="Times New Roman" w:hAnsi="Times New Roman" w:eastAsia="仿宋_GB2312" w:cs="Times New Roman"/>
          <w:sz w:val="32"/>
          <w:szCs w:val="32"/>
          <w:lang w:val="en-US" w:eastAsia="zh-CN" w:bidi="ar-SA"/>
        </w:rPr>
        <w:t>加快智慧燃气建设；累计完成520套智能监测设备，33辆瓶装气配送小黄车加装北斗定位等，完成了燃气信息化监管平台数据对接，初步推进了全市燃气安全监管“一张网、一张图”，实现对液化气厂站、管网24小时全时段监控。</w:t>
      </w:r>
    </w:p>
    <w:p w14:paraId="11B80E8E">
      <w:pPr>
        <w:pStyle w:val="15"/>
        <w:keepNext w:val="0"/>
        <w:keepLines w:val="0"/>
        <w:pageBreakBefore w:val="0"/>
        <w:widowControl w:val="0"/>
        <w:spacing w:line="600" w:lineRule="exact"/>
        <w:ind w:left="0" w:right="0" w:firstLine="640"/>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sz w:val="32"/>
          <w:szCs w:val="32"/>
          <w:lang w:val="en-US" w:eastAsia="zh-CN" w:bidi="ar-SA"/>
        </w:rPr>
        <w:fldChar w:fldCharType="begin"/>
      </w:r>
      <w:r>
        <w:rPr>
          <w:rFonts w:hint="default" w:ascii="Times New Roman" w:hAnsi="Times New Roman" w:eastAsia="仿宋_GB2312" w:cs="Times New Roman"/>
          <w:sz w:val="32"/>
          <w:szCs w:val="32"/>
          <w:lang w:val="en-US" w:eastAsia="zh-CN" w:bidi="ar-SA"/>
        </w:rPr>
        <w:instrText xml:space="preserve"> = 3 \* GB3 \* MERGEFORMAT </w:instrText>
      </w:r>
      <w:r>
        <w:rPr>
          <w:rFonts w:hint="default" w:ascii="Times New Roman" w:hAnsi="Times New Roman" w:eastAsia="仿宋_GB2312" w:cs="Times New Roman"/>
          <w:sz w:val="32"/>
          <w:szCs w:val="32"/>
          <w:lang w:val="en-US" w:eastAsia="zh-CN" w:bidi="ar-SA"/>
        </w:rPr>
        <w:fldChar w:fldCharType="separate"/>
      </w:r>
      <w:r>
        <w:rPr>
          <w:rFonts w:hint="default" w:ascii="Times New Roman" w:hAnsi="Times New Roman" w:eastAsia="仿宋_GB2312" w:cs="Times New Roman"/>
          <w:sz w:val="32"/>
          <w:szCs w:val="32"/>
        </w:rPr>
        <w:t>③</w:t>
      </w:r>
      <w:r>
        <w:rPr>
          <w:rFonts w:hint="default" w:ascii="Times New Roman" w:hAnsi="Times New Roman" w:eastAsia="仿宋_GB2312" w:cs="Times New Roman"/>
          <w:sz w:val="32"/>
          <w:szCs w:val="32"/>
          <w:lang w:val="en-US" w:eastAsia="zh-CN" w:bidi="ar-SA"/>
        </w:rPr>
        <w:fldChar w:fldCharType="end"/>
      </w:r>
      <w:r>
        <w:rPr>
          <w:rFonts w:hint="default" w:ascii="Times New Roman" w:hAnsi="Times New Roman" w:eastAsia="仿宋_GB2312" w:cs="Times New Roman"/>
          <w:sz w:val="32"/>
          <w:szCs w:val="32"/>
          <w:lang w:val="en-US" w:eastAsia="zh-CN" w:bidi="ar-SA"/>
        </w:rPr>
        <w:t>推进液化石油气企业关停整合。按照市场主导、企业自发的原则，对存在安全隐患的液化气企业一律实行关停，鼓励瓶装液化石油气经营企业整合，形成集中统一配送和入户安检服务。目前，全市56家液化气站已关停12家，中心城区5家液化气站已整合成两户，并配备送气工30余人，有力保障燃气市场的规范化和钢瓶的可溯性。</w:t>
      </w:r>
    </w:p>
    <w:p w14:paraId="4BE17CFA">
      <w:pPr>
        <w:keepNext w:val="0"/>
        <w:keepLines w:val="0"/>
        <w:pageBreakBefore w:val="0"/>
        <w:widowControl w:val="0"/>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（3）满意度指标完成情况分析</w:t>
      </w:r>
    </w:p>
    <w:p w14:paraId="715CA1D2">
      <w:pPr>
        <w:keepNext w:val="0"/>
        <w:keepLines w:val="0"/>
        <w:pageBreakBefore w:val="0"/>
        <w:widowControl w:val="0"/>
        <w:spacing w:line="600" w:lineRule="exact"/>
        <w:ind w:left="0" w:right="0" w:firstLine="640"/>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rPr>
        <w:t>服务对象满意度</w:t>
      </w:r>
      <w:r>
        <w:rPr>
          <w:rFonts w:hint="default" w:ascii="Times New Roman" w:hAnsi="Times New Roman" w:eastAsia="仿宋_GB2312" w:cs="Times New Roman"/>
          <w:bCs/>
          <w:sz w:val="32"/>
          <w:szCs w:val="32"/>
          <w:lang w:val="en-US" w:eastAsia="zh-CN"/>
        </w:rPr>
        <w:t>,调查问卷满意度100%</w:t>
      </w:r>
    </w:p>
    <w:p w14:paraId="0B9979ED">
      <w:pPr>
        <w:keepNext w:val="0"/>
        <w:keepLines w:val="0"/>
        <w:pageBreakBefore w:val="0"/>
        <w:widowControl w:val="0"/>
        <w:spacing w:line="600" w:lineRule="exact"/>
        <w:ind w:left="0" w:right="0" w:firstLine="64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（4）产生偏差的原因</w:t>
      </w:r>
    </w:p>
    <w:p w14:paraId="7D8DDEC3">
      <w:pPr>
        <w:keepNext w:val="0"/>
        <w:keepLines w:val="0"/>
        <w:pageBreakBefore w:val="0"/>
        <w:widowControl w:val="0"/>
        <w:spacing w:line="600" w:lineRule="exact"/>
        <w:ind w:left="0" w:right="0" w:firstLine="64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项目绩效目标设置不够科学、全面，绩效管理方法不够多</w:t>
      </w:r>
      <w:r>
        <w:rPr>
          <w:rFonts w:hint="default" w:ascii="Times New Roman" w:hAnsi="Times New Roman" w:eastAsia="仿宋_GB2312" w:cs="Times New Roman"/>
          <w:bCs/>
          <w:sz w:val="32"/>
          <w:szCs w:val="32"/>
        </w:rPr>
        <w:t>。</w:t>
      </w:r>
    </w:p>
    <w:p w14:paraId="184A1528">
      <w:pPr>
        <w:keepNext w:val="0"/>
        <w:keepLines w:val="0"/>
        <w:pageBreakBefore w:val="0"/>
        <w:widowControl w:val="0"/>
        <w:spacing w:line="600" w:lineRule="exact"/>
        <w:ind w:left="0" w:right="0" w:firstLine="643"/>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eastAsia="zh-CN"/>
        </w:rPr>
        <w:t>三、</w:t>
      </w:r>
      <w:r>
        <w:rPr>
          <w:rFonts w:hint="default" w:ascii="Times New Roman" w:hAnsi="Times New Roman" w:eastAsia="仿宋_GB2312" w:cs="Times New Roman"/>
          <w:b/>
          <w:sz w:val="32"/>
          <w:szCs w:val="32"/>
        </w:rPr>
        <w:t>下一步改进措施</w:t>
      </w:r>
    </w:p>
    <w:p w14:paraId="09ED232C">
      <w:pPr>
        <w:keepNext w:val="0"/>
        <w:keepLines w:val="0"/>
        <w:pageBreakBefore w:val="0"/>
        <w:widowControl w:val="0"/>
        <w:numPr>
          <w:ilvl w:val="0"/>
          <w:numId w:val="0"/>
        </w:numPr>
        <w:tabs>
          <w:tab w:val="center" w:pos="4153"/>
        </w:tabs>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强化预算执行，提高预算完成率。严格按项目和进度执行预算，合理安排资金支出，增强预算执行的规范性和严肃性；完善项目责任制，业务科室为项目实施责任单位，应加强与财务部门的沟通协调和项目实施，定期做好预算执行分析，及时了解预算执行差异，合理调整、纠正预算执行偏差，加快预算的执行进度，减少存量资金，切实提高预算完成率及资金使用效益。</w:t>
      </w:r>
    </w:p>
    <w:p w14:paraId="04FFFE6E">
      <w:pPr>
        <w:keepNext w:val="0"/>
        <w:keepLines w:val="0"/>
        <w:pageBreakBefore w:val="0"/>
        <w:widowControl w:val="0"/>
        <w:tabs>
          <w:tab w:val="center" w:pos="4153"/>
        </w:tabs>
        <w:spacing w:line="600" w:lineRule="exact"/>
        <w:ind w:left="0" w:right="0"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）根据年初的绩效考核指标及预算绩效目标，扎实推进相关工作，确保考核指标及预算绩效目标按时、优质完成。</w:t>
      </w:r>
    </w:p>
    <w:p w14:paraId="4F458449">
      <w:pPr>
        <w:pageBreakBefore w:val="0"/>
        <w:tabs>
          <w:tab w:val="center" w:pos="4153"/>
        </w:tabs>
        <w:spacing w:line="600" w:lineRule="exact"/>
        <w:ind w:left="0" w:right="0" w:firstLine="640"/>
        <w:rPr>
          <w:rFonts w:hint="default" w:ascii="Times New Roman" w:hAnsi="Times New Roman" w:eastAsia="仿宋_GB2312" w:cs="Times New Roman"/>
          <w:sz w:val="32"/>
          <w:szCs w:val="32"/>
        </w:rPr>
      </w:pPr>
    </w:p>
    <w:sectPr>
      <w:footerReference r:id="rId3" w:type="default"/>
      <w:pgSz w:w="11906" w:h="16838" w:orient="landscape"/>
      <w:pgMar w:top="1440" w:right="1800" w:bottom="1440" w:left="1800" w:header="851" w:footer="992" w:gutter="0"/>
      <w:pgNumType w:start="0"/>
      <w:cols w:space="425"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方正小标宋_GBK">
    <w:panose1 w:val="03000509000000000000"/>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DFFE">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6FAD7DEA">
                          <w:pPr>
                            <w:pStyle w:val="20"/>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I+m192AEAALgDAAAOAAAAAAAAAAEAIAAA&#10;AB4BAABkcnMvZTJvRG9jLnhtbFBLBQYAAAAABgAGAFkBAABoBQAAAAA=&#10;">
              <v:fill on="f" focussize="0,0"/>
              <v:stroke on="f"/>
              <v:imagedata o:title=""/>
              <o:lock v:ext="edit" aspectratio="f"/>
              <v:textbox inset="0mm,0mm,0mm,0mm" style="mso-fit-shape-to-text:t;">
                <w:txbxContent>
                  <w:p w14:paraId="6FAD7DEA">
                    <w:pPr>
                      <w:pStyle w:val="20"/>
                    </w:pPr>
                    <w:r>
                      <w:fldChar w:fldCharType="begin"/>
                    </w:r>
                    <w:r>
                      <w:instrText xml:space="preserve"> PAGE  \* MERGEFORMAT </w:instrText>
                    </w:r>
                    <w:r>
                      <w:fldChar w:fldCharType="separate"/>
                    </w:r>
                    <w:r>
                      <w:t>5</w:t>
                    </w:r>
                    <w:r>
                      <w:fldChar w:fldCharType="end"/>
                    </w:r>
                  </w:p>
                </w:txbxContent>
              </v:textbox>
            </v:shape>
          </w:pict>
        </mc:Fallback>
      </mc:AlternateContent>
    </w:r>
    <w:sdt>
      <w:sdtPr>
        <w:id w:val="1588494642"/>
        <w:showingPlcHdr/>
      </w:sdtPr>
      <w:sdtContent>
        <w:r>
          <w:t>    </w:t>
        </w:r>
      </w:sdtContent>
    </w:sdt>
  </w:p>
  <w:p w14:paraId="7A3EC0F1">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7"/>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ED2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仿宋_GB2312" w:cs="Times New Roman"/>
      <w:sz w:val="32"/>
      <w:szCs w:val="24"/>
      <w:lang w:val="en-US" w:eastAsia="zh-CN" w:bidi="ar-SA"/>
    </w:rPr>
  </w:style>
  <w:style w:type="paragraph" w:styleId="2">
    <w:name w:val="heading 1"/>
    <w:basedOn w:val="1"/>
    <w:next w:val="1"/>
    <w:link w:val="38"/>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9"/>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40"/>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41"/>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2"/>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3"/>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4"/>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5"/>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6"/>
    <w:unhideWhenUsed/>
    <w:qFormat/>
    <w:uiPriority w:val="9"/>
    <w:pPr>
      <w:keepNext/>
      <w:keepLines/>
      <w:spacing w:before="320" w:after="200"/>
      <w:outlineLvl w:val="8"/>
    </w:pPr>
    <w:rPr>
      <w:rFonts w:ascii="等线" w:hAnsi="等线" w:eastAsia="等线" w:cs="等线"/>
      <w:i/>
      <w:iCs/>
      <w:sz w:val="21"/>
      <w:szCs w:val="21"/>
    </w:rPr>
  </w:style>
  <w:style w:type="character" w:default="1" w:styleId="34">
    <w:name w:val="Default Paragraph Font"/>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472C4"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Plain Text"/>
    <w:basedOn w:val="1"/>
    <w:qFormat/>
    <w:uiPriority w:val="99"/>
    <w:rPr>
      <w:rFonts w:hAnsi="Courier New"/>
    </w:rPr>
  </w:style>
  <w:style w:type="paragraph" w:styleId="16">
    <w:name w:val="toc 8"/>
    <w:basedOn w:val="1"/>
    <w:next w:val="1"/>
    <w:unhideWhenUsed/>
    <w:qFormat/>
    <w:uiPriority w:val="39"/>
    <w:pPr>
      <w:spacing w:after="57"/>
      <w:ind w:left="1984" w:right="0" w:firstLine="0"/>
    </w:pPr>
  </w:style>
  <w:style w:type="paragraph" w:styleId="17">
    <w:name w:val="Date"/>
    <w:basedOn w:val="1"/>
    <w:next w:val="1"/>
    <w:link w:val="187"/>
    <w:semiHidden/>
    <w:unhideWhenUsed/>
    <w:qFormat/>
    <w:uiPriority w:val="99"/>
    <w:pPr>
      <w:ind w:left="100"/>
    </w:pPr>
  </w:style>
  <w:style w:type="paragraph" w:styleId="18">
    <w:name w:val="endnote text"/>
    <w:basedOn w:val="1"/>
    <w:link w:val="183"/>
    <w:semiHidden/>
    <w:unhideWhenUsed/>
    <w:qFormat/>
    <w:uiPriority w:val="99"/>
    <w:pPr>
      <w:spacing w:after="0" w:line="240" w:lineRule="auto"/>
    </w:pPr>
    <w:rPr>
      <w:sz w:val="20"/>
    </w:rPr>
  </w:style>
  <w:style w:type="paragraph" w:styleId="19">
    <w:name w:val="Balloon Text"/>
    <w:basedOn w:val="1"/>
    <w:link w:val="189"/>
    <w:semiHidden/>
    <w:unhideWhenUsed/>
    <w:qFormat/>
    <w:uiPriority w:val="99"/>
    <w:rPr>
      <w:sz w:val="18"/>
      <w:szCs w:val="18"/>
    </w:rPr>
  </w:style>
  <w:style w:type="paragraph" w:styleId="20">
    <w:name w:val="footer"/>
    <w:basedOn w:val="1"/>
    <w:link w:val="186"/>
    <w:unhideWhenUsed/>
    <w:qFormat/>
    <w:uiPriority w:val="99"/>
    <w:pPr>
      <w:tabs>
        <w:tab w:val="center" w:pos="4153"/>
        <w:tab w:val="right" w:pos="8306"/>
      </w:tabs>
      <w:jc w:val="left"/>
    </w:pPr>
    <w:rPr>
      <w:rFonts w:asciiTheme="minorHAnsi" w:hAnsiTheme="minorHAnsi" w:eastAsiaTheme="minorEastAsia" w:cstheme="minorBidi"/>
      <w:sz w:val="18"/>
      <w:szCs w:val="18"/>
    </w:rPr>
  </w:style>
  <w:style w:type="paragraph" w:styleId="21">
    <w:name w:val="header"/>
    <w:basedOn w:val="1"/>
    <w:link w:val="185"/>
    <w:unhideWhenUsed/>
    <w:qFormat/>
    <w:uiPriority w:val="99"/>
    <w:pPr>
      <w:pBdr>
        <w:bottom w:val="single" w:color="000000" w:sz="6" w:space="1"/>
      </w:pBdr>
      <w:tabs>
        <w:tab w:val="center" w:pos="4153"/>
        <w:tab w:val="right" w:pos="8306"/>
      </w:tabs>
      <w:jc w:val="center"/>
    </w:pPr>
    <w:rPr>
      <w:rFonts w:asciiTheme="minorHAnsi" w:hAnsiTheme="minorHAnsi" w:eastAsiaTheme="minorEastAsia" w:cstheme="minorBidi"/>
      <w:sz w:val="18"/>
      <w:szCs w:val="18"/>
    </w:rPr>
  </w:style>
  <w:style w:type="paragraph" w:styleId="22">
    <w:name w:val="toc 1"/>
    <w:basedOn w:val="1"/>
    <w:next w:val="1"/>
    <w:unhideWhenUsed/>
    <w:qFormat/>
    <w:uiPriority w:val="39"/>
    <w:pPr>
      <w:spacing w:after="57"/>
      <w:ind w:left="0" w:right="0" w:firstLine="0"/>
    </w:pPr>
  </w:style>
  <w:style w:type="paragraph" w:styleId="23">
    <w:name w:val="toc 4"/>
    <w:basedOn w:val="1"/>
    <w:next w:val="1"/>
    <w:unhideWhenUsed/>
    <w:qFormat/>
    <w:uiPriority w:val="39"/>
    <w:pPr>
      <w:spacing w:after="57"/>
      <w:ind w:left="850" w:right="0" w:firstLine="0"/>
    </w:pPr>
  </w:style>
  <w:style w:type="paragraph" w:styleId="24">
    <w:name w:val="Subtitle"/>
    <w:basedOn w:val="1"/>
    <w:next w:val="1"/>
    <w:link w:val="49"/>
    <w:qFormat/>
    <w:uiPriority w:val="11"/>
    <w:pPr>
      <w:spacing w:before="200" w:after="200"/>
    </w:pPr>
    <w:rPr>
      <w:sz w:val="24"/>
      <w:szCs w:val="24"/>
    </w:rPr>
  </w:style>
  <w:style w:type="paragraph" w:styleId="25">
    <w:name w:val="footnote text"/>
    <w:basedOn w:val="1"/>
    <w:link w:val="182"/>
    <w:semiHidden/>
    <w:unhideWhenUsed/>
    <w:qFormat/>
    <w:uiPriority w:val="99"/>
    <w:pPr>
      <w:spacing w:after="40" w:line="240" w:lineRule="auto"/>
    </w:pPr>
    <w:rPr>
      <w:sz w:val="18"/>
    </w:rPr>
  </w:style>
  <w:style w:type="paragraph" w:styleId="26">
    <w:name w:val="toc 6"/>
    <w:basedOn w:val="1"/>
    <w:next w:val="1"/>
    <w:unhideWhenUsed/>
    <w:qFormat/>
    <w:uiPriority w:val="39"/>
    <w:pPr>
      <w:spacing w:after="57"/>
      <w:ind w:left="1417" w:right="0" w:firstLine="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57"/>
      <w:ind w:left="283" w:right="0" w:firstLine="0"/>
    </w:pPr>
  </w:style>
  <w:style w:type="paragraph" w:styleId="29">
    <w:name w:val="toc 9"/>
    <w:basedOn w:val="1"/>
    <w:next w:val="1"/>
    <w:unhideWhenUsed/>
    <w:qFormat/>
    <w:uiPriority w:val="39"/>
    <w:pPr>
      <w:spacing w:after="57"/>
      <w:ind w:left="2268" w:right="0" w:firstLine="0"/>
    </w:pPr>
  </w:style>
  <w:style w:type="paragraph" w:styleId="30">
    <w:name w:val="Normal (Web)"/>
    <w:basedOn w:val="1"/>
    <w:qFormat/>
    <w:uiPriority w:val="0"/>
    <w:pPr>
      <w:spacing w:before="0" w:beforeAutospacing="1" w:after="0" w:afterAutospacing="1"/>
      <w:ind w:left="0" w:right="0"/>
      <w:jc w:val="left"/>
    </w:pPr>
    <w:rPr>
      <w:sz w:val="24"/>
      <w:lang w:val="en-US" w:eastAsia="zh-CN" w:bidi="ar"/>
    </w:rPr>
  </w:style>
  <w:style w:type="paragraph" w:styleId="31">
    <w:name w:val="Title"/>
    <w:basedOn w:val="1"/>
    <w:next w:val="1"/>
    <w:link w:val="48"/>
    <w:qFormat/>
    <w:uiPriority w:val="10"/>
    <w:pPr>
      <w:spacing w:before="300" w:after="200"/>
      <w:contextualSpacing/>
    </w:pPr>
    <w:rPr>
      <w:sz w:val="48"/>
      <w:szCs w:val="48"/>
    </w:rPr>
  </w:style>
  <w:style w:type="table" w:styleId="33">
    <w:name w:val="Table Grid"/>
    <w:basedOn w:val="3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5">
    <w:name w:val="endnote reference"/>
    <w:basedOn w:val="34"/>
    <w:semiHidden/>
    <w:unhideWhenUsed/>
    <w:qFormat/>
    <w:uiPriority w:val="99"/>
    <w:rPr>
      <w:vertAlign w:val="superscript"/>
    </w:rPr>
  </w:style>
  <w:style w:type="character" w:styleId="36">
    <w:name w:val="Hyperlink"/>
    <w:unhideWhenUsed/>
    <w:qFormat/>
    <w:uiPriority w:val="99"/>
    <w:rPr>
      <w:color w:val="0563C1" w:themeColor="hyperlink"/>
      <w:u w:val="single"/>
      <w14:textFill>
        <w14:solidFill>
          <w14:schemeClr w14:val="hlink"/>
        </w14:solidFill>
      </w14:textFill>
    </w:rPr>
  </w:style>
  <w:style w:type="character" w:styleId="37">
    <w:name w:val="footnote reference"/>
    <w:basedOn w:val="34"/>
    <w:unhideWhenUsed/>
    <w:qFormat/>
    <w:uiPriority w:val="99"/>
    <w:rPr>
      <w:vertAlign w:val="superscript"/>
    </w:rPr>
  </w:style>
  <w:style w:type="character" w:customStyle="1" w:styleId="38">
    <w:name w:val="Heading 1 Char"/>
    <w:basedOn w:val="34"/>
    <w:link w:val="2"/>
    <w:qFormat/>
    <w:uiPriority w:val="9"/>
    <w:rPr>
      <w:rFonts w:ascii="等线" w:hAnsi="等线" w:eastAsia="等线" w:cs="等线"/>
      <w:sz w:val="40"/>
      <w:szCs w:val="40"/>
    </w:rPr>
  </w:style>
  <w:style w:type="character" w:customStyle="1" w:styleId="39">
    <w:name w:val="Heading 2 Char"/>
    <w:basedOn w:val="34"/>
    <w:link w:val="3"/>
    <w:uiPriority w:val="9"/>
    <w:rPr>
      <w:rFonts w:ascii="等线" w:hAnsi="等线" w:eastAsia="等线" w:cs="等线"/>
      <w:sz w:val="34"/>
    </w:rPr>
  </w:style>
  <w:style w:type="character" w:customStyle="1" w:styleId="40">
    <w:name w:val="Heading 3 Char"/>
    <w:basedOn w:val="34"/>
    <w:link w:val="4"/>
    <w:uiPriority w:val="9"/>
    <w:rPr>
      <w:rFonts w:ascii="等线" w:hAnsi="等线" w:eastAsia="等线" w:cs="等线"/>
      <w:sz w:val="30"/>
      <w:szCs w:val="30"/>
    </w:rPr>
  </w:style>
  <w:style w:type="character" w:customStyle="1" w:styleId="41">
    <w:name w:val="Heading 4 Char"/>
    <w:basedOn w:val="34"/>
    <w:link w:val="5"/>
    <w:uiPriority w:val="9"/>
    <w:rPr>
      <w:rFonts w:ascii="等线" w:hAnsi="等线" w:eastAsia="等线" w:cs="等线"/>
      <w:b/>
      <w:bCs/>
      <w:sz w:val="26"/>
      <w:szCs w:val="26"/>
    </w:rPr>
  </w:style>
  <w:style w:type="character" w:customStyle="1" w:styleId="42">
    <w:name w:val="Heading 5 Char"/>
    <w:basedOn w:val="34"/>
    <w:link w:val="6"/>
    <w:uiPriority w:val="9"/>
    <w:rPr>
      <w:rFonts w:ascii="等线" w:hAnsi="等线" w:eastAsia="等线" w:cs="等线"/>
      <w:b/>
      <w:bCs/>
      <w:sz w:val="24"/>
      <w:szCs w:val="24"/>
    </w:rPr>
  </w:style>
  <w:style w:type="character" w:customStyle="1" w:styleId="43">
    <w:name w:val="Heading 6 Char"/>
    <w:basedOn w:val="34"/>
    <w:link w:val="7"/>
    <w:uiPriority w:val="9"/>
    <w:rPr>
      <w:rFonts w:ascii="等线" w:hAnsi="等线" w:eastAsia="等线" w:cs="等线"/>
      <w:b/>
      <w:bCs/>
      <w:sz w:val="22"/>
      <w:szCs w:val="22"/>
    </w:rPr>
  </w:style>
  <w:style w:type="character" w:customStyle="1" w:styleId="44">
    <w:name w:val="Heading 7 Char"/>
    <w:basedOn w:val="34"/>
    <w:link w:val="8"/>
    <w:uiPriority w:val="9"/>
    <w:rPr>
      <w:rFonts w:ascii="等线" w:hAnsi="等线" w:eastAsia="等线" w:cs="等线"/>
      <w:b/>
      <w:bCs/>
      <w:i/>
      <w:iCs/>
      <w:sz w:val="22"/>
      <w:szCs w:val="22"/>
    </w:rPr>
  </w:style>
  <w:style w:type="character" w:customStyle="1" w:styleId="45">
    <w:name w:val="Heading 8 Char"/>
    <w:basedOn w:val="34"/>
    <w:link w:val="9"/>
    <w:uiPriority w:val="9"/>
    <w:rPr>
      <w:rFonts w:ascii="等线" w:hAnsi="等线" w:eastAsia="等线" w:cs="等线"/>
      <w:i/>
      <w:iCs/>
      <w:sz w:val="22"/>
      <w:szCs w:val="22"/>
    </w:rPr>
  </w:style>
  <w:style w:type="character" w:customStyle="1" w:styleId="46">
    <w:name w:val="Heading 9 Char"/>
    <w:basedOn w:val="34"/>
    <w:link w:val="10"/>
    <w:uiPriority w:val="9"/>
    <w:rPr>
      <w:rFonts w:ascii="等线" w:hAnsi="等线" w:eastAsia="等线" w:cs="等线"/>
      <w:i/>
      <w:iCs/>
      <w:sz w:val="21"/>
      <w:szCs w:val="21"/>
    </w:rPr>
  </w:style>
  <w:style w:type="paragraph" w:styleId="47">
    <w:name w:val="No Spacing"/>
    <w:qFormat/>
    <w:uiPriority w:val="1"/>
    <w:pPr>
      <w:spacing w:before="0" w:after="0" w:line="240" w:lineRule="auto"/>
    </w:pPr>
    <w:rPr>
      <w:rFonts w:hint="default" w:ascii="Times New Roman" w:hAnsi="Times New Roman" w:eastAsia="宋体" w:cs="Times New Roman"/>
    </w:rPr>
  </w:style>
  <w:style w:type="character" w:customStyle="1" w:styleId="48">
    <w:name w:val="Title Char"/>
    <w:basedOn w:val="34"/>
    <w:link w:val="31"/>
    <w:uiPriority w:val="10"/>
    <w:rPr>
      <w:sz w:val="48"/>
      <w:szCs w:val="48"/>
    </w:rPr>
  </w:style>
  <w:style w:type="character" w:customStyle="1" w:styleId="49">
    <w:name w:val="Subtitle Char"/>
    <w:basedOn w:val="34"/>
    <w:link w:val="24"/>
    <w:uiPriority w:val="11"/>
    <w:rPr>
      <w:sz w:val="24"/>
      <w:szCs w:val="24"/>
    </w:rPr>
  </w:style>
  <w:style w:type="paragraph" w:styleId="50">
    <w:name w:val="Quote"/>
    <w:basedOn w:val="1"/>
    <w:next w:val="1"/>
    <w:link w:val="51"/>
    <w:qFormat/>
    <w:uiPriority w:val="29"/>
    <w:pPr>
      <w:ind w:left="720" w:right="720"/>
    </w:pPr>
    <w:rPr>
      <w:i/>
    </w:rPr>
  </w:style>
  <w:style w:type="character" w:customStyle="1" w:styleId="51">
    <w:name w:val="Quote Char"/>
    <w:link w:val="50"/>
    <w:uiPriority w:val="29"/>
    <w:rPr>
      <w:i/>
    </w:rPr>
  </w:style>
  <w:style w:type="paragraph" w:styleId="52">
    <w:name w:val="Intense Quote"/>
    <w:basedOn w:val="1"/>
    <w:next w:val="1"/>
    <w:link w:val="5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3">
    <w:name w:val="Intense Quote Char"/>
    <w:link w:val="52"/>
    <w:uiPriority w:val="30"/>
    <w:rPr>
      <w:i/>
    </w:rPr>
  </w:style>
  <w:style w:type="character" w:customStyle="1" w:styleId="54">
    <w:name w:val="Header Char"/>
    <w:basedOn w:val="34"/>
    <w:uiPriority w:val="99"/>
  </w:style>
  <w:style w:type="character" w:customStyle="1" w:styleId="55">
    <w:name w:val="Footer Char"/>
    <w:basedOn w:val="34"/>
    <w:uiPriority w:val="99"/>
  </w:style>
  <w:style w:type="character" w:customStyle="1" w:styleId="56">
    <w:name w:val="Caption Char"/>
    <w:qFormat/>
    <w:uiPriority w:val="99"/>
  </w:style>
  <w:style w:type="table" w:customStyle="1" w:styleId="57">
    <w:name w:val="Table Grid Light"/>
    <w:basedOn w:val="3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2"/>
    <w:basedOn w:val="3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3"/>
    <w:basedOn w:val="32"/>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4"/>
    <w:basedOn w:val="32"/>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Plain Table 5"/>
    <w:basedOn w:val="32"/>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1"/>
    <w:basedOn w:val="32"/>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blPr/>
      <w:tcPr>
        <w:tcBorders>
          <w:bottom w:val="single" w:color="91ACDC"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2"/>
    <w:basedOn w:val="3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38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3"/>
    <w:basedOn w:val="3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4"/>
    <w:basedOn w:val="3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blPr/>
      <w:tcPr>
        <w:tcBorders>
          <w:bottom w:val="single" w:color="FFDA69"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5"/>
    <w:basedOn w:val="32"/>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blPr/>
      <w:tcPr>
        <w:tcBorders>
          <w:bottom w:val="single" w:color="9FC4E6"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1 Light - Accent 6"/>
    <w:basedOn w:val="32"/>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1"/>
    <w:basedOn w:val="32"/>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il"/>
          <w:left w:val="nil"/>
          <w:bottom w:val="single" w:color="537DC8" w:themeColor="accent1" w:themeTint="EA" w:sz="12" w:space="0"/>
          <w:right w:val="nil"/>
        </w:tcBorders>
        <w:shd w:val="clear" w:color="FFFFFF" w:fill="auto"/>
      </w:tcPr>
    </w:tblStylePr>
    <w:tblStylePr w:type="lastRow">
      <w:rPr>
        <w:b/>
        <w:color w:val="404040"/>
      </w:rPr>
      <w:tblPr/>
      <w:tcPr>
        <w:tcBorders>
          <w:top w:val="single" w:color="537DC8"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8E2F2" w:themeColor="accent1" w:themeTint="34" w:fill="D8E2F2" w:themeFill="accent1" w:themeFillTint="34"/>
      </w:tcPr>
    </w:tblStylePr>
    <w:tblStylePr w:type="band2Vert">
      <w:tblPr/>
    </w:tblStylePr>
    <w:tblStylePr w:type="band1Horz">
      <w:rPr>
        <w:rFonts w:ascii="Arial" w:hAnsi="Arial"/>
        <w:color w:val="404040"/>
        <w:sz w:val="22"/>
      </w:rPr>
      <w:tblPr/>
      <w:tcPr>
        <w:shd w:val="clear" w:color="D8E2F2" w:themeColor="accent1" w:themeTint="34" w:fill="D8E2F2"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2"/>
    <w:basedOn w:val="3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single" w:color="F4B285" w:themeColor="accent2" w:themeTint="97" w:sz="12" w:space="0"/>
          <w:right w:val="nil"/>
        </w:tcBorders>
        <w:shd w:val="clear" w:color="FFFFFF" w:fill="auto"/>
      </w:tcPr>
    </w:tblStylePr>
    <w:tblStylePr w:type="lastRow">
      <w:rPr>
        <w:b/>
        <w:color w:val="404040"/>
      </w:rPr>
      <w:tblPr/>
      <w:tcPr>
        <w:tcBorders>
          <w:top w:val="single" w:color="F4B28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3"/>
    <w:basedOn w:val="3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single" w:color="A5A5A5" w:themeColor="accent3" w:themeTint="FE" w:sz="12" w:space="0"/>
          <w:right w:val="nil"/>
        </w:tcBorders>
        <w:shd w:val="clear" w:color="FFFFFF" w:fill="auto"/>
      </w:tcPr>
    </w:tblStylePr>
    <w:tblStylePr w:type="lastRow">
      <w:rPr>
        <w:b/>
        <w:color w:val="404040"/>
      </w:rPr>
      <w:tblPr/>
      <w:tcPr>
        <w:tcBorders>
          <w:top w:val="single" w:color="A5A5A5"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4"/>
    <w:basedOn w:val="3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single" w:color="FFD864" w:themeColor="accent4" w:themeTint="9A" w:sz="12" w:space="0"/>
          <w:right w:val="nil"/>
        </w:tcBorders>
        <w:shd w:val="clear" w:color="FFFFFF" w:fill="auto"/>
      </w:tcPr>
    </w:tblStylePr>
    <w:tblStylePr w:type="lastRow">
      <w:rPr>
        <w:b/>
        <w:color w:val="404040"/>
      </w:rPr>
      <w:tblPr/>
      <w:tcPr>
        <w:tcBorders>
          <w:top w:val="single" w:color="FFD864"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5"/>
    <w:basedOn w:val="32"/>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il"/>
          <w:left w:val="nil"/>
          <w:bottom w:val="single" w:color="5B9BD5" w:themeColor="accent5" w:sz="12" w:space="0"/>
          <w:right w:val="nil"/>
        </w:tcBorders>
        <w:shd w:val="clear" w:color="FFFFFF" w:fill="auto"/>
      </w:tcPr>
    </w:tblStylePr>
    <w:tblStylePr w:type="lastRow">
      <w:rPr>
        <w:b/>
        <w:color w:val="404040"/>
      </w:rPr>
      <w:tblPr/>
      <w:tcPr>
        <w:tcBorders>
          <w:top w:val="single" w:color="5B9BD5"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2 - Accent 6"/>
    <w:basedOn w:val="32"/>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single" w:color="70AD47" w:themeColor="accent6" w:sz="12" w:space="0"/>
          <w:right w:val="nil"/>
        </w:tcBorders>
        <w:shd w:val="clear" w:color="FFFFFF" w:fill="auto"/>
      </w:tcPr>
    </w:tblStylePr>
    <w:tblStylePr w:type="lastRow">
      <w:rPr>
        <w:b/>
        <w:color w:val="404040"/>
      </w:rPr>
      <w:tblPr/>
      <w:tcPr>
        <w:tcBorders>
          <w:top w:val="single" w:color="70AD47"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1"/>
    <w:basedOn w:val="32"/>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themeColor="accent1" w:themeTint="34" w:fill="D8E2F2" w:themeFill="accent1" w:themeFillTint="34"/>
      </w:tcPr>
    </w:tblStylePr>
    <w:tblStylePr w:type="band2Vert">
      <w:tblPr/>
    </w:tblStylePr>
    <w:tblStylePr w:type="band1Horz">
      <w:rPr>
        <w:rFonts w:ascii="Arial" w:hAnsi="Arial"/>
        <w:color w:val="404040"/>
        <w:sz w:val="22"/>
      </w:rPr>
      <w:tblPr/>
      <w:tcPr>
        <w:shd w:val="clear" w:color="D8E2F2" w:themeColor="accent1" w:themeTint="34" w:fill="D8E2F2"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2"/>
    <w:basedOn w:val="3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3"/>
    <w:basedOn w:val="3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4"/>
    <w:basedOn w:val="3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5"/>
    <w:basedOn w:val="32"/>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3 - Accent 6"/>
    <w:basedOn w:val="32"/>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w:basedOn w:val="32"/>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1"/>
    <w:basedOn w:val="32"/>
    <w:uiPriority w:val="5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bl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blPr/>
      <w:tcPr>
        <w:tcBorders>
          <w:top w:val="single" w:color="537DC8"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3F3" w:themeColor="accent1" w:themeTint="32" w:fill="DAE3F3" w:themeFill="accent1" w:themeFillTint="32"/>
      </w:tcPr>
    </w:tblStylePr>
    <w:tblStylePr w:type="band2Vert">
      <w:tblPr/>
    </w:tblStylePr>
    <w:tblStylePr w:type="band1Horz">
      <w:rPr>
        <w:rFonts w:ascii="Arial" w:hAnsi="Arial"/>
        <w:color w:val="404040"/>
        <w:sz w:val="22"/>
      </w:rPr>
      <w:tblPr/>
      <w:tcPr>
        <w:shd w:val="clear" w:color="DAE3F3" w:themeColor="accent1" w:themeTint="32" w:fill="DAE3F3"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2"/>
    <w:basedOn w:val="32"/>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bl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blPr/>
      <w:tcPr>
        <w:tcBorders>
          <w:top w:val="single" w:color="F4B28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3"/>
    <w:basedOn w:val="32"/>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bl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blPr/>
      <w:tcPr>
        <w:tcBorders>
          <w:top w:val="single" w:color="A5A5A5"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4"/>
    <w:basedOn w:val="32"/>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bl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blPr/>
      <w:tcPr>
        <w:tcBorders>
          <w:top w:val="single" w:color="FFD864"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5"/>
    <w:basedOn w:val="32"/>
    <w:uiPriority w:val="5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blPr/>
      <w:tcPr>
        <w:tcBorders>
          <w:top w:val="single" w:color="5B9BD5"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4 - Accent 6"/>
    <w:basedOn w:val="32"/>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Accent 1"/>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3" w:themeColor="accent1" w:themeTint="75" w:fill="A9BEE3" w:themeFill="accent1" w:themeFillTint="75"/>
      </w:tcPr>
    </w:tblStylePr>
    <w:tblStylePr w:type="band2Vert">
      <w:tblPr/>
    </w:tblStylePr>
    <w:tblStylePr w:type="band1Horz">
      <w:tblPr/>
      <w:tcPr>
        <w:shd w:val="clear" w:color="A9BEE3" w:themeColor="accent1" w:themeTint="75" w:fill="A9BEE3"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2"/>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2Vert">
      <w:tblPr/>
    </w:tblStylePr>
    <w:tblStylePr w:type="band1Horz">
      <w:tblPr/>
      <w:tcPr>
        <w:shd w:val="clear" w:color="F6C3A0" w:themeColor="accent2" w:themeTint="75" w:fill="F6C3A0"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3"/>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2Vert">
      <w:tblPr/>
    </w:tblStylePr>
    <w:tblStylePr w:type="band1Horz">
      <w:tblPr/>
      <w:tcPr>
        <w:shd w:val="clear" w:color="D5D5D5" w:themeColor="accent3" w:themeTint="75" w:fill="D5D5D5"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Accent 4"/>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EE289" w:themeColor="accent4" w:themeTint="75" w:fill="FEE289" w:themeFill="accent4" w:themeFillTint="75"/>
      </w:tcPr>
    </w:tblStylePr>
    <w:tblStylePr w:type="band2Vert">
      <w:tblPr/>
    </w:tblStylePr>
    <w:tblStylePr w:type="band1Horz">
      <w:tblPr/>
      <w:tcPr>
        <w:shd w:val="clear" w:color="FEE289" w:themeColor="accent4" w:themeTint="75" w:fill="FEE289"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5"/>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1EB" w:themeColor="accent5" w:themeTint="75" w:fill="B3D1EB" w:themeFill="accent5" w:themeFillTint="75"/>
      </w:tcPr>
    </w:tblStylePr>
    <w:tblStylePr w:type="band2Vert">
      <w:tblPr/>
    </w:tblStylePr>
    <w:tblStylePr w:type="band1Horz">
      <w:tblPr/>
      <w:tcPr>
        <w:shd w:val="clear" w:color="B3D1EB" w:themeColor="accent5" w:themeTint="75" w:fill="B3D1EB"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5 Dark - Accent 6"/>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2Vert">
      <w:tblPr/>
    </w:tblStylePr>
    <w:tblStylePr w:type="band1Horz">
      <w:tblPr/>
      <w:tcPr>
        <w:shd w:val="clear" w:color="BCDBA8" w:themeColor="accent6" w:themeTint="75" w:fill="BCDBA8"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6 Colorful"/>
    <w:basedOn w:val="32"/>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1"/>
    <w:basedOn w:val="32"/>
    <w:uiPriority w:val="99"/>
    <w:pPr>
      <w:spacing w:after="0" w:line="240" w:lineRule="auto"/>
    </w:pPr>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bl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Pr/>
    </w:tblStylePr>
    <w:tblStylePr w:type="firstCol">
      <w:rPr>
        <w:b/>
        <w:color w:val="A2B9E2" w:themeColor="accent1" w:themeTint="80"/>
        <w14:textFill>
          <w14:solidFill>
            <w14:schemeClr w14:val="accent1">
              <w14:lumMod w14:val="50000"/>
              <w14:lumOff w14:val="50000"/>
            </w14:schemeClr>
          </w14:solidFill>
        </w14:textFill>
      </w:rPr>
      <w:tblPr/>
    </w:tblStylePr>
    <w:tblStylePr w:type="lastCol">
      <w:rPr>
        <w:b/>
        <w:color w:val="A2B9E2" w:themeColor="accent1" w:themeTint="80"/>
        <w14:textFill>
          <w14:solidFill>
            <w14:schemeClr w14:val="accent1">
              <w14:lumMod w14:val="50000"/>
              <w14:lumOff w14:val="50000"/>
            </w14:schemeClr>
          </w14:solidFill>
        </w14:textFill>
      </w:rPr>
      <w:tblPr/>
    </w:tblStylePr>
    <w:tblStylePr w:type="band1Vert">
      <w:tblPr/>
      <w:tcPr>
        <w:shd w:val="clear" w:color="D8E2F2" w:themeColor="accent1" w:themeTint="34" w:fill="D8E2F2" w:themeFill="accent1" w:themeFillTint="34"/>
      </w:tcPr>
    </w:tblStylePr>
    <w:tblStylePr w:type="band2Vert">
      <w:tbl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2"/>
    <w:basedOn w:val="3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Pr/>
    </w:tblStylePr>
    <w:tblStylePr w:type="firstCol">
      <w:rPr>
        <w:b/>
        <w:color w:val="F4B285" w:themeColor="accent2" w:themeTint="96"/>
        <w14:textFill>
          <w14:solidFill>
            <w14:schemeClr w14:val="accent2">
              <w14:lumMod w14:val="59000"/>
              <w14:lumOff w14:val="41000"/>
            </w14:schemeClr>
          </w14:solidFill>
        </w14:textFill>
      </w:rPr>
      <w:tblPr/>
    </w:tblStylePr>
    <w:tblStylePr w:type="lastCol">
      <w:rPr>
        <w:b/>
        <w:color w:val="F4B285" w:themeColor="accent2" w:themeTint="96"/>
        <w14:textFill>
          <w14:solidFill>
            <w14:schemeClr w14:val="accent2">
              <w14:lumMod w14:val="59000"/>
              <w14:lumOff w14:val="41000"/>
            </w14:schemeClr>
          </w14:solidFill>
        </w14:textFill>
      </w:rPr>
      <w:tbl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3"/>
    <w:basedOn w:val="32"/>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bl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Pr/>
    </w:tblStylePr>
    <w:tblStylePr w:type="firstCol">
      <w:rPr>
        <w:b/>
        <w:color w:val="A5A5A5" w:themeColor="accent3" w:themeTint="FF"/>
        <w14:textFill>
          <w14:solidFill>
            <w14:schemeClr w14:val="accent3">
              <w14:lumMod w14:val="100000"/>
              <w14:lumOff w14:val="0"/>
            </w14:schemeClr>
          </w14:solidFill>
        </w14:textFill>
      </w:rPr>
      <w:tblPr/>
    </w:tblStylePr>
    <w:tblStylePr w:type="lastCol">
      <w:rPr>
        <w:b/>
        <w:color w:val="A5A5A5" w:themeColor="accent3" w:themeTint="FF"/>
        <w14:textFill>
          <w14:solidFill>
            <w14:schemeClr w14:val="accent3">
              <w14:lumMod w14:val="100000"/>
              <w14:lumOff w14:val="0"/>
            </w14:schemeClr>
          </w14:solidFill>
        </w14:textFill>
      </w:rPr>
      <w:tbl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4"/>
    <w:basedOn w:val="3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Pr/>
    </w:tblStylePr>
    <w:tblStylePr w:type="firstCol">
      <w:rPr>
        <w:b/>
        <w:color w:val="FFD966" w:themeColor="accent4" w:themeTint="99"/>
        <w14:textFill>
          <w14:solidFill>
            <w14:schemeClr w14:val="accent4">
              <w14:lumMod w14:val="60000"/>
              <w14:lumOff w14:val="40000"/>
            </w14:schemeClr>
          </w14:solidFill>
        </w14:textFill>
      </w:rPr>
      <w:tblPr/>
    </w:tblStylePr>
    <w:tblStylePr w:type="lastCol">
      <w:rPr>
        <w:b/>
        <w:color w:val="FFD966" w:themeColor="accent4" w:themeTint="99"/>
        <w14:textFill>
          <w14:solidFill>
            <w14:schemeClr w14:val="accent4">
              <w14:lumMod w14:val="60000"/>
              <w14:lumOff w14:val="40000"/>
            </w14:schemeClr>
          </w14:solidFill>
        </w14:textFill>
      </w:rPr>
      <w:tbl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5"/>
    <w:basedOn w:val="32"/>
    <w:uiPriority w:val="99"/>
    <w:pPr>
      <w:spacing w:after="0" w:line="240" w:lineRule="auto"/>
    </w:pPr>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blPr/>
      <w:tcPr>
        <w:tcBorders>
          <w:bottom w:val="single" w:color="5B9BD5" w:themeColor="accent5" w:sz="12" w:space="0"/>
        </w:tcBorders>
      </w:tcPr>
    </w:tblStylePr>
    <w:tblStylePr w:type="lastRow">
      <w:rPr>
        <w:b/>
        <w:color w:val="245B8C" w:themeColor="accent5" w:themeShade="94"/>
      </w:rPr>
      <w:tblPr/>
    </w:tblStylePr>
    <w:tblStylePr w:type="firstCol">
      <w:rPr>
        <w:b/>
        <w:color w:val="245B8C" w:themeColor="accent5" w:themeShade="94"/>
      </w:rPr>
      <w:tblPr/>
    </w:tblStylePr>
    <w:tblStylePr w:type="lastCol">
      <w:rPr>
        <w:b/>
        <w:color w:val="245B8C" w:themeColor="accent5" w:themeShade="94"/>
      </w:rPr>
      <w:tblPr/>
    </w:tblStylePr>
    <w:tblStylePr w:type="band1Vert">
      <w:tblPr/>
      <w:tcPr>
        <w:shd w:val="clear" w:color="DDEAF6" w:themeColor="accent5" w:themeTint="34" w:fill="DDEAF6" w:themeFill="accent5" w:themeFillTint="34"/>
      </w:tcPr>
    </w:tblStylePr>
    <w:tblStylePr w:type="band2Vert">
      <w:tblPr/>
    </w:tblStylePr>
    <w:tblStylePr w:type="band1Horz">
      <w:rPr>
        <w:rFonts w:ascii="Arial" w:hAnsi="Arial"/>
        <w:color w:val="245B8C" w:themeColor="accent5" w:themeShade="94"/>
        <w:sz w:val="22"/>
      </w:rPr>
      <w:tblPr/>
      <w:tcPr>
        <w:shd w:val="clear" w:color="DDEAF6" w:themeColor="accent5" w:themeTint="34" w:fill="DDEAF6" w:themeFill="accent5" w:themeFillTint="34"/>
      </w:tcPr>
    </w:tblStylePr>
    <w:tblStylePr w:type="band2Horz">
      <w:rPr>
        <w:rFonts w:ascii="Arial" w:hAnsi="Arial"/>
        <w:color w:val="245B8C"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6 Colorful - Accent 6"/>
    <w:basedOn w:val="32"/>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blPr/>
      <w:tcPr>
        <w:tcBorders>
          <w:bottom w:val="single" w:color="70AD47" w:themeColor="accent6" w:sz="12" w:space="0"/>
        </w:tcBorders>
      </w:tcPr>
    </w:tblStylePr>
    <w:tblStylePr w:type="lastRow">
      <w:rPr>
        <w:b/>
        <w:color w:val="245B8C" w:themeColor="accent5" w:themeShade="94"/>
      </w:rPr>
      <w:tblPr/>
    </w:tblStylePr>
    <w:tblStylePr w:type="firstCol">
      <w:rPr>
        <w:b/>
        <w:color w:val="245B8C" w:themeColor="accent5" w:themeShade="94"/>
      </w:rPr>
      <w:tblPr/>
    </w:tblStylePr>
    <w:tblStylePr w:type="lastCol">
      <w:rPr>
        <w:b/>
        <w:color w:val="245B8C" w:themeColor="accent5" w:themeShade="94"/>
      </w:rPr>
      <w:tbl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245B8C" w:themeColor="accent5" w:themeShade="94"/>
        <w:sz w:val="22"/>
      </w:rPr>
      <w:tblPr/>
      <w:tcPr>
        <w:shd w:val="clear" w:color="E1EFD8" w:themeColor="accent6" w:themeTint="34" w:fill="E1EFD8" w:themeFill="accent6" w:themeFillTint="34"/>
      </w:tcPr>
    </w:tblStylePr>
    <w:tblStylePr w:type="band2Horz">
      <w:rPr>
        <w:rFonts w:ascii="Arial" w:hAnsi="Arial"/>
        <w:color w:val="245B8C"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w:basedOn w:val="32"/>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1"/>
    <w:basedOn w:val="32"/>
    <w:uiPriority w:val="99"/>
    <w:pPr>
      <w:spacing w:after="0" w:line="240" w:lineRule="auto"/>
    </w:pPr>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bl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bl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single" w:color="A1B8E1" w:themeColor="accent1" w:themeTint="80" w:sz="4" w:space="0"/>
          <w:bottom w:val="nil"/>
          <w:right w:val="nil"/>
        </w:tcBorders>
        <w:shd w:val="clear" w:color="FFFFFF" w:fill="auto"/>
      </w:tcPr>
    </w:tblStylePr>
    <w:tblStylePr w:type="band1Vert">
      <w:tblPr/>
      <w:tcPr>
        <w:shd w:val="clear" w:color="D8E2F2" w:themeColor="accent1" w:themeTint="34" w:fill="D8E2F2" w:themeFill="accent1" w:themeFillTint="34"/>
      </w:tcPr>
    </w:tblStylePr>
    <w:tblStylePr w:type="band2Vert">
      <w:tbl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2"/>
    <w:basedOn w:val="32"/>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color="F4B285" w:themeColor="accent2" w:themeTint="97" w:sz="4" w:space="0"/>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3"/>
    <w:basedOn w:val="32"/>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bl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bl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bl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blPr/>
      <w:tcPr>
        <w:tcBorders>
          <w:top w:val="nil"/>
          <w:left w:val="single" w:color="A5A5A5" w:themeColor="accent3" w:themeTint="FE" w:sz="4" w:space="0"/>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4"/>
    <w:basedOn w:val="32"/>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color="FFD864" w:themeColor="accent4" w:themeTint="9A" w:sz="4" w:space="0"/>
          <w:bottom w:val="nil"/>
          <w:right w:val="nil"/>
        </w:tcBorders>
        <w:shd w:val="clear" w:color="FFFFFF" w:fill="auto"/>
      </w:tc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5"/>
    <w:basedOn w:val="32"/>
    <w:uiPriority w:val="99"/>
    <w:pPr>
      <w:spacing w:after="0" w:line="240" w:lineRule="auto"/>
    </w:pPr>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bl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bl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bl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blPr/>
      <w:tcPr>
        <w:tcBorders>
          <w:top w:val="nil"/>
          <w:left w:val="single" w:color="A2C6E7" w:themeColor="accent5" w:themeTint="90" w:sz="4" w:space="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2Vert">
      <w:tblPr/>
    </w:tblStylePr>
    <w:tblStylePr w:type="band1Horz">
      <w:rPr>
        <w:rFonts w:ascii="Arial" w:hAnsi="Arial"/>
        <w:color w:val="245B8C" w:themeColor="accent5" w:themeShade="94"/>
        <w:sz w:val="22"/>
      </w:rPr>
      <w:tblPr/>
      <w:tcPr>
        <w:shd w:val="clear" w:color="DDEAF6" w:themeColor="accent5" w:themeTint="34" w:fill="DDEAF6" w:themeFill="accent5" w:themeFillTint="34"/>
      </w:tcPr>
    </w:tblStylePr>
    <w:tblStylePr w:type="band2Horz">
      <w:rPr>
        <w:rFonts w:ascii="Arial" w:hAnsi="Arial"/>
        <w:color w:val="245B8C"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1">
    <w:name w:val="Grid Table 7 Colorful - Accent 6"/>
    <w:basedOn w:val="32"/>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bl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bl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bl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blPr/>
      <w:tcPr>
        <w:tcBorders>
          <w:top w:val="nil"/>
          <w:left w:val="single" w:color="ADD394" w:themeColor="accent6" w:themeTint="90" w:sz="4" w:space="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416429" w:themeColor="accent6" w:themeShade="94"/>
        <w:sz w:val="22"/>
      </w:rPr>
      <w:tblPr/>
      <w:tcPr>
        <w:shd w:val="clear" w:color="E1EFD8" w:themeColor="accent6" w:themeTint="34" w:fill="E1EFD8" w:themeFill="accent6" w:themeFillTint="34"/>
      </w:tcPr>
    </w:tblStylePr>
    <w:tblStylePr w:type="band2Horz">
      <w:rPr>
        <w:rFonts w:ascii="Arial" w:hAnsi="Arial"/>
        <w:color w:val="416429"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2">
    <w:name w:val="List Table 1 Light"/>
    <w:basedOn w:val="32"/>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1"/>
    <w:basedOn w:val="32"/>
    <w:uiPriority w:val="99"/>
    <w:pPr>
      <w:spacing w:after="0" w:line="240" w:lineRule="auto"/>
    </w:pPr>
    <w:tblPr/>
    <w:tblStylePr w:type="firstRow">
      <w:rPr>
        <w:b/>
        <w:color w:val="404040"/>
      </w:rPr>
      <w:tblPr/>
      <w:tcPr>
        <w:tcBorders>
          <w:top w:val="nil"/>
          <w:left w:val="nil"/>
          <w:bottom w:val="single" w:color="4472C4" w:themeColor="accent1" w:sz="4" w:space="0"/>
          <w:right w:val="nil"/>
        </w:tcBorders>
      </w:tcPr>
    </w:tblStylePr>
    <w:tblStylePr w:type="lastRow">
      <w:rPr>
        <w:b/>
        <w:color w:val="404040"/>
      </w:rPr>
      <w:tblPr/>
      <w:tcPr>
        <w:tcBorders>
          <w:top w:val="single" w:color="4472C4"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0DBF0" w:themeColor="accent1" w:themeTint="40" w:fill="D0DBF0" w:themeFill="accent1" w:themeFillTint="40"/>
      </w:tcPr>
    </w:tblStylePr>
    <w:tblStylePr w:type="band2Vert">
      <w:tblPr/>
    </w:tblStylePr>
    <w:tblStylePr w:type="band1Horz">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2"/>
    <w:basedOn w:val="32"/>
    <w:uiPriority w:val="99"/>
    <w:pPr>
      <w:spacing w:after="0" w:line="240" w:lineRule="auto"/>
    </w:pPr>
    <w:tblPr/>
    <w:tblStylePr w:type="firstRow">
      <w:rPr>
        <w:b/>
        <w:color w:val="404040"/>
      </w:rPr>
      <w:tblPr/>
      <w:tcPr>
        <w:tcBorders>
          <w:top w:val="nil"/>
          <w:left w:val="nil"/>
          <w:bottom w:val="single" w:color="ED7D31" w:themeColor="accent2" w:sz="4" w:space="0"/>
          <w:right w:val="nil"/>
        </w:tcBorders>
      </w:tcPr>
    </w:tblStylePr>
    <w:tblStylePr w:type="lastRow">
      <w:rPr>
        <w:b/>
        <w:color w:val="404040"/>
      </w:rPr>
      <w:tblPr/>
      <w:tcPr>
        <w:tcBorders>
          <w:top w:val="single" w:color="ED7D31"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ADECB" w:themeColor="accent2" w:themeTint="40" w:fill="FADECB" w:themeFill="accent2" w:themeFillTint="40"/>
      </w:tcPr>
    </w:tblStylePr>
    <w:tblStylePr w:type="band2Vert">
      <w:tblPr/>
    </w:tblStylePr>
    <w:tblStylePr w:type="band1Horz">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3"/>
    <w:basedOn w:val="32"/>
    <w:uiPriority w:val="99"/>
    <w:pPr>
      <w:spacing w:after="0" w:line="240" w:lineRule="auto"/>
    </w:pPr>
    <w:tblPr/>
    <w:tblStylePr w:type="firstRow">
      <w:rPr>
        <w:b/>
        <w:color w:val="404040"/>
      </w:rPr>
      <w:tblPr/>
      <w:tcPr>
        <w:tcBorders>
          <w:top w:val="nil"/>
          <w:left w:val="nil"/>
          <w:bottom w:val="single" w:color="A5A5A5" w:themeColor="accent3" w:sz="4" w:space="0"/>
          <w:right w:val="nil"/>
        </w:tcBorders>
      </w:tcPr>
    </w:tblStylePr>
    <w:tblStylePr w:type="lastRow">
      <w:rPr>
        <w:b/>
        <w:color w:val="404040"/>
      </w:rPr>
      <w:tblPr/>
      <w:tcPr>
        <w:tcBorders>
          <w:top w:val="single" w:color="A5A5A5"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8E8E8" w:themeColor="accent3" w:themeTint="40" w:fill="E8E8E8" w:themeFill="accent3" w:themeFillTint="40"/>
      </w:tcPr>
    </w:tblStylePr>
    <w:tblStylePr w:type="band2Vert">
      <w:tblPr/>
    </w:tblStylePr>
    <w:tblStylePr w:type="band1Horz">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4"/>
    <w:basedOn w:val="32"/>
    <w:uiPriority w:val="99"/>
    <w:pPr>
      <w:spacing w:after="0" w:line="240" w:lineRule="auto"/>
    </w:pPr>
    <w:tblPr/>
    <w:tblStylePr w:type="firstRow">
      <w:rPr>
        <w:b/>
        <w:color w:val="404040"/>
      </w:rPr>
      <w:tblPr/>
      <w:tcPr>
        <w:tcBorders>
          <w:top w:val="nil"/>
          <w:left w:val="nil"/>
          <w:bottom w:val="single" w:color="FFC000" w:themeColor="accent4" w:sz="4" w:space="0"/>
          <w:right w:val="nil"/>
        </w:tcBorders>
      </w:tcPr>
    </w:tblStylePr>
    <w:tblStylePr w:type="lastRow">
      <w:rPr>
        <w:b/>
        <w:color w:val="404040"/>
      </w:rPr>
      <w:tblPr/>
      <w:tcPr>
        <w:tcBorders>
          <w:top w:val="single" w:color="FFC000"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FEFBE" w:themeColor="accent4" w:themeTint="40" w:fill="FFEFBE" w:themeFill="accent4" w:themeFillTint="40"/>
      </w:tcPr>
    </w:tblStylePr>
    <w:tblStylePr w:type="band2Vert">
      <w:tblPr/>
    </w:tblStylePr>
    <w:tblStylePr w:type="band1Horz">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5"/>
    <w:basedOn w:val="32"/>
    <w:uiPriority w:val="99"/>
    <w:pPr>
      <w:spacing w:after="0" w:line="240" w:lineRule="auto"/>
    </w:pPr>
    <w:tblPr/>
    <w:tblStylePr w:type="firstRow">
      <w:rPr>
        <w:b/>
        <w:color w:val="404040"/>
      </w:rPr>
      <w:tblPr/>
      <w:tcPr>
        <w:tcBorders>
          <w:top w:val="nil"/>
          <w:left w:val="nil"/>
          <w:bottom w:val="single" w:color="5B9BD5" w:themeColor="accent5" w:sz="4" w:space="0"/>
          <w:right w:val="nil"/>
        </w:tcBorders>
      </w:tcPr>
    </w:tblStylePr>
    <w:tblStylePr w:type="lastRow">
      <w:rPr>
        <w:b/>
        <w:color w:val="404040"/>
      </w:rPr>
      <w:tblPr/>
      <w:tcPr>
        <w:tcBorders>
          <w:top w:val="single" w:color="5B9BD5"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5E5F4" w:themeColor="accent5" w:themeTint="40" w:fill="D5E5F4" w:themeFill="accent5" w:themeFillTint="40"/>
      </w:tcPr>
    </w:tblStylePr>
    <w:tblStylePr w:type="band2Vert">
      <w:tblPr/>
    </w:tblStylePr>
    <w:tblStylePr w:type="band1Horz">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1 Light - Accent 6"/>
    <w:basedOn w:val="32"/>
    <w:uiPriority w:val="99"/>
    <w:pPr>
      <w:spacing w:after="0" w:line="240" w:lineRule="auto"/>
    </w:pPr>
    <w:tblPr/>
    <w:tblStylePr w:type="firstRow">
      <w:rPr>
        <w:b/>
        <w:color w:val="404040"/>
      </w:rPr>
      <w:tblPr/>
      <w:tcPr>
        <w:tcBorders>
          <w:top w:val="nil"/>
          <w:left w:val="nil"/>
          <w:bottom w:val="single" w:color="70AD47" w:themeColor="accent6" w:sz="4" w:space="0"/>
          <w:right w:val="nil"/>
        </w:tcBorders>
      </w:tcPr>
    </w:tblStylePr>
    <w:tblStylePr w:type="lastRow">
      <w:rPr>
        <w:b/>
        <w:color w:val="404040"/>
      </w:rPr>
      <w:tblPr/>
      <w:tcPr>
        <w:tcBorders>
          <w:top w:val="single" w:color="70AD47"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AEBCF" w:themeColor="accent6" w:themeTint="40" w:fill="DAEBCF" w:themeFill="accent6" w:themeFillTint="40"/>
      </w:tcPr>
    </w:tblStylePr>
    <w:tblStylePr w:type="band2Vert">
      <w:tblPr/>
    </w:tblStylePr>
    <w:tblStylePr w:type="band1Horz">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w:basedOn w:val="3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1"/>
    <w:basedOn w:val="32"/>
    <w:uiPriority w:val="99"/>
    <w:pPr>
      <w:spacing w:after="0" w:line="240" w:lineRule="auto"/>
    </w:pPr>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bl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bl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0DBF0" w:themeColor="accent1" w:themeTint="40" w:fill="D0DBF0" w:themeFill="accent1" w:themeFillTint="40"/>
      </w:tcPr>
    </w:tblStylePr>
    <w:tblStylePr w:type="band2Vert">
      <w:tblPr/>
    </w:tblStylePr>
    <w:tblStylePr w:type="band1Horz">
      <w:rPr>
        <w:rFonts w:ascii="Arial" w:hAnsi="Arial"/>
        <w:color w:val="404040"/>
        <w:sz w:val="22"/>
      </w:rPr>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2"/>
    <w:basedOn w:val="32"/>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3"/>
    <w:basedOn w:val="32"/>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4"/>
    <w:basedOn w:val="32"/>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5"/>
    <w:basedOn w:val="32"/>
    <w:uiPriority w:val="99"/>
    <w:pPr>
      <w:spacing w:after="0" w:line="240" w:lineRule="auto"/>
    </w:pPr>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bl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bl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5E5F4" w:themeColor="accent5" w:themeTint="40" w:fill="D5E5F4" w:themeFill="accent5" w:themeFillTint="40"/>
      </w:tcPr>
    </w:tblStylePr>
    <w:tblStylePr w:type="band2Vert">
      <w:tblPr/>
    </w:tblStylePr>
    <w:tblStylePr w:type="band1Horz">
      <w:rPr>
        <w:rFonts w:ascii="Arial" w:hAnsi="Arial"/>
        <w:color w:val="404040"/>
        <w:sz w:val="22"/>
      </w:rPr>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2 - Accent 6"/>
    <w:basedOn w:val="32"/>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w:basedOn w:val="3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1"/>
    <w:basedOn w:val="32"/>
    <w:uiPriority w:val="99"/>
    <w:pPr>
      <w:spacing w:after="0" w:line="240" w:lineRule="auto"/>
    </w:pPr>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472C4" w:themeColor="accent1" w:sz="4" w:space="0"/>
          <w:right w:val="single" w:color="4472C4" w:themeColor="accent1" w:sz="4" w:space="0"/>
        </w:tcBorders>
      </w:tcPr>
    </w:tblStylePr>
    <w:tblStylePr w:type="band2Vert">
      <w:tblPr/>
    </w:tblStylePr>
    <w:tblStylePr w:type="band1Horz">
      <w:rPr>
        <w:rFonts w:ascii="Arial" w:hAnsi="Arial"/>
        <w:color w:val="404040"/>
        <w:sz w:val="22"/>
      </w:rPr>
      <w:tblPr/>
      <w:tcPr>
        <w:tcBorders>
          <w:top w:val="single" w:color="4472C4" w:themeColor="accent1" w:sz="4" w:space="0"/>
          <w:bottom w:val="single" w:color="4472C4"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2"/>
    <w:basedOn w:val="3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blPr/>
      <w:tcPr>
        <w:shd w:val="clear" w:color="F4B285" w:themeColor="accent2" w:themeTint="97" w:fill="F4B2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4B285" w:themeColor="accent2" w:themeTint="97" w:sz="4" w:space="0"/>
          <w:right w:val="single" w:color="F4B285" w:themeColor="accent2" w:themeTint="97" w:sz="4" w:space="0"/>
        </w:tcBorders>
      </w:tcPr>
    </w:tblStylePr>
    <w:tblStylePr w:type="band2Vert">
      <w:tblPr/>
    </w:tblStylePr>
    <w:tblStylePr w:type="band1Horz">
      <w:rPr>
        <w:rFonts w:ascii="Arial" w:hAnsi="Arial"/>
        <w:color w:val="404040"/>
        <w:sz w:val="22"/>
      </w:rPr>
      <w:tblPr/>
      <w:tcPr>
        <w:tcBorders>
          <w:top w:val="single" w:color="F4B285" w:themeColor="accent2" w:themeTint="97" w:sz="4" w:space="0"/>
          <w:bottom w:val="single" w:color="F4B28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3"/>
    <w:basedOn w:val="32"/>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9C9C9" w:themeColor="accent3" w:themeTint="98" w:sz="4" w:space="0"/>
          <w:right w:val="single" w:color="C9C9C9" w:themeColor="accent3" w:themeTint="98" w:sz="4" w:space="0"/>
        </w:tcBorders>
      </w:tcPr>
    </w:tblStylePr>
    <w:tblStylePr w:type="band2Vert">
      <w:tblPr/>
    </w:tblStylePr>
    <w:tblStylePr w:type="band1Horz">
      <w:rPr>
        <w:rFonts w:ascii="Arial" w:hAnsi="Arial"/>
        <w:color w:val="404040"/>
        <w:sz w:val="22"/>
      </w:rPr>
      <w:tblPr/>
      <w:tcPr>
        <w:tcBorders>
          <w:top w:val="single" w:color="C9C9C9" w:themeColor="accent3" w:themeTint="98" w:sz="4" w:space="0"/>
          <w:bottom w:val="single" w:color="C9C9C9"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4"/>
    <w:basedOn w:val="3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blPr/>
      <w:tcPr>
        <w:shd w:val="clear" w:color="FFD864" w:themeColor="accent4" w:themeTint="9A" w:fill="FFD864"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FD864" w:themeColor="accent4" w:themeTint="9A" w:sz="4" w:space="0"/>
          <w:right w:val="single" w:color="FFD864" w:themeColor="accent4" w:themeTint="9A" w:sz="4" w:space="0"/>
        </w:tcBorders>
      </w:tcPr>
    </w:tblStylePr>
    <w:tblStylePr w:type="band2Vert">
      <w:tblPr/>
    </w:tblStylePr>
    <w:tblStylePr w:type="band1Horz">
      <w:rPr>
        <w:rFonts w:ascii="Arial" w:hAnsi="Arial"/>
        <w:color w:val="404040"/>
        <w:sz w:val="22"/>
      </w:rPr>
      <w:tblPr/>
      <w:tcPr>
        <w:tcBorders>
          <w:top w:val="single" w:color="FFD864" w:themeColor="accent4" w:themeTint="9A" w:sz="4" w:space="0"/>
          <w:bottom w:val="single" w:color="FFD864"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5"/>
    <w:basedOn w:val="32"/>
    <w:uiPriority w:val="99"/>
    <w:pPr>
      <w:spacing w:after="0" w:line="240" w:lineRule="auto"/>
    </w:pPr>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BC2E5" w:themeColor="accent5" w:themeTint="9A" w:sz="4" w:space="0"/>
          <w:right w:val="single" w:color="9BC2E5" w:themeColor="accent5" w:themeTint="9A" w:sz="4" w:space="0"/>
        </w:tcBorders>
      </w:tcPr>
    </w:tblStylePr>
    <w:tblStylePr w:type="band2Vert">
      <w:tblPr/>
    </w:tblStylePr>
    <w:tblStylePr w:type="band1Horz">
      <w:rPr>
        <w:rFonts w:ascii="Arial" w:hAnsi="Arial"/>
        <w:color w:val="404040"/>
        <w:sz w:val="22"/>
      </w:rPr>
      <w:tblPr/>
      <w:tcPr>
        <w:tcBorders>
          <w:top w:val="single" w:color="9BC2E5" w:themeColor="accent5" w:themeTint="9A" w:sz="4" w:space="0"/>
          <w:bottom w:val="single" w:color="9BC2E5"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3 - Accent 6"/>
    <w:basedOn w:val="32"/>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A9D08E" w:themeColor="accent6" w:themeTint="98" w:sz="4" w:space="0"/>
          <w:right w:val="single" w:color="A9D08E" w:themeColor="accent6" w:themeTint="98" w:sz="4" w:space="0"/>
        </w:tcBorders>
      </w:tcPr>
    </w:tblStylePr>
    <w:tblStylePr w:type="band2Vert">
      <w:tblPr/>
    </w:tblStylePr>
    <w:tblStylePr w:type="band1Horz">
      <w:rPr>
        <w:rFonts w:ascii="Arial" w:hAnsi="Arial"/>
        <w:color w:val="404040"/>
        <w:sz w:val="22"/>
      </w:rPr>
      <w:tblPr/>
      <w:tcPr>
        <w:tcBorders>
          <w:top w:val="single" w:color="A9D08E" w:themeColor="accent6" w:themeTint="98" w:sz="4" w:space="0"/>
          <w:bottom w:val="single" w:color="A9D08E"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w:basedOn w:val="3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1"/>
    <w:basedOn w:val="32"/>
    <w:uiPriority w:val="9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0DBF0" w:themeColor="accent1" w:themeTint="40" w:fill="D0DBF0" w:themeFill="accent1" w:themeFillTint="40"/>
      </w:tcPr>
    </w:tblStylePr>
    <w:tblStylePr w:type="band2Vert">
      <w:tblPr/>
    </w:tblStylePr>
    <w:tblStylePr w:type="band1Horz">
      <w:rPr>
        <w:rFonts w:ascii="Arial" w:hAnsi="Arial"/>
        <w:color w:val="404040"/>
        <w:sz w:val="22"/>
      </w:rPr>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2"/>
    <w:basedOn w:val="32"/>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3"/>
    <w:basedOn w:val="32"/>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4"/>
    <w:basedOn w:val="32"/>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5"/>
    <w:basedOn w:val="32"/>
    <w:uiPriority w:val="9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5E5F4" w:themeColor="accent5" w:themeTint="40" w:fill="D5E5F4" w:themeFill="accent5" w:themeFillTint="40"/>
      </w:tcPr>
    </w:tblStylePr>
    <w:tblStylePr w:type="band2Vert">
      <w:tblPr/>
    </w:tblStylePr>
    <w:tblStylePr w:type="band1Horz">
      <w:rPr>
        <w:rFonts w:ascii="Arial" w:hAnsi="Arial"/>
        <w:color w:val="404040"/>
        <w:sz w:val="22"/>
      </w:rPr>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4 - Accent 6"/>
    <w:basedOn w:val="32"/>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5 Dark"/>
    <w:basedOn w:val="32"/>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1">
    <w:name w:val="List Table 5 Dark - Accent 1"/>
    <w:basedOn w:val="32"/>
    <w:uiPriority w:val="99"/>
    <w:pPr>
      <w:spacing w:after="0" w:line="240" w:lineRule="auto"/>
    </w:pPr>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472C4" w:themeColor="accent1" w:sz="32" w:space="0"/>
          <w:right w:val="single" w:color="FFFFFF" w:themeColor="light1" w:sz="4" w:space="0"/>
        </w:tcBorders>
      </w:tcPr>
    </w:tblStylePr>
    <w:tblStylePr w:type="lastCol">
      <w:tblPr/>
      <w:tcPr>
        <w:tcBorders>
          <w:left w:val="single" w:color="FFFFFF" w:themeColor="light1" w:sz="4" w:space="0"/>
          <w:right w:val="single" w:color="4472C4" w:themeColor="accent1" w:sz="32" w:space="0"/>
        </w:tcBorders>
      </w:tcPr>
    </w:tblStylePr>
    <w:tblStylePr w:type="band1Vert">
      <w:tblPr/>
      <w:tcPr>
        <w:tcBorders>
          <w:left w:val="single" w:color="FFFFFF" w:themeColor="light1" w:sz="4" w:space="0"/>
          <w:right w:val="single" w:color="FFFFFF" w:themeColor="light1" w:sz="4" w:space="0"/>
        </w:tcBorders>
        <w:shd w:val="clear" w:color="4472C4" w:themeColor="accent1" w:fill="4472C4"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472C4" w:themeColor="accent1" w:fill="4472C4" w:themeFill="accent1"/>
      </w:tcPr>
    </w:tblStylePr>
    <w:tblStylePr w:type="band2Horz">
      <w:tblPr/>
      <w:tcPr>
        <w:tcBorders>
          <w:top w:val="single" w:color="FFFFFF" w:themeColor="light1" w:sz="4" w:space="0"/>
          <w:bottom w:val="single" w:color="FFFFFF" w:themeColor="light1" w:sz="4" w:space="0"/>
        </w:tcBorders>
        <w:shd w:val="clear" w:color="4472C4" w:themeColor="accent1" w:fill="4472C4" w:themeFill="accent1"/>
      </w:tcPr>
    </w:tblStylePr>
    <w:tblStylePr w:type="neCell">
      <w:tblPr/>
    </w:tblStylePr>
    <w:tblStylePr w:type="nwCell">
      <w:tblPr/>
    </w:tblStylePr>
    <w:tblStylePr w:type="seCell">
      <w:tblPr/>
    </w:tblStylePr>
    <w:tblStylePr w:type="swCell">
      <w:tblPr/>
    </w:tblStylePr>
  </w:style>
  <w:style w:type="table" w:customStyle="1" w:styleId="142">
    <w:name w:val="List Table 5 Dark - Accent 2"/>
    <w:basedOn w:val="32"/>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4B285" w:themeColor="accent2" w:themeTint="97" w:sz="32" w:space="0"/>
          <w:right w:val="single" w:color="FFFFFF" w:themeColor="light1" w:sz="4" w:space="0"/>
        </w:tcBorders>
      </w:tcPr>
    </w:tblStylePr>
    <w:tblStylePr w:type="lastCol">
      <w:tblPr/>
      <w:tcPr>
        <w:tcBorders>
          <w:left w:val="single" w:color="FFFFFF" w:themeColor="light1" w:sz="4" w:space="0"/>
          <w:right w:val="single" w:color="F4B28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Pr/>
    </w:tblStylePr>
    <w:tblStylePr w:type="nwCell">
      <w:tblPr/>
    </w:tblStylePr>
    <w:tblStylePr w:type="seCell">
      <w:tblPr/>
    </w:tblStylePr>
    <w:tblStylePr w:type="swCell">
      <w:tblPr/>
    </w:tblStylePr>
  </w:style>
  <w:style w:type="table" w:customStyle="1" w:styleId="143">
    <w:name w:val="List Table 5 Dark - Accent 3"/>
    <w:basedOn w:val="32"/>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9C9C9" w:themeColor="accent3" w:themeTint="98" w:sz="32" w:space="0"/>
          <w:right w:val="single" w:color="FFFFFF" w:themeColor="light1" w:sz="4" w:space="0"/>
        </w:tcBorders>
      </w:tcPr>
    </w:tblStylePr>
    <w:tblStylePr w:type="lastCol">
      <w:tblPr/>
      <w:tcPr>
        <w:tcBorders>
          <w:left w:val="single" w:color="FFFFFF" w:themeColor="light1" w:sz="4" w:space="0"/>
          <w:right w:val="single" w:color="C9C9C9"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Pr/>
    </w:tblStylePr>
    <w:tblStylePr w:type="nwCell">
      <w:tblPr/>
    </w:tblStylePr>
    <w:tblStylePr w:type="seCell">
      <w:tblPr/>
    </w:tblStylePr>
    <w:tblStylePr w:type="swCell">
      <w:tblPr/>
    </w:tblStylePr>
  </w:style>
  <w:style w:type="table" w:customStyle="1" w:styleId="144">
    <w:name w:val="List Table 5 Dark - Accent 4"/>
    <w:basedOn w:val="32"/>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FD864" w:themeColor="accent4" w:themeTint="9A" w:sz="32" w:space="0"/>
          <w:right w:val="single" w:color="FFFFFF" w:themeColor="light1" w:sz="4" w:space="0"/>
        </w:tcBorders>
      </w:tcPr>
    </w:tblStylePr>
    <w:tblStylePr w:type="lastCol">
      <w:tblPr/>
      <w:tcPr>
        <w:tcBorders>
          <w:left w:val="single" w:color="FFFFFF" w:themeColor="light1" w:sz="4" w:space="0"/>
          <w:right w:val="single" w:color="FFD864"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Pr/>
    </w:tblStylePr>
    <w:tblStylePr w:type="nwCell">
      <w:tblPr/>
    </w:tblStylePr>
    <w:tblStylePr w:type="seCell">
      <w:tblPr/>
    </w:tblStylePr>
    <w:tblStylePr w:type="swCell">
      <w:tblPr/>
    </w:tblStylePr>
  </w:style>
  <w:style w:type="table" w:customStyle="1" w:styleId="145">
    <w:name w:val="List Table 5 Dark - Accent 5"/>
    <w:basedOn w:val="32"/>
    <w:uiPriority w:val="99"/>
    <w:pPr>
      <w:spacing w:after="0" w:line="240" w:lineRule="auto"/>
    </w:pPr>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BC2E5" w:themeColor="accent5" w:themeTint="9A" w:sz="32" w:space="0"/>
          <w:right w:val="single" w:color="FFFFFF" w:themeColor="light1" w:sz="4" w:space="0"/>
        </w:tcBorders>
      </w:tcPr>
    </w:tblStylePr>
    <w:tblStylePr w:type="lastCol">
      <w:tblPr/>
      <w:tcPr>
        <w:tcBorders>
          <w:left w:val="single" w:color="FFFFFF" w:themeColor="light1" w:sz="4" w:space="0"/>
          <w:right w:val="single" w:color="9BC2E5"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blPr/>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neCell">
      <w:tblPr/>
    </w:tblStylePr>
    <w:tblStylePr w:type="nwCell">
      <w:tblPr/>
    </w:tblStylePr>
    <w:tblStylePr w:type="seCell">
      <w:tblPr/>
    </w:tblStylePr>
    <w:tblStylePr w:type="swCell">
      <w:tblPr/>
    </w:tblStylePr>
  </w:style>
  <w:style w:type="table" w:customStyle="1" w:styleId="146">
    <w:name w:val="List Table 5 Dark - Accent 6"/>
    <w:basedOn w:val="32"/>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A9D08E" w:themeColor="accent6" w:themeTint="98" w:sz="32" w:space="0"/>
          <w:right w:val="single" w:color="FFFFFF" w:themeColor="light1" w:sz="4" w:space="0"/>
        </w:tcBorders>
      </w:tcPr>
    </w:tblStylePr>
    <w:tblStylePr w:type="lastCol">
      <w:tblPr/>
      <w:tcPr>
        <w:tcBorders>
          <w:left w:val="single" w:color="FFFFFF" w:themeColor="light1" w:sz="4" w:space="0"/>
          <w:right w:val="single" w:color="A9D08E"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Pr/>
    </w:tblStylePr>
    <w:tblStylePr w:type="nwCell">
      <w:tblPr/>
    </w:tblStylePr>
    <w:tblStylePr w:type="seCell">
      <w:tblPr/>
    </w:tblStylePr>
    <w:tblStylePr w:type="swCell">
      <w:tblPr/>
    </w:tblStylePr>
  </w:style>
  <w:style w:type="table" w:customStyle="1" w:styleId="147">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1"/>
    <w:basedOn w:val="32"/>
    <w:qFormat/>
    <w:uiPriority w:val="99"/>
    <w:pPr>
      <w:spacing w:after="0" w:line="240" w:lineRule="auto"/>
    </w:pPr>
    <w:tblPr>
      <w:tblBorders>
        <w:top w:val="single" w:color="4472C4" w:themeColor="accent1" w:sz="4" w:space="0"/>
        <w:bottom w:val="single" w:color="4472C4" w:themeColor="accent1" w:sz="4" w:space="0"/>
      </w:tblBorders>
    </w:tblPr>
    <w:tblStylePr w:type="firstRow">
      <w:rPr>
        <w:b/>
        <w:color w:val="254174" w:themeColor="accent1" w:themeShade="94"/>
      </w:rPr>
      <w:tblPr/>
      <w:tcPr>
        <w:tcBorders>
          <w:bottom w:val="single" w:color="4472C4" w:themeColor="accent1" w:sz="4" w:space="0"/>
        </w:tcBorders>
      </w:tcPr>
    </w:tblStylePr>
    <w:tblStylePr w:type="lastRow">
      <w:rPr>
        <w:b/>
        <w:color w:val="254174" w:themeColor="accent1" w:themeShade="94"/>
      </w:rPr>
      <w:tblPr/>
      <w:tcPr>
        <w:tcBorders>
          <w:top w:val="single" w:color="4472C4" w:themeColor="accent1" w:sz="4" w:space="0"/>
        </w:tcBorders>
      </w:tcPr>
    </w:tblStylePr>
    <w:tblStylePr w:type="firstCol">
      <w:rPr>
        <w:b/>
        <w:color w:val="254174" w:themeColor="accent1" w:themeShade="94"/>
      </w:rPr>
      <w:tblPr/>
    </w:tblStylePr>
    <w:tblStylePr w:type="lastCol">
      <w:rPr>
        <w:b/>
        <w:color w:val="254174" w:themeColor="accent1" w:themeShade="94"/>
      </w:rPr>
      <w:tblPr/>
    </w:tblStylePr>
    <w:tblStylePr w:type="band1Vert">
      <w:tblPr/>
      <w:tcPr>
        <w:shd w:val="clear" w:color="D0DBF0" w:themeColor="accent1" w:themeTint="40" w:fill="D0DBF0" w:themeFill="accent1" w:themeFillTint="40"/>
      </w:tcPr>
    </w:tblStylePr>
    <w:tblStylePr w:type="band2Vert">
      <w:tblPr/>
    </w:tblStylePr>
    <w:tblStylePr w:type="band1Horz">
      <w:rPr>
        <w:rFonts w:ascii="Arial" w:hAnsi="Arial"/>
        <w:color w:val="254174" w:themeColor="accent1" w:themeShade="94"/>
        <w:sz w:val="22"/>
      </w:rPr>
      <w:tblPr/>
      <w:tcPr>
        <w:shd w:val="clear" w:color="D0DBF0" w:themeColor="accent1" w:themeTint="40" w:fill="D0DBF0" w:themeFill="accent1" w:themeFillTint="40"/>
      </w:tcPr>
    </w:tblStylePr>
    <w:tblStylePr w:type="band2Horz">
      <w:rPr>
        <w:rFonts w:ascii="Arial" w:hAnsi="Arial"/>
        <w:color w:val="254174"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2"/>
    <w:basedOn w:val="32"/>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Pr/>
    </w:tblStylePr>
    <w:tblStylePr w:type="lastCol">
      <w:rPr>
        <w:b/>
        <w:color w:val="F4B285" w:themeColor="accent2" w:themeTint="96"/>
        <w14:textFill>
          <w14:solidFill>
            <w14:schemeClr w14:val="accent2">
              <w14:lumMod w14:val="59000"/>
              <w14:lumOff w14:val="41000"/>
            </w14:schemeClr>
          </w14:solidFill>
        </w14:textFill>
      </w:rPr>
      <w:tbl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3"/>
    <w:basedOn w:val="32"/>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Pr/>
    </w:tblStylePr>
    <w:tblStylePr w:type="lastCol">
      <w:rPr>
        <w:b/>
        <w:color w:val="C9C9C9" w:themeColor="accent3" w:themeTint="99"/>
        <w14:textFill>
          <w14:solidFill>
            <w14:schemeClr w14:val="accent3">
              <w14:lumMod w14:val="60000"/>
              <w14:lumOff w14:val="40000"/>
            </w14:schemeClr>
          </w14:solidFill>
        </w14:textFill>
      </w:rPr>
      <w:tbl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4"/>
    <w:basedOn w:val="32"/>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Pr/>
    </w:tblStylePr>
    <w:tblStylePr w:type="lastCol">
      <w:rPr>
        <w:b/>
        <w:color w:val="FFD966" w:themeColor="accent4" w:themeTint="99"/>
        <w14:textFill>
          <w14:solidFill>
            <w14:schemeClr w14:val="accent4">
              <w14:lumMod w14:val="60000"/>
              <w14:lumOff w14:val="40000"/>
            </w14:schemeClr>
          </w14:solidFill>
        </w14:textFill>
      </w:rPr>
      <w:tbl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5"/>
    <w:basedOn w:val="32"/>
    <w:qFormat/>
    <w:uiPriority w:val="99"/>
    <w:pPr>
      <w:spacing w:after="0" w:line="240" w:lineRule="auto"/>
    </w:pPr>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bl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bl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Pr/>
    </w:tblStylePr>
    <w:tblStylePr w:type="lastCol">
      <w:rPr>
        <w:b/>
        <w:color w:val="9DC3E6" w:themeColor="accent5" w:themeTint="99"/>
        <w14:textFill>
          <w14:solidFill>
            <w14:schemeClr w14:val="accent5">
              <w14:lumMod w14:val="60000"/>
              <w14:lumOff w14:val="40000"/>
            </w14:schemeClr>
          </w14:solidFill>
        </w14:textFill>
      </w:rPr>
      <w:tblPr/>
    </w:tblStylePr>
    <w:tblStylePr w:type="band1Vert">
      <w:tblPr/>
      <w:tcPr>
        <w:shd w:val="clear" w:color="D5E5F4" w:themeColor="accent5" w:themeTint="40" w:fill="D5E5F4" w:themeFill="accent5" w:themeFillTint="40"/>
      </w:tcPr>
    </w:tblStylePr>
    <w:tblStylePr w:type="band2Vert">
      <w:tbl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6 Colorful - Accent 6"/>
    <w:basedOn w:val="32"/>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Pr/>
    </w:tblStylePr>
    <w:tblStylePr w:type="lastCol">
      <w:rPr>
        <w:b/>
        <w:color w:val="A9D18E" w:themeColor="accent6" w:themeTint="99"/>
        <w14:textFill>
          <w14:solidFill>
            <w14:schemeClr w14:val="accent6">
              <w14:lumMod w14:val="60000"/>
              <w14:lumOff w14:val="40000"/>
            </w14:schemeClr>
          </w14:solidFill>
        </w14:textFill>
      </w:rPr>
      <w:tbl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1"/>
    <w:basedOn w:val="32"/>
    <w:qFormat/>
    <w:uiPriority w:val="99"/>
    <w:pPr>
      <w:spacing w:after="0" w:line="240" w:lineRule="auto"/>
    </w:pPr>
    <w:tblPr>
      <w:tblBorders>
        <w:right w:val="single" w:color="4472C4" w:themeColor="accent1" w:sz="4" w:space="0"/>
      </w:tblBorders>
    </w:tblPr>
    <w:tblStylePr w:type="firstRow">
      <w:rPr>
        <w:rFonts w:ascii="Arial" w:hAnsi="Arial"/>
        <w:i/>
        <w:color w:val="254174" w:themeColor="accent1" w:themeShade="94"/>
        <w:sz w:val="22"/>
      </w:rPr>
      <w:tbl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bl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bl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blPr/>
      <w:tcPr>
        <w:tcBorders>
          <w:top w:val="nil"/>
          <w:left w:val="single" w:color="4472C4" w:themeColor="accent1" w:sz="4" w:space="0"/>
          <w:bottom w:val="nil"/>
          <w:right w:val="nil"/>
        </w:tcBorders>
        <w:shd w:val="clear" w:color="FFFFFF" w:fill="auto"/>
      </w:tcPr>
    </w:tblStylePr>
    <w:tblStylePr w:type="band1Vert">
      <w:tblPr/>
      <w:tcPr>
        <w:shd w:val="clear" w:color="D0DBF0" w:themeColor="accent1" w:themeTint="40" w:fill="D0DBF0" w:themeFill="accent1" w:themeFillTint="40"/>
      </w:tcPr>
    </w:tblStylePr>
    <w:tblStylePr w:type="band2Vert">
      <w:tblPr/>
    </w:tblStylePr>
    <w:tblStylePr w:type="band1Horz">
      <w:rPr>
        <w:rFonts w:ascii="Arial" w:hAnsi="Arial"/>
        <w:color w:val="254174" w:themeColor="accent1" w:themeShade="94"/>
        <w:sz w:val="22"/>
      </w:rPr>
      <w:tblPr/>
      <w:tcPr>
        <w:shd w:val="clear" w:color="D0DBF0" w:themeColor="accent1" w:themeTint="40" w:fill="D0DBF0" w:themeFill="accent1" w:themeFillTint="40"/>
      </w:tcPr>
    </w:tblStylePr>
    <w:tblStylePr w:type="band2Horz">
      <w:rPr>
        <w:rFonts w:ascii="Arial" w:hAnsi="Arial"/>
        <w:color w:val="254174"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2"/>
    <w:basedOn w:val="32"/>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color="F4B285" w:themeColor="accent2" w:themeTint="97" w:sz="4" w:space="0"/>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3"/>
    <w:basedOn w:val="32"/>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color="C9C9C9" w:themeColor="accent3" w:themeTint="98" w:sz="4" w:space="0"/>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4"/>
    <w:basedOn w:val="32"/>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color="FFD864" w:themeColor="accent4" w:themeTint="9A" w:sz="4" w:space="0"/>
          <w:bottom w:val="nil"/>
          <w:right w:val="nil"/>
        </w:tcBorders>
        <w:shd w:val="clear" w:color="FFFFFF" w:fill="auto"/>
      </w:tc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5"/>
    <w:basedOn w:val="32"/>
    <w:qFormat/>
    <w:uiPriority w:val="99"/>
    <w:pPr>
      <w:spacing w:after="0" w:line="240" w:lineRule="auto"/>
    </w:pPr>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bl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single" w:color="9BC2E5" w:themeColor="accent5" w:themeTint="9A" w:sz="4" w:space="0"/>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2Vert">
      <w:tbl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st Table 7 Colorful - Accent 6"/>
    <w:basedOn w:val="32"/>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color="A9D08E" w:themeColor="accent6" w:themeTint="98" w:sz="4" w:space="0"/>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1">
    <w:name w:val="Lined - Accent"/>
    <w:basedOn w:val="32"/>
    <w:qForma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2">
    <w:name w:val="Lined - Accent 1"/>
    <w:basedOn w:val="32"/>
    <w:qFormat/>
    <w:uiPriority w:val="99"/>
    <w:pPr>
      <w:spacing w:after="0" w:line="240" w:lineRule="auto"/>
    </w:pPr>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4D2EC" w:themeColor="accent1" w:themeTint="50" w:fill="C4D2EC" w:themeFill="accent1" w:themeFillTint="50"/>
      </w:tcPr>
    </w:tblStylePr>
    <w:tblStylePr w:type="neCell">
      <w:tblPr/>
    </w:tblStylePr>
    <w:tblStylePr w:type="nwCell">
      <w:tblPr/>
    </w:tblStylePr>
    <w:tblStylePr w:type="seCell">
      <w:tblPr/>
    </w:tblStylePr>
    <w:tblStylePr w:type="swCell">
      <w:tblPr/>
    </w:tblStylePr>
  </w:style>
  <w:style w:type="table" w:customStyle="1" w:styleId="163">
    <w:name w:val="Lined - Accent 2"/>
    <w:basedOn w:val="32"/>
    <w:qFormat/>
    <w:uiPriority w:val="99"/>
    <w:pPr>
      <w:spacing w:after="0" w:line="240" w:lineRule="auto"/>
    </w:pPr>
    <w:rPr>
      <w:color w:val="404040"/>
    </w:rPr>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64">
    <w:name w:val="Lined - Accent 3"/>
    <w:basedOn w:val="32"/>
    <w:qFormat/>
    <w:uiPriority w:val="99"/>
    <w:pPr>
      <w:spacing w:after="0" w:line="240" w:lineRule="auto"/>
    </w:pPr>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4"/>
    <w:basedOn w:val="32"/>
    <w:qFormat/>
    <w:uiPriority w:val="99"/>
    <w:pPr>
      <w:spacing w:after="0" w:line="240" w:lineRule="auto"/>
    </w:pPr>
    <w:rPr>
      <w:color w:val="404040"/>
    </w:rPr>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5"/>
    <w:basedOn w:val="32"/>
    <w:qFormat/>
    <w:uiPriority w:val="99"/>
    <w:pPr>
      <w:spacing w:after="0" w:line="240" w:lineRule="auto"/>
    </w:pPr>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DEAF6" w:themeColor="accent5" w:themeTint="34" w:fill="DDEAF6" w:themeFill="accent5" w:themeFillTint="34"/>
      </w:tcPr>
    </w:tblStylePr>
    <w:tblStylePr w:type="neCell">
      <w:tblPr/>
    </w:tblStylePr>
    <w:tblStylePr w:type="nwCell">
      <w:tblPr/>
    </w:tblStylePr>
    <w:tblStylePr w:type="seCell">
      <w:tblPr/>
    </w:tblStylePr>
    <w:tblStylePr w:type="swCell">
      <w:tblPr/>
    </w:tblStylePr>
  </w:style>
  <w:style w:type="table" w:customStyle="1" w:styleId="167">
    <w:name w:val="Lined - Accent 6"/>
    <w:basedOn w:val="32"/>
    <w:qFormat/>
    <w:uiPriority w:val="99"/>
    <w:pPr>
      <w:spacing w:after="0" w:line="240" w:lineRule="auto"/>
    </w:pPr>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68">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9">
    <w:name w:val="Bordered &amp; Lined - Accent 1"/>
    <w:basedOn w:val="32"/>
    <w:qFormat/>
    <w:uiPriority w:val="99"/>
    <w:pPr>
      <w:spacing w:after="0" w:line="240" w:lineRule="auto"/>
    </w:pPr>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4D2EC" w:themeColor="accent1" w:themeTint="50" w:fill="C4D2EC" w:themeFill="accent1" w:themeFillTint="50"/>
      </w:tcPr>
    </w:tblStylePr>
    <w:tblStylePr w:type="neCell">
      <w:tblPr/>
    </w:tblStylePr>
    <w:tblStylePr w:type="nwCell">
      <w:tblPr/>
    </w:tblStylePr>
    <w:tblStylePr w:type="seCell">
      <w:tblPr/>
    </w:tblStylePr>
    <w:tblStylePr w:type="swCell">
      <w:tblPr/>
    </w:tblStylePr>
  </w:style>
  <w:style w:type="table" w:customStyle="1" w:styleId="170">
    <w:name w:val="Bordered &amp; Lined - Accent 2"/>
    <w:basedOn w:val="32"/>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71">
    <w:name w:val="Bordered &amp; Lined - Accent 3"/>
    <w:basedOn w:val="32"/>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4"/>
    <w:basedOn w:val="32"/>
    <w:qFormat/>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5"/>
    <w:basedOn w:val="32"/>
    <w:qFormat/>
    <w:uiPriority w:val="99"/>
    <w:pPr>
      <w:spacing w:after="0" w:line="240" w:lineRule="auto"/>
    </w:pPr>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DEAF6" w:themeColor="accent5" w:themeTint="34" w:fill="DDEAF6" w:themeFill="accent5" w:themeFillTint="34"/>
      </w:tcPr>
    </w:tblStylePr>
    <w:tblStylePr w:type="neCell">
      <w:tblPr/>
    </w:tblStylePr>
    <w:tblStylePr w:type="nwCell">
      <w:tblPr/>
    </w:tblStylePr>
    <w:tblStylePr w:type="seCell">
      <w:tblPr/>
    </w:tblStylePr>
    <w:tblStylePr w:type="swCell">
      <w:tblPr/>
    </w:tblStylePr>
  </w:style>
  <w:style w:type="table" w:customStyle="1" w:styleId="174">
    <w:name w:val="Bordered &amp; Lined - Accent 6"/>
    <w:basedOn w:val="32"/>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75">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1"/>
    <w:basedOn w:val="32"/>
    <w:qFormat/>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blPr/>
      <w:tcPr>
        <w:tcBorders>
          <w:bottom w:val="single" w:color="4472C4" w:themeColor="accent1" w:sz="12" w:space="0"/>
        </w:tcBorders>
      </w:tcPr>
    </w:tblStylePr>
    <w:tblStylePr w:type="lastRow">
      <w:rPr>
        <w:rFonts w:ascii="Arial" w:hAnsi="Arial"/>
        <w:color w:val="404040"/>
        <w:sz w:val="22"/>
      </w:rPr>
      <w:tblPr/>
      <w:tcPr>
        <w:tcBorders>
          <w:top w:val="single" w:color="4472C4"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472C4"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2"/>
    <w:basedOn w:val="32"/>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blPr/>
      <w:tcPr>
        <w:tcBorders>
          <w:bottom w:val="single" w:color="F4B285" w:themeColor="accent2" w:themeTint="97" w:sz="12" w:space="0"/>
        </w:tcBorders>
      </w:tcPr>
    </w:tblStylePr>
    <w:tblStylePr w:type="lastRow">
      <w:rPr>
        <w:rFonts w:ascii="Arial" w:hAnsi="Arial"/>
        <w:color w:val="404040"/>
        <w:sz w:val="22"/>
      </w:rPr>
      <w:tblPr/>
      <w:tcPr>
        <w:tcBorders>
          <w:top w:val="single" w:color="F4B28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4B28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3"/>
    <w:basedOn w:val="32"/>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blPr/>
      <w:tcPr>
        <w:tcBorders>
          <w:bottom w:val="single" w:color="C9C9C9" w:themeColor="accent3" w:themeTint="98" w:sz="12" w:space="0"/>
        </w:tcBorders>
      </w:tcPr>
    </w:tblStylePr>
    <w:tblStylePr w:type="lastRow">
      <w:rPr>
        <w:rFonts w:ascii="Arial" w:hAnsi="Arial"/>
        <w:color w:val="404040"/>
        <w:sz w:val="22"/>
      </w:rPr>
      <w:tblPr/>
      <w:tcPr>
        <w:tcBorders>
          <w:top w:val="single" w:color="C9C9C9"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9C9C9"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4"/>
    <w:basedOn w:val="32"/>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blPr/>
      <w:tcPr>
        <w:tcBorders>
          <w:bottom w:val="single" w:color="FFD864" w:themeColor="accent4" w:themeTint="9A" w:sz="12" w:space="0"/>
        </w:tcBorders>
      </w:tcPr>
    </w:tblStylePr>
    <w:tblStylePr w:type="lastRow">
      <w:rPr>
        <w:rFonts w:ascii="Arial" w:hAnsi="Arial"/>
        <w:color w:val="404040"/>
        <w:sz w:val="22"/>
      </w:rPr>
      <w:tblPr/>
      <w:tcPr>
        <w:tcBorders>
          <w:top w:val="single" w:color="FFD864"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FD864"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5"/>
    <w:basedOn w:val="32"/>
    <w:qFormat/>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blPr/>
      <w:tcPr>
        <w:tcBorders>
          <w:bottom w:val="single" w:color="9BC2E5" w:themeColor="accent5" w:themeTint="9A" w:sz="12" w:space="0"/>
        </w:tcBorders>
      </w:tcPr>
    </w:tblStylePr>
    <w:tblStylePr w:type="lastRow">
      <w:rPr>
        <w:rFonts w:ascii="Arial" w:hAnsi="Arial"/>
        <w:color w:val="404040"/>
        <w:sz w:val="22"/>
      </w:rPr>
      <w:tblPr/>
      <w:tcPr>
        <w:tcBorders>
          <w:top w:val="single" w:color="9BC2E5"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BC2E5"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1">
    <w:name w:val="Bordered - Accent 6"/>
    <w:basedOn w:val="32"/>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blPr/>
      <w:tcPr>
        <w:tcBorders>
          <w:bottom w:val="single" w:color="A9D08E" w:themeColor="accent6" w:themeTint="98" w:sz="12" w:space="0"/>
        </w:tcBorders>
      </w:tcPr>
    </w:tblStylePr>
    <w:tblStylePr w:type="lastRow">
      <w:rPr>
        <w:rFonts w:ascii="Arial" w:hAnsi="Arial"/>
        <w:color w:val="404040"/>
        <w:sz w:val="22"/>
      </w:rPr>
      <w:tblPr/>
      <w:tcPr>
        <w:tcBorders>
          <w:top w:val="single" w:color="A9D08E"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A9D08E"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2">
    <w:name w:val="Footnote Text Char"/>
    <w:link w:val="25"/>
    <w:qFormat/>
    <w:uiPriority w:val="99"/>
    <w:rPr>
      <w:sz w:val="18"/>
    </w:rPr>
  </w:style>
  <w:style w:type="character" w:customStyle="1" w:styleId="183">
    <w:name w:val="Endnote Text Char"/>
    <w:link w:val="18"/>
    <w:qFormat/>
    <w:uiPriority w:val="99"/>
    <w:rPr>
      <w:sz w:val="20"/>
    </w:rPr>
  </w:style>
  <w:style w:type="paragraph" w:customStyle="1" w:styleId="184">
    <w:name w:val="TOC Heading"/>
    <w:unhideWhenUsed/>
    <w:qFormat/>
    <w:uiPriority w:val="39"/>
    <w:rPr>
      <w:rFonts w:hint="default" w:ascii="Times New Roman" w:hAnsi="Times New Roman" w:eastAsia="宋体" w:cs="Times New Roman"/>
    </w:rPr>
  </w:style>
  <w:style w:type="character" w:customStyle="1" w:styleId="185">
    <w:name w:val="页眉 Char"/>
    <w:basedOn w:val="34"/>
    <w:link w:val="21"/>
    <w:qFormat/>
    <w:uiPriority w:val="99"/>
    <w:rPr>
      <w:sz w:val="18"/>
      <w:szCs w:val="18"/>
    </w:rPr>
  </w:style>
  <w:style w:type="character" w:customStyle="1" w:styleId="186">
    <w:name w:val="页脚 Char"/>
    <w:basedOn w:val="34"/>
    <w:link w:val="20"/>
    <w:qFormat/>
    <w:uiPriority w:val="99"/>
    <w:rPr>
      <w:sz w:val="18"/>
      <w:szCs w:val="18"/>
    </w:rPr>
  </w:style>
  <w:style w:type="character" w:customStyle="1" w:styleId="187">
    <w:name w:val="日期 Char"/>
    <w:basedOn w:val="34"/>
    <w:link w:val="17"/>
    <w:semiHidden/>
    <w:qFormat/>
    <w:uiPriority w:val="99"/>
    <w:rPr>
      <w:rFonts w:ascii="Times New Roman" w:hAnsi="Times New Roman" w:eastAsia="仿宋_GB2312" w:cs="Times New Roman"/>
      <w:sz w:val="32"/>
      <w:szCs w:val="24"/>
    </w:rPr>
  </w:style>
  <w:style w:type="paragraph" w:customStyle="1" w:styleId="188">
    <w:name w:val="正文缩进 + 首行缩进:  2 字符"/>
    <w:basedOn w:val="1"/>
    <w:qFormat/>
    <w:uiPriority w:val="0"/>
    <w:pPr>
      <w:ind w:firstLine="640"/>
    </w:pPr>
    <w:rPr>
      <w:rFonts w:cs="宋体"/>
      <w:szCs w:val="20"/>
    </w:rPr>
  </w:style>
  <w:style w:type="character" w:customStyle="1" w:styleId="189">
    <w:name w:val="批注框文本 Char"/>
    <w:basedOn w:val="34"/>
    <w:link w:val="19"/>
    <w:semiHidden/>
    <w:qFormat/>
    <w:uiPriority w:val="99"/>
    <w:rPr>
      <w:rFonts w:ascii="Times New Roman" w:hAnsi="Times New Roman" w:eastAsia="仿宋_GB2312" w:cs="Times New Roman"/>
      <w:sz w:val="18"/>
      <w:szCs w:val="18"/>
    </w:rPr>
  </w:style>
  <w:style w:type="paragraph" w:styleId="190">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7300</Words>
  <Characters>7732</Characters>
  <TotalTime>3</TotalTime>
  <ScaleCrop>false</ScaleCrop>
  <LinksUpToDate>false</LinksUpToDate>
  <CharactersWithSpaces>7749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2021-03-31T09:58:00Z</dcterms:created>
  <dc:creator>l13774129191@outlook.com</dc:creator>
  <cp:lastModifiedBy>The big bear</cp:lastModifiedBy>
  <dcterms:modified xsi:type="dcterms:W3CDTF">2025-11-17T00:48:16Z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5A0F1448F3E745EAB0CD15C37B16DAFC_13</vt:lpwstr>
  </property>
  <property fmtid="{D5CDD505-2E9C-101B-9397-08002B2CF9AE}" pid="4" name="KSOTemplateDocerSaveRecord">
    <vt:lpwstr>eyJoZGlkIjoiMTkzNTk1NWExY2M1NTY4NGQ1ZmFlOThiZGVmYjZmOWQiLCJ1c2VySWQiOiIzNDk2ODMyMzQifQ==</vt:lpwstr>
  </property>
</Properties>
</file>