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A5785">
      <w:pPr>
        <w:jc w:val="center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4</w:t>
      </w:r>
      <w:r>
        <w:rPr>
          <w:rFonts w:ascii="Times New Roman" w:hAnsi="Times New Roman" w:eastAsia="方正小标宋简体" w:cs="Times New Roman"/>
          <w:sz w:val="36"/>
          <w:szCs w:val="36"/>
          <w:lang w:eastAsia="zh-CN"/>
        </w:rPr>
        <w:t>年度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随州市市排水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中心</w:t>
      </w:r>
      <w:r>
        <w:rPr>
          <w:rFonts w:ascii="Times New Roman" w:hAnsi="Times New Roman" w:eastAsia="方正小标宋简体" w:cs="Times New Roman"/>
          <w:sz w:val="36"/>
          <w:szCs w:val="36"/>
          <w:lang w:eastAsia="zh-CN"/>
        </w:rPr>
        <w:t>项目自评表</w:t>
      </w:r>
    </w:p>
    <w:p w14:paraId="2B14ABA0">
      <w:pPr>
        <w:ind w:left="-708" w:leftChars="-337" w:right="113" w:rightChars="54"/>
        <w:rPr>
          <w:rFonts w:hint="eastAsia" w:ascii="仿宋" w:hAnsi="仿宋" w:eastAsia="仿宋" w:cs="Times New Roman"/>
          <w:lang w:eastAsia="zh-CN"/>
        </w:rPr>
      </w:pPr>
      <w:r>
        <w:rPr>
          <w:rFonts w:hint="eastAsia" w:ascii="Times New Roman" w:hAnsi="Times New Roman" w:eastAsia="仿宋_GB2312" w:cs="Times New Roman"/>
          <w:lang w:eastAsia="zh-CN"/>
        </w:rPr>
        <w:t xml:space="preserve">   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lang w:eastAsia="zh-CN"/>
        </w:rPr>
        <w:t xml:space="preserve"> </w:t>
      </w:r>
      <w:r>
        <w:rPr>
          <w:rFonts w:ascii="仿宋" w:hAnsi="仿宋" w:eastAsia="仿宋" w:cs="Times New Roman"/>
          <w:lang w:eastAsia="zh-CN"/>
        </w:rPr>
        <w:t>单位名称：</w:t>
      </w:r>
      <w:r>
        <w:rPr>
          <w:rFonts w:hint="eastAsia" w:ascii="仿宋" w:hAnsi="仿宋" w:eastAsia="仿宋" w:cs="Times New Roman"/>
          <w:lang w:eastAsia="zh-CN"/>
        </w:rPr>
        <w:t>随州市城市防洪排水事业发展中心</w:t>
      </w:r>
      <w:r>
        <w:rPr>
          <w:rFonts w:ascii="仿宋" w:hAnsi="仿宋" w:eastAsia="仿宋" w:cs="Times New Roman"/>
          <w:lang w:eastAsia="zh-CN"/>
        </w:rPr>
        <w:t xml:space="preserve">   </w:t>
      </w:r>
      <w:r>
        <w:rPr>
          <w:rFonts w:hint="eastAsia" w:ascii="仿宋" w:hAnsi="仿宋" w:eastAsia="仿宋" w:cs="Times New Roman"/>
          <w:lang w:eastAsia="zh-CN"/>
        </w:rPr>
        <w:t xml:space="preserve">                    </w:t>
      </w:r>
    </w:p>
    <w:p w14:paraId="7CAC0D46">
      <w:pPr>
        <w:ind w:left="-708" w:leftChars="-337" w:right="113" w:rightChars="54"/>
        <w:rPr>
          <w:rFonts w:ascii="仿宋" w:hAnsi="仿宋" w:eastAsia="仿宋" w:cs="Times New Roman"/>
          <w:lang w:eastAsia="zh-CN"/>
        </w:rPr>
      </w:pPr>
      <w:r>
        <w:rPr>
          <w:rFonts w:hint="eastAsia" w:ascii="仿宋" w:hAnsi="仿宋" w:eastAsia="仿宋" w:cs="Times New Roman"/>
          <w:lang w:eastAsia="zh-CN"/>
        </w:rPr>
        <w:t xml:space="preserve">    </w:t>
      </w:r>
      <w:r>
        <w:rPr>
          <w:rFonts w:hint="eastAsia" w:ascii="仿宋" w:hAnsi="仿宋" w:eastAsia="仿宋" w:cs="Times New Roman"/>
          <w:lang w:val="en-US" w:eastAsia="zh-CN"/>
        </w:rPr>
        <w:t xml:space="preserve">    </w:t>
      </w:r>
      <w:r>
        <w:rPr>
          <w:rFonts w:ascii="仿宋" w:hAnsi="仿宋" w:eastAsia="仿宋" w:cs="Times New Roman"/>
          <w:lang w:eastAsia="zh-CN"/>
        </w:rPr>
        <w:t>填报日期：</w:t>
      </w:r>
      <w:r>
        <w:rPr>
          <w:rFonts w:hint="eastAsia" w:ascii="仿宋" w:hAnsi="仿宋" w:eastAsia="仿宋" w:cs="Times New Roman"/>
          <w:lang w:eastAsia="zh-CN"/>
        </w:rPr>
        <w:t>202</w:t>
      </w:r>
      <w:r>
        <w:rPr>
          <w:rFonts w:hint="eastAsia" w:ascii="仿宋" w:hAnsi="仿宋" w:eastAsia="仿宋" w:cs="Times New Roman"/>
          <w:lang w:val="en-US" w:eastAsia="zh-CN"/>
        </w:rPr>
        <w:t>5</w:t>
      </w:r>
      <w:r>
        <w:rPr>
          <w:rFonts w:hint="eastAsia" w:ascii="仿宋" w:hAnsi="仿宋" w:eastAsia="仿宋" w:cs="Times New Roman"/>
          <w:lang w:eastAsia="zh-CN"/>
        </w:rPr>
        <w:t>年04月20日</w:t>
      </w:r>
      <w:r>
        <w:rPr>
          <w:rFonts w:ascii="仿宋" w:hAnsi="仿宋" w:eastAsia="仿宋" w:cs="Times New Roman"/>
          <w:lang w:eastAsia="zh-CN"/>
        </w:rPr>
        <w:t xml:space="preserve">                </w:t>
      </w:r>
      <w:r>
        <w:rPr>
          <w:rFonts w:hint="eastAsia" w:ascii="仿宋" w:hAnsi="仿宋" w:eastAsia="仿宋" w:cs="Times New Roman"/>
          <w:lang w:eastAsia="zh-CN"/>
        </w:rPr>
        <w:t>自评总分：</w:t>
      </w:r>
      <w:r>
        <w:rPr>
          <w:rFonts w:hint="eastAsia" w:ascii="仿宋" w:hAnsi="仿宋" w:eastAsia="仿宋" w:cs="Times New Roman"/>
          <w:lang w:val="en-US" w:eastAsia="zh-CN"/>
        </w:rPr>
        <w:t>98</w:t>
      </w:r>
      <w:r>
        <w:rPr>
          <w:rFonts w:hint="eastAsia" w:ascii="仿宋" w:hAnsi="仿宋" w:eastAsia="仿宋" w:cs="Times New Roman"/>
          <w:lang w:eastAsia="zh-CN"/>
        </w:rPr>
        <w:t>分</w:t>
      </w:r>
      <w:r>
        <w:rPr>
          <w:rFonts w:ascii="仿宋" w:hAnsi="仿宋" w:eastAsia="仿宋" w:cs="Times New Roman"/>
          <w:lang w:eastAsia="zh-CN"/>
        </w:rPr>
        <w:t xml:space="preserve"> </w:t>
      </w:r>
      <w:r>
        <w:rPr>
          <w:rFonts w:hint="eastAsia" w:ascii="仿宋" w:hAnsi="仿宋" w:eastAsia="仿宋" w:cs="Times New Roman"/>
          <w:lang w:eastAsia="zh-CN"/>
        </w:rPr>
        <w:t xml:space="preserve">            单位：万元</w:t>
      </w:r>
    </w:p>
    <w:tbl>
      <w:tblPr>
        <w:tblStyle w:val="3"/>
        <w:tblW w:w="8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86"/>
        <w:gridCol w:w="868"/>
        <w:gridCol w:w="1054"/>
        <w:gridCol w:w="794"/>
        <w:gridCol w:w="340"/>
        <w:gridCol w:w="905"/>
        <w:gridCol w:w="183"/>
        <w:gridCol w:w="1053"/>
        <w:gridCol w:w="1574"/>
      </w:tblGrid>
      <w:tr w14:paraId="3842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472CA578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项目名称</w:t>
            </w:r>
          </w:p>
        </w:tc>
        <w:tc>
          <w:tcPr>
            <w:tcW w:w="2716" w:type="dxa"/>
            <w:gridSpan w:val="3"/>
            <w:noWrap w:val="0"/>
            <w:vAlign w:val="center"/>
          </w:tcPr>
          <w:p w14:paraId="3136BAE3">
            <w:pPr>
              <w:jc w:val="center"/>
              <w:rPr>
                <w:rFonts w:hint="default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城区防汛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0B63C88F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项目实施单位</w:t>
            </w:r>
          </w:p>
        </w:tc>
        <w:tc>
          <w:tcPr>
            <w:tcW w:w="2810" w:type="dxa"/>
            <w:gridSpan w:val="3"/>
            <w:noWrap w:val="0"/>
            <w:vAlign w:val="center"/>
          </w:tcPr>
          <w:p w14:paraId="7A62918D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随州市城市防洪排水事业发展中心</w:t>
            </w:r>
          </w:p>
        </w:tc>
      </w:tr>
      <w:tr w14:paraId="25F4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419EFCC7">
            <w:pPr>
              <w:jc w:val="both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项目主管单位</w:t>
            </w:r>
          </w:p>
        </w:tc>
        <w:tc>
          <w:tcPr>
            <w:tcW w:w="2716" w:type="dxa"/>
            <w:gridSpan w:val="3"/>
            <w:noWrap w:val="0"/>
            <w:vAlign w:val="center"/>
          </w:tcPr>
          <w:p w14:paraId="102D4657">
            <w:pPr>
              <w:jc w:val="both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随州市住房和</w:t>
            </w:r>
            <w:r>
              <w:rPr>
                <w:rFonts w:hint="eastAsia" w:ascii="仿宋" w:hAnsi="仿宋" w:eastAsia="仿宋" w:cs="Times New Roman"/>
                <w:lang w:val="en-US" w:eastAsia="zh-CN"/>
              </w:rPr>
              <w:t>城市更新</w:t>
            </w:r>
            <w:r>
              <w:rPr>
                <w:rFonts w:hint="eastAsia" w:ascii="仿宋" w:hAnsi="仿宋" w:eastAsia="仿宋" w:cs="Times New Roman"/>
                <w:lang w:eastAsia="zh-CN"/>
              </w:rPr>
              <w:t>局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503F47C6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项目负责人</w:t>
            </w:r>
          </w:p>
        </w:tc>
        <w:tc>
          <w:tcPr>
            <w:tcW w:w="2810" w:type="dxa"/>
            <w:gridSpan w:val="3"/>
            <w:noWrap w:val="0"/>
            <w:vAlign w:val="center"/>
          </w:tcPr>
          <w:p w14:paraId="47857F6F">
            <w:pPr>
              <w:jc w:val="both"/>
              <w:rPr>
                <w:rFonts w:hint="default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 xml:space="preserve">          郝庆</w:t>
            </w:r>
          </w:p>
        </w:tc>
      </w:tr>
      <w:tr w14:paraId="77E2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21877372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资金性质</w:t>
            </w:r>
          </w:p>
        </w:tc>
        <w:tc>
          <w:tcPr>
            <w:tcW w:w="6771" w:type="dxa"/>
            <w:gridSpan w:val="8"/>
            <w:noWrap w:val="0"/>
            <w:vAlign w:val="center"/>
          </w:tcPr>
          <w:p w14:paraId="63E7F624">
            <w:pPr>
              <w:ind w:firstLine="420" w:firstLineChars="200"/>
              <w:jc w:val="both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  <w:lang w:eastAsia="zh-CN"/>
              </w:rPr>
              <w:t xml:space="preserve">  </w:t>
            </w:r>
            <w:r>
              <w:rPr>
                <w:rFonts w:ascii="仿宋" w:hAnsi="仿宋" w:eastAsia="仿宋" w:cs="Times New Roman"/>
                <w:lang w:eastAsia="zh-CN"/>
              </w:rPr>
              <w:fldChar w:fldCharType="begin"/>
            </w:r>
            <w:r>
              <w:rPr>
                <w:rFonts w:ascii="仿宋" w:hAnsi="仿宋" w:eastAsia="仿宋" w:cs="Times New Roman"/>
                <w:lang w:eastAsia="zh-CN"/>
              </w:rPr>
              <w:instrText xml:space="preserve"> </w:instrText>
            </w:r>
            <w:r>
              <w:rPr>
                <w:rFonts w:hint="eastAsia" w:ascii="仿宋" w:hAnsi="仿宋" w:eastAsia="仿宋" w:cs="Times New Roman"/>
                <w:lang w:eastAsia="zh-CN"/>
              </w:rPr>
              <w:instrText xml:space="preserve">eq \o\ac(○,□)</w:instrText>
            </w:r>
            <w:r>
              <w:rPr>
                <w:rFonts w:ascii="仿宋" w:hAnsi="仿宋" w:eastAsia="仿宋" w:cs="Times New Roman"/>
                <w:lang w:eastAsia="zh-CN"/>
              </w:rPr>
              <w:fldChar w:fldCharType="end"/>
            </w:r>
            <w:r>
              <w:rPr>
                <w:rFonts w:ascii="仿宋" w:hAnsi="仿宋" w:eastAsia="仿宋" w:cs="Times New Roman"/>
                <w:lang w:eastAsia="zh-CN"/>
              </w:rPr>
              <w:t xml:space="preserve"> 1、持续性项目    2、</w:t>
            </w:r>
            <w:r>
              <w:rPr>
                <w:rFonts w:hint="eastAsia" w:ascii="仿宋" w:hAnsi="仿宋" w:eastAsia="仿宋" w:cs="Times New Roman"/>
                <w:lang w:eastAsia="zh-CN"/>
              </w:rPr>
              <w:t>一次</w:t>
            </w:r>
            <w:r>
              <w:rPr>
                <w:rFonts w:ascii="仿宋" w:hAnsi="仿宋" w:eastAsia="仿宋" w:cs="Times New Roman"/>
                <w:lang w:eastAsia="zh-CN"/>
              </w:rPr>
              <w:t xml:space="preserve">性项目 </w:t>
            </w:r>
            <w:r>
              <w:rPr>
                <w:rFonts w:hint="eastAsia" w:ascii="仿宋" w:hAnsi="仿宋" w:eastAsia="仿宋" w:cs="Times New Roman"/>
                <w:lang w:eastAsia="zh-CN"/>
              </w:rPr>
              <w:t xml:space="preserve">   </w:t>
            </w:r>
            <w:r>
              <w:rPr>
                <w:rFonts w:ascii="仿宋" w:hAnsi="仿宋" w:eastAsia="仿宋" w:cs="Times New Roman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lang w:eastAsia="zh-CN"/>
              </w:rPr>
              <w:t xml:space="preserve">3、债券项目   </w:t>
            </w:r>
          </w:p>
        </w:tc>
      </w:tr>
      <w:tr w14:paraId="4597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47" w:type="dxa"/>
            <w:gridSpan w:val="2"/>
            <w:vMerge w:val="restart"/>
            <w:noWrap w:val="0"/>
            <w:vAlign w:val="center"/>
          </w:tcPr>
          <w:p w14:paraId="3DE84CEF">
            <w:pPr>
              <w:jc w:val="both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项目资金来源</w:t>
            </w:r>
          </w:p>
          <w:p w14:paraId="39096FFC">
            <w:pPr>
              <w:ind w:firstLine="210" w:firstLineChars="100"/>
              <w:jc w:val="both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（万元）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3541BCE0">
            <w:pPr>
              <w:ind w:firstLine="630" w:firstLineChars="300"/>
              <w:jc w:val="both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中央、省级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B541FB9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本级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742E01FD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其他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08932215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合计</w:t>
            </w:r>
          </w:p>
        </w:tc>
      </w:tr>
      <w:tr w14:paraId="6CDEE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47" w:type="dxa"/>
            <w:gridSpan w:val="2"/>
            <w:vMerge w:val="continue"/>
            <w:noWrap w:val="0"/>
            <w:vAlign w:val="center"/>
          </w:tcPr>
          <w:p w14:paraId="5664DAB6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22" w:type="dxa"/>
            <w:gridSpan w:val="2"/>
            <w:noWrap w:val="0"/>
            <w:vAlign w:val="center"/>
          </w:tcPr>
          <w:p w14:paraId="5D68724D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C1AFE22">
            <w:pPr>
              <w:jc w:val="center"/>
              <w:rPr>
                <w:rFonts w:hint="default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20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220E4D70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</w:p>
        </w:tc>
        <w:tc>
          <w:tcPr>
            <w:tcW w:w="2627" w:type="dxa"/>
            <w:gridSpan w:val="2"/>
            <w:noWrap w:val="0"/>
            <w:vAlign w:val="center"/>
          </w:tcPr>
          <w:p w14:paraId="72C8DD29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20</w:t>
            </w:r>
          </w:p>
        </w:tc>
      </w:tr>
      <w:tr w14:paraId="128B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47" w:type="dxa"/>
            <w:gridSpan w:val="2"/>
            <w:vMerge w:val="restart"/>
            <w:noWrap w:val="0"/>
            <w:vAlign w:val="center"/>
          </w:tcPr>
          <w:p w14:paraId="2A273F8C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  <w:lang w:eastAsia="zh-CN"/>
              </w:rPr>
              <w:t>预算执行情况（万元）</w:t>
            </w:r>
          </w:p>
          <w:p w14:paraId="69FDC4D1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  <w:lang w:eastAsia="zh-CN"/>
              </w:rPr>
              <w:t>（20分）</w:t>
            </w:r>
          </w:p>
        </w:tc>
        <w:tc>
          <w:tcPr>
            <w:tcW w:w="868" w:type="dxa"/>
            <w:noWrap w:val="0"/>
            <w:vAlign w:val="center"/>
          </w:tcPr>
          <w:p w14:paraId="2CB9D776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7A7DAA14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</w:rPr>
              <w:t>预算数</w:t>
            </w:r>
          </w:p>
          <w:p w14:paraId="75D1B13F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（A）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CFA375F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</w:rPr>
              <w:t>执行数</w:t>
            </w:r>
          </w:p>
          <w:p w14:paraId="177BA09C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（B）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016D2850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</w:rPr>
              <w:t>执行率</w:t>
            </w:r>
            <w:r>
              <w:rPr>
                <w:rFonts w:hint="eastAsia" w:ascii="仿宋" w:hAnsi="仿宋" w:eastAsia="仿宋" w:cs="Times New Roman"/>
                <w:lang w:eastAsia="zh-CN"/>
              </w:rPr>
              <w:t>%</w:t>
            </w:r>
          </w:p>
          <w:p w14:paraId="2BC61732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（B/A）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1EF44E93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得分</w:t>
            </w:r>
          </w:p>
          <w:p w14:paraId="01B27E18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（20分*执行率）</w:t>
            </w:r>
          </w:p>
        </w:tc>
      </w:tr>
      <w:tr w14:paraId="4B6C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47" w:type="dxa"/>
            <w:gridSpan w:val="2"/>
            <w:vMerge w:val="continue"/>
            <w:noWrap w:val="0"/>
            <w:vAlign w:val="center"/>
          </w:tcPr>
          <w:p w14:paraId="02481418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868" w:type="dxa"/>
            <w:noWrap w:val="0"/>
            <w:vAlign w:val="center"/>
          </w:tcPr>
          <w:p w14:paraId="60962D17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年度财政资金总额</w:t>
            </w:r>
          </w:p>
        </w:tc>
        <w:tc>
          <w:tcPr>
            <w:tcW w:w="1054" w:type="dxa"/>
            <w:noWrap w:val="0"/>
            <w:vAlign w:val="center"/>
          </w:tcPr>
          <w:p w14:paraId="6E17FCF0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20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E7A1D55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20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5093D6B5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100%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7C7FCE76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20</w:t>
            </w:r>
          </w:p>
        </w:tc>
      </w:tr>
      <w:tr w14:paraId="27DB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61" w:type="dxa"/>
            <w:vMerge w:val="restart"/>
            <w:noWrap w:val="0"/>
            <w:vAlign w:val="center"/>
          </w:tcPr>
          <w:p w14:paraId="38E9E5F2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  <w:lang w:eastAsia="zh-CN"/>
              </w:rPr>
              <w:t>年度绩效目标</w:t>
            </w:r>
          </w:p>
          <w:p w14:paraId="4ED5372D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lang w:eastAsia="zh-CN"/>
              </w:rPr>
              <w:t>80</w:t>
            </w:r>
            <w:r>
              <w:rPr>
                <w:rFonts w:ascii="仿宋" w:hAnsi="仿宋" w:eastAsia="仿宋" w:cs="Times New Roman"/>
                <w:lang w:eastAsia="zh-CN"/>
              </w:rPr>
              <w:t>分）</w:t>
            </w:r>
          </w:p>
        </w:tc>
        <w:tc>
          <w:tcPr>
            <w:tcW w:w="586" w:type="dxa"/>
            <w:noWrap w:val="0"/>
            <w:vAlign w:val="center"/>
          </w:tcPr>
          <w:p w14:paraId="5E7E1EFE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一级指标</w:t>
            </w:r>
          </w:p>
        </w:tc>
        <w:tc>
          <w:tcPr>
            <w:tcW w:w="868" w:type="dxa"/>
            <w:noWrap w:val="0"/>
            <w:vAlign w:val="center"/>
          </w:tcPr>
          <w:p w14:paraId="47911440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二级指标</w:t>
            </w:r>
          </w:p>
        </w:tc>
        <w:tc>
          <w:tcPr>
            <w:tcW w:w="2188" w:type="dxa"/>
            <w:gridSpan w:val="3"/>
            <w:noWrap w:val="0"/>
            <w:vAlign w:val="center"/>
          </w:tcPr>
          <w:p w14:paraId="540374C6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三级指标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234F8914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年初目标值（A）</w:t>
            </w:r>
          </w:p>
        </w:tc>
        <w:tc>
          <w:tcPr>
            <w:tcW w:w="1053" w:type="dxa"/>
            <w:noWrap w:val="0"/>
            <w:vAlign w:val="center"/>
          </w:tcPr>
          <w:p w14:paraId="12310337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实际完成值（B）</w:t>
            </w:r>
          </w:p>
        </w:tc>
        <w:tc>
          <w:tcPr>
            <w:tcW w:w="1574" w:type="dxa"/>
            <w:noWrap w:val="0"/>
            <w:vAlign w:val="center"/>
          </w:tcPr>
          <w:p w14:paraId="14A601F1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得分</w:t>
            </w:r>
          </w:p>
        </w:tc>
      </w:tr>
      <w:tr w14:paraId="2E87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060777A6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586" w:type="dxa"/>
            <w:vMerge w:val="restart"/>
            <w:noWrap w:val="0"/>
            <w:vAlign w:val="center"/>
          </w:tcPr>
          <w:p w14:paraId="3468495E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ascii="仿宋" w:hAnsi="仿宋" w:eastAsia="仿宋" w:cs="Times New Roman"/>
              </w:rPr>
              <w:t>产出指标</w:t>
            </w:r>
          </w:p>
        </w:tc>
        <w:tc>
          <w:tcPr>
            <w:tcW w:w="868" w:type="dxa"/>
            <w:noWrap w:val="0"/>
            <w:vAlign w:val="center"/>
          </w:tcPr>
          <w:p w14:paraId="1D430D2F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经济效益     （20分）</w:t>
            </w:r>
          </w:p>
        </w:tc>
        <w:tc>
          <w:tcPr>
            <w:tcW w:w="2188" w:type="dxa"/>
            <w:gridSpan w:val="3"/>
            <w:noWrap w:val="0"/>
            <w:vAlign w:val="center"/>
          </w:tcPr>
          <w:p w14:paraId="22B1363E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改善居住环境，聚集服务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455FB0F9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20</w:t>
            </w:r>
          </w:p>
        </w:tc>
        <w:tc>
          <w:tcPr>
            <w:tcW w:w="1053" w:type="dxa"/>
            <w:noWrap w:val="0"/>
            <w:vAlign w:val="center"/>
          </w:tcPr>
          <w:p w14:paraId="793A5B69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20</w:t>
            </w:r>
          </w:p>
        </w:tc>
        <w:tc>
          <w:tcPr>
            <w:tcW w:w="1574" w:type="dxa"/>
            <w:noWrap w:val="0"/>
            <w:vAlign w:val="center"/>
          </w:tcPr>
          <w:p w14:paraId="0AFEFC80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20</w:t>
            </w:r>
          </w:p>
        </w:tc>
      </w:tr>
      <w:tr w14:paraId="155A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exac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19FF9D80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586" w:type="dxa"/>
            <w:vMerge w:val="continue"/>
            <w:noWrap w:val="0"/>
            <w:vAlign w:val="center"/>
          </w:tcPr>
          <w:p w14:paraId="4BA60759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868" w:type="dxa"/>
            <w:noWrap w:val="0"/>
            <w:vAlign w:val="center"/>
          </w:tcPr>
          <w:p w14:paraId="2738A95F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质量指标（20分）</w:t>
            </w:r>
          </w:p>
        </w:tc>
        <w:tc>
          <w:tcPr>
            <w:tcW w:w="2188" w:type="dxa"/>
            <w:gridSpan w:val="3"/>
            <w:noWrap w:val="0"/>
            <w:vAlign w:val="center"/>
          </w:tcPr>
          <w:p w14:paraId="61776BE6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统筹项目推进，提升城市排涝和安全运行保障能力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30BB8948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100%</w:t>
            </w:r>
          </w:p>
        </w:tc>
        <w:tc>
          <w:tcPr>
            <w:tcW w:w="1053" w:type="dxa"/>
            <w:noWrap w:val="0"/>
            <w:vAlign w:val="center"/>
          </w:tcPr>
          <w:p w14:paraId="59A56CFE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完成</w:t>
            </w:r>
          </w:p>
        </w:tc>
        <w:tc>
          <w:tcPr>
            <w:tcW w:w="1574" w:type="dxa"/>
            <w:noWrap w:val="0"/>
            <w:vAlign w:val="center"/>
          </w:tcPr>
          <w:p w14:paraId="6FD1087B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20</w:t>
            </w:r>
          </w:p>
        </w:tc>
      </w:tr>
      <w:tr w14:paraId="3536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426E96A5"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586" w:type="dxa"/>
            <w:vMerge w:val="restart"/>
            <w:noWrap w:val="0"/>
            <w:vAlign w:val="center"/>
          </w:tcPr>
          <w:p w14:paraId="37842A6A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效益指标</w:t>
            </w:r>
          </w:p>
        </w:tc>
        <w:tc>
          <w:tcPr>
            <w:tcW w:w="868" w:type="dxa"/>
            <w:noWrap w:val="0"/>
            <w:vAlign w:val="center"/>
          </w:tcPr>
          <w:p w14:paraId="5FB3F9EB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社会效益（20分）</w:t>
            </w:r>
          </w:p>
        </w:tc>
        <w:tc>
          <w:tcPr>
            <w:tcW w:w="2188" w:type="dxa"/>
            <w:gridSpan w:val="3"/>
            <w:noWrap w:val="0"/>
            <w:vAlign w:val="center"/>
          </w:tcPr>
          <w:p w14:paraId="57692328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保障城市防汛安全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667C0A8D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100%</w:t>
            </w:r>
          </w:p>
        </w:tc>
        <w:tc>
          <w:tcPr>
            <w:tcW w:w="1053" w:type="dxa"/>
            <w:noWrap w:val="0"/>
            <w:vAlign w:val="center"/>
          </w:tcPr>
          <w:p w14:paraId="2933BB79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完成</w:t>
            </w:r>
          </w:p>
        </w:tc>
        <w:tc>
          <w:tcPr>
            <w:tcW w:w="1574" w:type="dxa"/>
            <w:noWrap w:val="0"/>
            <w:vAlign w:val="center"/>
          </w:tcPr>
          <w:p w14:paraId="004FFBBA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20</w:t>
            </w:r>
          </w:p>
        </w:tc>
      </w:tr>
      <w:tr w14:paraId="1C1D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57774CDB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</w:p>
        </w:tc>
        <w:tc>
          <w:tcPr>
            <w:tcW w:w="586" w:type="dxa"/>
            <w:vMerge w:val="continue"/>
            <w:noWrap w:val="0"/>
            <w:vAlign w:val="center"/>
          </w:tcPr>
          <w:p w14:paraId="7FEF5241">
            <w:pPr>
              <w:jc w:val="center"/>
              <w:rPr>
                <w:rFonts w:ascii="仿宋" w:hAnsi="仿宋" w:eastAsia="仿宋" w:cs="Times New Roman"/>
                <w:lang w:eastAsia="zh-CN"/>
              </w:rPr>
            </w:pPr>
          </w:p>
        </w:tc>
        <w:tc>
          <w:tcPr>
            <w:tcW w:w="868" w:type="dxa"/>
            <w:noWrap w:val="0"/>
            <w:vAlign w:val="center"/>
          </w:tcPr>
          <w:p w14:paraId="00F4EAE7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生态效益（20分）</w:t>
            </w:r>
          </w:p>
        </w:tc>
        <w:tc>
          <w:tcPr>
            <w:tcW w:w="2188" w:type="dxa"/>
            <w:gridSpan w:val="3"/>
            <w:noWrap w:val="0"/>
            <w:vAlign w:val="center"/>
          </w:tcPr>
          <w:p w14:paraId="66D3C11F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提高人民生活及健康水平起到积极作用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 w14:paraId="7D9F6BA0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100%</w:t>
            </w:r>
          </w:p>
        </w:tc>
        <w:tc>
          <w:tcPr>
            <w:tcW w:w="1053" w:type="dxa"/>
            <w:noWrap w:val="0"/>
            <w:vAlign w:val="center"/>
          </w:tcPr>
          <w:p w14:paraId="58EDCEF0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完成</w:t>
            </w:r>
          </w:p>
        </w:tc>
        <w:tc>
          <w:tcPr>
            <w:tcW w:w="1574" w:type="dxa"/>
            <w:noWrap w:val="0"/>
            <w:vAlign w:val="center"/>
          </w:tcPr>
          <w:p w14:paraId="6398047C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18</w:t>
            </w:r>
          </w:p>
        </w:tc>
      </w:tr>
      <w:tr w14:paraId="608B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61" w:type="dxa"/>
            <w:noWrap w:val="0"/>
            <w:vAlign w:val="center"/>
          </w:tcPr>
          <w:p w14:paraId="32DF3D17"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总分</w:t>
            </w:r>
          </w:p>
        </w:tc>
        <w:tc>
          <w:tcPr>
            <w:tcW w:w="7357" w:type="dxa"/>
            <w:gridSpan w:val="9"/>
            <w:noWrap w:val="0"/>
            <w:vAlign w:val="center"/>
          </w:tcPr>
          <w:p w14:paraId="4F41BCBE">
            <w:pPr>
              <w:jc w:val="center"/>
              <w:rPr>
                <w:rFonts w:hint="eastAsia" w:ascii="仿宋" w:hAnsi="仿宋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Times New Roman"/>
                <w:lang w:eastAsia="zh-CN"/>
              </w:rPr>
              <w:t>98</w:t>
            </w:r>
          </w:p>
        </w:tc>
      </w:tr>
    </w:tbl>
    <w:p w14:paraId="6E64D63D">
      <w:pPr>
        <w:spacing w:before="44" w:line="221" w:lineRule="auto"/>
        <w:rPr>
          <w:rFonts w:hint="eastAsia" w:ascii="仿宋" w:hAnsi="仿宋" w:eastAsia="仿宋" w:cs="Times New Roman"/>
          <w:lang w:eastAsia="zh-CN"/>
        </w:rPr>
      </w:pPr>
      <w:r>
        <w:rPr>
          <w:rFonts w:hint="eastAsia" w:ascii="仿宋" w:hAnsi="仿宋" w:eastAsia="仿宋" w:cs="Times New Roman"/>
          <w:lang w:eastAsia="zh-CN"/>
        </w:rPr>
        <w:t xml:space="preserve">                                                                         </w:t>
      </w:r>
    </w:p>
    <w:p w14:paraId="410C0EFD">
      <w:pPr>
        <w:spacing w:before="44" w:line="221" w:lineRule="auto"/>
        <w:rPr>
          <w:rFonts w:ascii="仿宋" w:hAnsi="仿宋" w:eastAsia="仿宋" w:cs="Times New Roman"/>
          <w:lang w:eastAsia="zh-CN"/>
        </w:rPr>
      </w:pPr>
      <w:r>
        <w:rPr>
          <w:rFonts w:ascii="仿宋" w:hAnsi="仿宋" w:eastAsia="仿宋" w:cs="Times New Roman"/>
          <w:lang w:eastAsia="zh-CN"/>
        </w:rPr>
        <w:t>备注：</w:t>
      </w:r>
      <w:r>
        <w:rPr>
          <w:rFonts w:hint="eastAsia" w:ascii="仿宋" w:hAnsi="仿宋" w:eastAsia="仿宋" w:cs="Times New Roman"/>
          <w:lang w:eastAsia="zh-CN"/>
        </w:rPr>
        <w:t xml:space="preserve">        </w:t>
      </w:r>
    </w:p>
    <w:p w14:paraId="4408E188">
      <w:pPr>
        <w:spacing w:before="64" w:line="234" w:lineRule="auto"/>
        <w:ind w:left="35" w:right="125" w:firstLine="429"/>
        <w:rPr>
          <w:rFonts w:ascii="仿宋" w:hAnsi="仿宋" w:eastAsia="仿宋" w:cs="Times New Roman"/>
          <w:lang w:eastAsia="zh-CN"/>
        </w:rPr>
      </w:pPr>
      <w:r>
        <w:rPr>
          <w:rFonts w:ascii="仿宋" w:hAnsi="仿宋" w:eastAsia="仿宋" w:cs="Times New Roman"/>
          <w:lang w:eastAsia="zh-CN"/>
        </w:rPr>
        <w:t>1.预算执行情况口径：预算数为调整后财政资金总额</w:t>
      </w:r>
      <w:r>
        <w:rPr>
          <w:rFonts w:hint="eastAsia" w:ascii="仿宋" w:hAnsi="仿宋" w:eastAsia="仿宋" w:cs="Times New Roman"/>
          <w:lang w:eastAsia="zh-CN"/>
        </w:rPr>
        <w:t>（</w:t>
      </w:r>
      <w:r>
        <w:rPr>
          <w:rFonts w:ascii="仿宋" w:hAnsi="仿宋" w:eastAsia="仿宋" w:cs="Times New Roman"/>
          <w:lang w:eastAsia="zh-CN"/>
        </w:rPr>
        <w:t>包括上年结余结转</w:t>
      </w:r>
      <w:r>
        <w:rPr>
          <w:rFonts w:hint="eastAsia" w:ascii="仿宋" w:hAnsi="仿宋" w:eastAsia="仿宋" w:cs="Times New Roman"/>
          <w:lang w:eastAsia="zh-CN"/>
        </w:rPr>
        <w:t>），</w:t>
      </w:r>
      <w:r>
        <w:rPr>
          <w:rFonts w:ascii="仿宋" w:hAnsi="仿宋" w:eastAsia="仿宋" w:cs="Times New Roman"/>
          <w:lang w:eastAsia="zh-CN"/>
        </w:rPr>
        <w:t>执行数为资金使用单位财政资金实际支出数。</w:t>
      </w:r>
    </w:p>
    <w:p w14:paraId="1D2900AD">
      <w:pPr>
        <w:pStyle w:val="2"/>
        <w:spacing w:before="66" w:line="220" w:lineRule="auto"/>
        <w:ind w:left="464"/>
        <w:rPr>
          <w:rFonts w:cs="Times New Roman"/>
          <w:sz w:val="21"/>
          <w:szCs w:val="21"/>
          <w:lang w:eastAsia="zh-CN"/>
        </w:rPr>
      </w:pPr>
      <w:r>
        <w:rPr>
          <w:rFonts w:cs="Times New Roman"/>
          <w:sz w:val="21"/>
          <w:szCs w:val="21"/>
          <w:lang w:eastAsia="zh-CN"/>
        </w:rPr>
        <w:t>2.基于经济性和必要性等因素考虑，满意度指标暂可不作为必评指标</w:t>
      </w:r>
      <w:r>
        <w:rPr>
          <w:rFonts w:hint="eastAsia" w:cs="Times New Roman"/>
          <w:sz w:val="21"/>
          <w:szCs w:val="21"/>
          <w:lang w:eastAsia="zh-CN"/>
        </w:rPr>
        <w:t>。</w:t>
      </w:r>
    </w:p>
    <w:p w14:paraId="1E9D347C">
      <w:pPr>
        <w:pStyle w:val="2"/>
        <w:spacing w:before="57" w:line="246" w:lineRule="auto"/>
        <w:ind w:left="35" w:right="141" w:firstLine="429"/>
        <w:rPr>
          <w:rFonts w:cs="Times New Roman"/>
          <w:sz w:val="21"/>
          <w:szCs w:val="21"/>
          <w:lang w:eastAsia="zh-CN"/>
        </w:rPr>
      </w:pPr>
      <w:r>
        <w:rPr>
          <w:rFonts w:cs="Times New Roman"/>
          <w:sz w:val="21"/>
          <w:szCs w:val="21"/>
          <w:lang w:eastAsia="zh-CN"/>
        </w:rPr>
        <w:t>3.部门预算项目以二级项目填报，市</w:t>
      </w:r>
      <w:bookmarkStart w:id="0" w:name="_GoBack"/>
      <w:bookmarkEnd w:id="0"/>
      <w:r>
        <w:rPr>
          <w:rFonts w:cs="Times New Roman"/>
          <w:sz w:val="21"/>
          <w:szCs w:val="21"/>
          <w:lang w:eastAsia="zh-CN"/>
        </w:rPr>
        <w:t>直专项、市对下专项转移支付项目、具有特定用途和具 体使用目标的共同事权类一般性转移支付以一级项目填报。</w:t>
      </w:r>
    </w:p>
    <w:p w14:paraId="32C6C515">
      <w:pPr>
        <w:pStyle w:val="2"/>
        <w:spacing w:before="57" w:line="246" w:lineRule="auto"/>
        <w:ind w:left="35" w:right="141" w:firstLine="429"/>
        <w:rPr>
          <w:rFonts w:hint="eastAsia" w:cs="Times New Roman"/>
          <w:sz w:val="21"/>
          <w:szCs w:val="21"/>
          <w:lang w:eastAsia="zh-CN"/>
        </w:rPr>
      </w:pPr>
      <w:r>
        <w:rPr>
          <w:rFonts w:cs="Times New Roman"/>
          <w:sz w:val="21"/>
          <w:szCs w:val="21"/>
          <w:lang w:eastAsia="zh-CN"/>
        </w:rPr>
        <w:t>用目标的共同事权类一般性转移支付以一级项目填报。</w:t>
      </w:r>
    </w:p>
    <w:p w14:paraId="4D7634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17CEE"/>
    <w:rsid w:val="024C36EF"/>
    <w:rsid w:val="24F1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594</Characters>
  <Lines>0</Lines>
  <Paragraphs>0</Paragraphs>
  <TotalTime>2</TotalTime>
  <ScaleCrop>false</ScaleCrop>
  <LinksUpToDate>false</LinksUpToDate>
  <CharactersWithSpaces>774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2025-04-16T08:07:00Z</dcterms:created>
  <dc:creator>SXH</dc:creator>
  <cp:lastModifiedBy>SXH</cp:lastModifiedBy>
  <dcterms:modified xsi:type="dcterms:W3CDTF">2025-04-25T07:55:40Z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8D8C6B0BE3634ABE8B3195E8312F4396_11</vt:lpwstr>
  </property>
  <property fmtid="{D5CDD505-2E9C-101B-9397-08002B2CF9AE}" pid="4" name="KSOTemplateDocerSaveRecord">
    <vt:lpwstr>eyJoZGlkIjoiNTgxYjNlNDhmN2VjOTM1ZmJjYTMwOWI2Njk0YWMyODUiLCJ1c2VySWQiOiIzNTM2NTc3NjUifQ==</vt:lpwstr>
  </property>
</Properties>
</file>