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9CF1CC">
      <w:pPr>
        <w:keepNext w:val="0"/>
        <w:keepLines w:val="0"/>
        <w:pageBreakBefore w:val="0"/>
        <w:widowControl w:val="0"/>
        <w:kinsoku/>
        <w:wordWrap/>
        <w:overflowPunct/>
        <w:topLinePunct w:val="0"/>
        <w:autoSpaceDE/>
        <w:autoSpaceDN/>
        <w:bidi w:val="0"/>
        <w:adjustRightInd/>
        <w:snapToGrid/>
        <w:spacing w:line="620" w:lineRule="exact"/>
        <w:ind w:left="0" w:leftChars="0"/>
        <w:jc w:val="center"/>
        <w:textAlignment w:val="auto"/>
        <w:rPr>
          <w:rFonts w:hint="default" w:ascii="Times New Roman" w:hAnsi="Times New Roman" w:eastAsia="方正大标宋简体" w:cs="Times New Roman"/>
          <w:color w:val="auto"/>
          <w:sz w:val="40"/>
          <w:szCs w:val="40"/>
          <w:highlight w:val="none"/>
        </w:rPr>
      </w:pPr>
      <w:r>
        <w:rPr>
          <w:rFonts w:hint="eastAsia" w:eastAsia="方正大标宋简体" w:cs="Times New Roman"/>
          <w:color w:val="auto"/>
          <w:sz w:val="40"/>
          <w:szCs w:val="40"/>
          <w:highlight w:val="none"/>
          <w:lang w:eastAsia="zh-CN"/>
        </w:rPr>
        <w:t>共青团随州市委2025年</w:t>
      </w:r>
      <w:r>
        <w:rPr>
          <w:rFonts w:hint="default" w:ascii="Times New Roman" w:hAnsi="Times New Roman" w:eastAsia="方正大标宋简体" w:cs="Times New Roman"/>
          <w:color w:val="auto"/>
          <w:sz w:val="40"/>
          <w:szCs w:val="40"/>
          <w:highlight w:val="none"/>
        </w:rPr>
        <w:t>部门预算</w:t>
      </w:r>
    </w:p>
    <w:p w14:paraId="73F4829B">
      <w:pPr>
        <w:keepNext w:val="0"/>
        <w:keepLines w:val="0"/>
        <w:pageBreakBefore w:val="0"/>
        <w:widowControl w:val="0"/>
        <w:kinsoku/>
        <w:wordWrap/>
        <w:overflowPunct/>
        <w:topLinePunct w:val="0"/>
        <w:autoSpaceDE/>
        <w:autoSpaceDN/>
        <w:bidi w:val="0"/>
        <w:adjustRightInd/>
        <w:snapToGrid/>
        <w:spacing w:line="620" w:lineRule="exact"/>
        <w:ind w:left="0" w:leftChars="0"/>
        <w:jc w:val="center"/>
        <w:textAlignment w:val="auto"/>
        <w:rPr>
          <w:rFonts w:hint="default" w:ascii="Times New Roman" w:hAnsi="Times New Roman" w:eastAsia="方正大标宋简体" w:cs="Times New Roman"/>
          <w:color w:val="auto"/>
          <w:sz w:val="40"/>
          <w:szCs w:val="40"/>
          <w:highlight w:val="none"/>
        </w:rPr>
      </w:pPr>
    </w:p>
    <w:p w14:paraId="6CC6A7AC">
      <w:pPr>
        <w:keepNext w:val="0"/>
        <w:keepLines w:val="0"/>
        <w:pageBreakBefore w:val="0"/>
        <w:widowControl w:val="0"/>
        <w:kinsoku/>
        <w:wordWrap/>
        <w:overflowPunct/>
        <w:topLinePunct w:val="0"/>
        <w:autoSpaceDE/>
        <w:autoSpaceDN/>
        <w:bidi w:val="0"/>
        <w:adjustRightInd/>
        <w:snapToGrid/>
        <w:spacing w:line="620" w:lineRule="exact"/>
        <w:ind w:left="0" w:leftChars="0"/>
        <w:jc w:val="center"/>
        <w:textAlignment w:val="auto"/>
        <w:rPr>
          <w:rFonts w:hint="default" w:ascii="Times New Roman" w:hAnsi="Times New Roman" w:eastAsia="方正大标宋简体" w:cs="Times New Roman"/>
          <w:color w:val="auto"/>
          <w:sz w:val="40"/>
          <w:szCs w:val="40"/>
          <w:highlight w:val="none"/>
        </w:rPr>
      </w:pPr>
      <w:r>
        <w:rPr>
          <w:rFonts w:hint="default" w:ascii="Times New Roman" w:hAnsi="Times New Roman" w:eastAsia="方正大标宋简体" w:cs="Times New Roman"/>
          <w:color w:val="auto"/>
          <w:sz w:val="40"/>
          <w:szCs w:val="40"/>
          <w:highlight w:val="none"/>
        </w:rPr>
        <w:t>目   录</w:t>
      </w:r>
      <w:bookmarkStart w:id="0" w:name="_GoBack"/>
      <w:bookmarkEnd w:id="0"/>
    </w:p>
    <w:p w14:paraId="73E78A95">
      <w:pPr>
        <w:keepNext w:val="0"/>
        <w:keepLines w:val="0"/>
        <w:pageBreakBefore w:val="0"/>
        <w:widowControl w:val="0"/>
        <w:kinsoku/>
        <w:wordWrap/>
        <w:overflowPunct/>
        <w:topLinePunct w:val="0"/>
        <w:autoSpaceDE/>
        <w:autoSpaceDN/>
        <w:bidi w:val="0"/>
        <w:adjustRightInd/>
        <w:snapToGrid/>
        <w:spacing w:line="620" w:lineRule="exact"/>
        <w:ind w:left="0" w:leftChars="0"/>
        <w:jc w:val="center"/>
        <w:textAlignment w:val="auto"/>
        <w:rPr>
          <w:rFonts w:hint="default" w:ascii="Times New Roman" w:hAnsi="Times New Roman" w:eastAsia="方正大标宋简体" w:cs="Times New Roman"/>
          <w:color w:val="auto"/>
          <w:sz w:val="40"/>
          <w:szCs w:val="40"/>
          <w:highlight w:val="none"/>
        </w:rPr>
      </w:pPr>
    </w:p>
    <w:p w14:paraId="43AED09E">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color w:val="auto"/>
          <w:highlight w:val="none"/>
          <w:lang w:eastAsia="zh-CN"/>
        </w:rPr>
      </w:pPr>
      <w:r>
        <w:rPr>
          <w:rFonts w:hint="default" w:ascii="Times New Roman" w:hAnsi="Times New Roman" w:cs="Times New Roman"/>
          <w:color w:val="auto"/>
          <w:highlight w:val="none"/>
        </w:rPr>
        <w:t xml:space="preserve">第一部分  </w:t>
      </w:r>
      <w:r>
        <w:rPr>
          <w:rFonts w:hint="eastAsia" w:cs="Times New Roman"/>
          <w:color w:val="auto"/>
          <w:highlight w:val="none"/>
          <w:lang w:eastAsia="zh-CN"/>
        </w:rPr>
        <w:t>共青团随州市委</w:t>
      </w:r>
      <w:r>
        <w:rPr>
          <w:rFonts w:hint="default" w:ascii="Times New Roman" w:hAnsi="Times New Roman" w:cs="Times New Roman"/>
          <w:color w:val="auto"/>
          <w:highlight w:val="none"/>
          <w:lang w:eastAsia="zh-CN"/>
        </w:rPr>
        <w:t>预算公开情况说明</w:t>
      </w:r>
    </w:p>
    <w:p w14:paraId="08CE78E9">
      <w:pPr>
        <w:keepNext w:val="0"/>
        <w:keepLines w:val="0"/>
        <w:pageBreakBefore w:val="0"/>
        <w:widowControl w:val="0"/>
        <w:kinsoku/>
        <w:wordWrap/>
        <w:overflowPunct/>
        <w:topLinePunct w:val="0"/>
        <w:autoSpaceDE/>
        <w:autoSpaceDN/>
        <w:bidi w:val="0"/>
        <w:adjustRightInd/>
        <w:snapToGrid/>
        <w:spacing w:line="620" w:lineRule="exact"/>
        <w:ind w:left="0" w:leftChars="0" w:firstLine="1977" w:firstLineChars="618"/>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一、部门</w:t>
      </w:r>
      <w:r>
        <w:rPr>
          <w:rFonts w:hint="default" w:ascii="Times New Roman" w:hAnsi="Times New Roman" w:cs="Times New Roman"/>
          <w:color w:val="auto"/>
          <w:highlight w:val="none"/>
          <w:lang w:eastAsia="zh-CN"/>
        </w:rPr>
        <w:t>（单位）</w:t>
      </w:r>
      <w:r>
        <w:rPr>
          <w:rFonts w:hint="default" w:ascii="Times New Roman" w:hAnsi="Times New Roman" w:cs="Times New Roman"/>
          <w:color w:val="auto"/>
          <w:highlight w:val="none"/>
        </w:rPr>
        <w:t>主要职责</w:t>
      </w:r>
    </w:p>
    <w:p w14:paraId="67651635">
      <w:pPr>
        <w:keepNext w:val="0"/>
        <w:keepLines w:val="0"/>
        <w:pageBreakBefore w:val="0"/>
        <w:widowControl w:val="0"/>
        <w:kinsoku/>
        <w:wordWrap/>
        <w:overflowPunct/>
        <w:topLinePunct w:val="0"/>
        <w:autoSpaceDE/>
        <w:autoSpaceDN/>
        <w:bidi w:val="0"/>
        <w:adjustRightInd/>
        <w:snapToGrid/>
        <w:spacing w:line="620" w:lineRule="exact"/>
        <w:ind w:left="0" w:leftChars="0" w:firstLine="1977" w:firstLineChars="618"/>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二、</w:t>
      </w:r>
      <w:r>
        <w:rPr>
          <w:rFonts w:hint="default" w:ascii="Times New Roman" w:hAnsi="Times New Roman" w:cs="Times New Roman"/>
          <w:color w:val="auto"/>
          <w:highlight w:val="none"/>
          <w:lang w:eastAsia="zh-CN"/>
        </w:rPr>
        <w:t>机构设置</w:t>
      </w:r>
      <w:r>
        <w:rPr>
          <w:rFonts w:hint="default" w:ascii="Times New Roman" w:hAnsi="Times New Roman" w:cs="Times New Roman"/>
          <w:color w:val="auto"/>
          <w:highlight w:val="none"/>
        </w:rPr>
        <w:t>情况</w:t>
      </w:r>
    </w:p>
    <w:p w14:paraId="687446C9">
      <w:pPr>
        <w:keepNext w:val="0"/>
        <w:keepLines w:val="0"/>
        <w:pageBreakBefore w:val="0"/>
        <w:widowControl w:val="0"/>
        <w:kinsoku/>
        <w:wordWrap/>
        <w:overflowPunct/>
        <w:topLinePunct w:val="0"/>
        <w:autoSpaceDE/>
        <w:autoSpaceDN/>
        <w:bidi w:val="0"/>
        <w:adjustRightInd/>
        <w:snapToGrid/>
        <w:spacing w:line="620" w:lineRule="exact"/>
        <w:ind w:left="0" w:leftChars="0" w:firstLine="1977" w:firstLineChars="618"/>
        <w:textAlignment w:val="auto"/>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三、预算收支及增减变化情况</w:t>
      </w:r>
    </w:p>
    <w:p w14:paraId="59C7AAFF">
      <w:pPr>
        <w:keepNext w:val="0"/>
        <w:keepLines w:val="0"/>
        <w:pageBreakBefore w:val="0"/>
        <w:widowControl w:val="0"/>
        <w:kinsoku/>
        <w:wordWrap/>
        <w:overflowPunct/>
        <w:topLinePunct w:val="0"/>
        <w:autoSpaceDE/>
        <w:autoSpaceDN/>
        <w:bidi w:val="0"/>
        <w:adjustRightInd/>
        <w:snapToGrid/>
        <w:spacing w:line="620" w:lineRule="exact"/>
        <w:ind w:left="0" w:leftChars="0" w:firstLine="1977" w:firstLineChars="618"/>
        <w:textAlignment w:val="auto"/>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四、机关运行经费安排情况</w:t>
      </w:r>
    </w:p>
    <w:p w14:paraId="20986CB3">
      <w:pPr>
        <w:keepNext w:val="0"/>
        <w:keepLines w:val="0"/>
        <w:pageBreakBefore w:val="0"/>
        <w:widowControl w:val="0"/>
        <w:kinsoku/>
        <w:wordWrap/>
        <w:overflowPunct/>
        <w:topLinePunct w:val="0"/>
        <w:autoSpaceDE/>
        <w:autoSpaceDN/>
        <w:bidi w:val="0"/>
        <w:adjustRightInd/>
        <w:snapToGrid/>
        <w:spacing w:line="620" w:lineRule="exact"/>
        <w:ind w:left="0" w:leftChars="0" w:firstLine="1977" w:firstLineChars="618"/>
        <w:textAlignment w:val="auto"/>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五、一般公共预算“三公”经费及增减变化情况</w:t>
      </w:r>
    </w:p>
    <w:p w14:paraId="7577C50E">
      <w:pPr>
        <w:keepNext w:val="0"/>
        <w:keepLines w:val="0"/>
        <w:pageBreakBefore w:val="0"/>
        <w:widowControl w:val="0"/>
        <w:kinsoku/>
        <w:wordWrap/>
        <w:overflowPunct/>
        <w:topLinePunct w:val="0"/>
        <w:autoSpaceDE/>
        <w:autoSpaceDN/>
        <w:bidi w:val="0"/>
        <w:adjustRightInd/>
        <w:snapToGrid/>
        <w:spacing w:line="620" w:lineRule="exact"/>
        <w:ind w:left="0" w:leftChars="0" w:firstLine="1977" w:firstLineChars="618"/>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六、政府采购预算安排情况</w:t>
      </w:r>
    </w:p>
    <w:p w14:paraId="1BF5ECF9">
      <w:pPr>
        <w:keepNext w:val="0"/>
        <w:keepLines w:val="0"/>
        <w:pageBreakBefore w:val="0"/>
        <w:widowControl w:val="0"/>
        <w:kinsoku/>
        <w:wordWrap/>
        <w:overflowPunct/>
        <w:topLinePunct w:val="0"/>
        <w:autoSpaceDE/>
        <w:autoSpaceDN/>
        <w:bidi w:val="0"/>
        <w:adjustRightInd/>
        <w:snapToGrid/>
        <w:spacing w:line="620" w:lineRule="exact"/>
        <w:ind w:left="0" w:leftChars="0" w:firstLine="1977" w:firstLineChars="618"/>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七、国有资产占用情况</w:t>
      </w:r>
    </w:p>
    <w:p w14:paraId="0A32BCAC">
      <w:pPr>
        <w:keepNext w:val="0"/>
        <w:keepLines w:val="0"/>
        <w:pageBreakBefore w:val="0"/>
        <w:widowControl w:val="0"/>
        <w:kinsoku/>
        <w:wordWrap/>
        <w:overflowPunct/>
        <w:topLinePunct w:val="0"/>
        <w:autoSpaceDE/>
        <w:autoSpaceDN/>
        <w:bidi w:val="0"/>
        <w:adjustRightInd/>
        <w:snapToGrid/>
        <w:spacing w:line="620" w:lineRule="exact"/>
        <w:ind w:left="0" w:leftChars="0" w:firstLine="1977" w:firstLineChars="618"/>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八、重点项目预算绩效情况</w:t>
      </w:r>
    </w:p>
    <w:p w14:paraId="238DFFD3">
      <w:pPr>
        <w:keepNext w:val="0"/>
        <w:keepLines w:val="0"/>
        <w:pageBreakBefore w:val="0"/>
        <w:widowControl w:val="0"/>
        <w:kinsoku/>
        <w:wordWrap/>
        <w:overflowPunct/>
        <w:topLinePunct w:val="0"/>
        <w:autoSpaceDE/>
        <w:autoSpaceDN/>
        <w:bidi w:val="0"/>
        <w:adjustRightInd/>
        <w:snapToGrid/>
        <w:spacing w:line="620" w:lineRule="exact"/>
        <w:ind w:left="0" w:leftChars="0" w:firstLine="1977" w:firstLineChars="618"/>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九、其他情况说明</w:t>
      </w:r>
    </w:p>
    <w:p w14:paraId="55FD6C68">
      <w:pPr>
        <w:keepNext w:val="0"/>
        <w:keepLines w:val="0"/>
        <w:pageBreakBefore w:val="0"/>
        <w:widowControl w:val="0"/>
        <w:kinsoku/>
        <w:wordWrap/>
        <w:overflowPunct/>
        <w:topLinePunct w:val="0"/>
        <w:autoSpaceDE/>
        <w:autoSpaceDN/>
        <w:bidi w:val="0"/>
        <w:adjustRightInd/>
        <w:snapToGrid/>
        <w:spacing w:line="620" w:lineRule="exact"/>
        <w:ind w:left="0" w:leftChars="0" w:firstLine="1977" w:firstLineChars="618"/>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十、专业名词解释</w:t>
      </w:r>
    </w:p>
    <w:p w14:paraId="2164BEF1">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第</w:t>
      </w:r>
      <w:r>
        <w:rPr>
          <w:rFonts w:hint="default" w:ascii="Times New Roman" w:hAnsi="Times New Roman" w:cs="Times New Roman"/>
          <w:color w:val="auto"/>
          <w:highlight w:val="none"/>
          <w:lang w:eastAsia="zh-CN"/>
        </w:rPr>
        <w:t>二</w:t>
      </w:r>
      <w:r>
        <w:rPr>
          <w:rFonts w:hint="default" w:ascii="Times New Roman" w:hAnsi="Times New Roman" w:cs="Times New Roman"/>
          <w:color w:val="auto"/>
          <w:highlight w:val="none"/>
        </w:rPr>
        <w:t xml:space="preserve">部分  </w:t>
      </w:r>
      <w:r>
        <w:rPr>
          <w:rFonts w:hint="eastAsia" w:cs="Times New Roman"/>
          <w:color w:val="auto"/>
          <w:highlight w:val="none"/>
          <w:lang w:eastAsia="zh-CN"/>
        </w:rPr>
        <w:t>共青团随州市委2025年</w:t>
      </w:r>
      <w:r>
        <w:rPr>
          <w:rFonts w:hint="default" w:ascii="Times New Roman" w:hAnsi="Times New Roman" w:cs="Times New Roman"/>
          <w:color w:val="auto"/>
          <w:highlight w:val="none"/>
        </w:rPr>
        <w:t>部门预算</w:t>
      </w:r>
      <w:r>
        <w:rPr>
          <w:rFonts w:hint="default" w:ascii="Times New Roman" w:hAnsi="Times New Roman" w:cs="Times New Roman"/>
          <w:color w:val="auto"/>
          <w:highlight w:val="none"/>
          <w:lang w:eastAsia="zh-CN"/>
        </w:rPr>
        <w:t>公开</w:t>
      </w:r>
      <w:r>
        <w:rPr>
          <w:rFonts w:hint="default" w:ascii="Times New Roman" w:hAnsi="Times New Roman" w:cs="Times New Roman"/>
          <w:color w:val="auto"/>
          <w:highlight w:val="none"/>
        </w:rPr>
        <w:t>表</w:t>
      </w:r>
    </w:p>
    <w:p w14:paraId="17E66805">
      <w:pPr>
        <w:keepNext w:val="0"/>
        <w:keepLines w:val="0"/>
        <w:pageBreakBefore w:val="0"/>
        <w:widowControl w:val="0"/>
        <w:kinsoku/>
        <w:wordWrap/>
        <w:overflowPunct/>
        <w:topLinePunct w:val="0"/>
        <w:autoSpaceDE/>
        <w:autoSpaceDN/>
        <w:bidi w:val="0"/>
        <w:adjustRightInd/>
        <w:snapToGrid/>
        <w:spacing w:line="620" w:lineRule="exact"/>
        <w:ind w:left="0" w:leftChars="0" w:firstLine="1955" w:firstLineChars="611"/>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一、部门收支预算总表</w:t>
      </w:r>
    </w:p>
    <w:p w14:paraId="214C54E6">
      <w:pPr>
        <w:keepNext w:val="0"/>
        <w:keepLines w:val="0"/>
        <w:pageBreakBefore w:val="0"/>
        <w:widowControl w:val="0"/>
        <w:kinsoku/>
        <w:wordWrap/>
        <w:overflowPunct/>
        <w:topLinePunct w:val="0"/>
        <w:autoSpaceDE/>
        <w:autoSpaceDN/>
        <w:bidi w:val="0"/>
        <w:adjustRightInd/>
        <w:snapToGrid/>
        <w:spacing w:line="620" w:lineRule="exact"/>
        <w:ind w:left="0" w:leftChars="0" w:firstLine="1955" w:firstLineChars="611"/>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二、部门收入总表</w:t>
      </w:r>
    </w:p>
    <w:p w14:paraId="23443ACF">
      <w:pPr>
        <w:keepNext w:val="0"/>
        <w:keepLines w:val="0"/>
        <w:pageBreakBefore w:val="0"/>
        <w:widowControl w:val="0"/>
        <w:kinsoku/>
        <w:wordWrap/>
        <w:overflowPunct/>
        <w:topLinePunct w:val="0"/>
        <w:autoSpaceDE/>
        <w:autoSpaceDN/>
        <w:bidi w:val="0"/>
        <w:adjustRightInd/>
        <w:snapToGrid/>
        <w:spacing w:line="620" w:lineRule="exact"/>
        <w:ind w:left="0" w:leftChars="0" w:firstLine="1955" w:firstLineChars="611"/>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三、部门支出总表</w:t>
      </w:r>
    </w:p>
    <w:p w14:paraId="12C2D19F">
      <w:pPr>
        <w:keepNext w:val="0"/>
        <w:keepLines w:val="0"/>
        <w:pageBreakBefore w:val="0"/>
        <w:widowControl w:val="0"/>
        <w:kinsoku/>
        <w:wordWrap/>
        <w:overflowPunct/>
        <w:topLinePunct w:val="0"/>
        <w:autoSpaceDE/>
        <w:autoSpaceDN/>
        <w:bidi w:val="0"/>
        <w:adjustRightInd/>
        <w:snapToGrid/>
        <w:spacing w:line="620" w:lineRule="exact"/>
        <w:ind w:left="0" w:leftChars="0" w:firstLine="1955" w:firstLineChars="611"/>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四、财政拨款收支总表</w:t>
      </w:r>
    </w:p>
    <w:p w14:paraId="7E19C883">
      <w:pPr>
        <w:keepNext w:val="0"/>
        <w:keepLines w:val="0"/>
        <w:pageBreakBefore w:val="0"/>
        <w:widowControl w:val="0"/>
        <w:kinsoku/>
        <w:wordWrap/>
        <w:overflowPunct/>
        <w:topLinePunct w:val="0"/>
        <w:autoSpaceDE/>
        <w:autoSpaceDN/>
        <w:bidi w:val="0"/>
        <w:adjustRightInd/>
        <w:snapToGrid/>
        <w:spacing w:line="620" w:lineRule="exact"/>
        <w:ind w:left="0" w:leftChars="0" w:firstLine="1955" w:firstLineChars="611"/>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五、一般公共预算支出表</w:t>
      </w:r>
    </w:p>
    <w:p w14:paraId="58C6FF88">
      <w:pPr>
        <w:keepNext w:val="0"/>
        <w:keepLines w:val="0"/>
        <w:pageBreakBefore w:val="0"/>
        <w:widowControl w:val="0"/>
        <w:kinsoku/>
        <w:wordWrap/>
        <w:overflowPunct/>
        <w:topLinePunct w:val="0"/>
        <w:autoSpaceDE/>
        <w:autoSpaceDN/>
        <w:bidi w:val="0"/>
        <w:adjustRightInd/>
        <w:snapToGrid/>
        <w:spacing w:line="620" w:lineRule="exact"/>
        <w:ind w:left="0" w:leftChars="0" w:firstLine="1955" w:firstLineChars="611"/>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六、一般公共预算基本支出表</w:t>
      </w:r>
    </w:p>
    <w:p w14:paraId="62B0F6F4">
      <w:pPr>
        <w:keepNext w:val="0"/>
        <w:keepLines w:val="0"/>
        <w:pageBreakBefore w:val="0"/>
        <w:widowControl w:val="0"/>
        <w:kinsoku/>
        <w:wordWrap/>
        <w:overflowPunct/>
        <w:topLinePunct w:val="0"/>
        <w:autoSpaceDE/>
        <w:autoSpaceDN/>
        <w:bidi w:val="0"/>
        <w:adjustRightInd/>
        <w:snapToGrid/>
        <w:spacing w:line="620" w:lineRule="exact"/>
        <w:ind w:left="0" w:leftChars="0" w:firstLine="1955" w:firstLineChars="611"/>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七、一般公共预算“三公”经费支出表</w:t>
      </w:r>
    </w:p>
    <w:p w14:paraId="3D133737">
      <w:pPr>
        <w:keepNext w:val="0"/>
        <w:keepLines w:val="0"/>
        <w:pageBreakBefore w:val="0"/>
        <w:widowControl w:val="0"/>
        <w:kinsoku/>
        <w:wordWrap/>
        <w:overflowPunct/>
        <w:topLinePunct w:val="0"/>
        <w:autoSpaceDE/>
        <w:autoSpaceDN/>
        <w:bidi w:val="0"/>
        <w:adjustRightInd/>
        <w:snapToGrid/>
        <w:spacing w:line="620" w:lineRule="exact"/>
        <w:ind w:left="0" w:leftChars="0" w:firstLine="1955" w:firstLineChars="611"/>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八、政府性基金预算支出表</w:t>
      </w:r>
    </w:p>
    <w:p w14:paraId="68E57500">
      <w:pPr>
        <w:keepNext w:val="0"/>
        <w:keepLines w:val="0"/>
        <w:pageBreakBefore w:val="0"/>
        <w:widowControl w:val="0"/>
        <w:kinsoku/>
        <w:wordWrap/>
        <w:overflowPunct/>
        <w:topLinePunct w:val="0"/>
        <w:autoSpaceDE/>
        <w:autoSpaceDN/>
        <w:bidi w:val="0"/>
        <w:adjustRightInd/>
        <w:snapToGrid/>
        <w:spacing w:line="620" w:lineRule="exact"/>
        <w:ind w:left="0" w:leftChars="0" w:firstLine="1955" w:firstLineChars="611"/>
        <w:textAlignment w:val="auto"/>
        <w:rPr>
          <w:rFonts w:hint="default" w:ascii="Times New Roman" w:hAnsi="Times New Roman" w:eastAsia="仿宋_GB2312" w:cs="Times New Roman"/>
          <w:color w:val="auto"/>
          <w:highlight w:val="none"/>
          <w:lang w:eastAsia="zh-CN"/>
        </w:rPr>
      </w:pPr>
      <w:r>
        <w:rPr>
          <w:rFonts w:hint="default" w:ascii="Times New Roman" w:hAnsi="Times New Roman" w:cs="Times New Roman"/>
          <w:color w:val="auto"/>
          <w:highlight w:val="none"/>
        </w:rPr>
        <w:t>九、</w:t>
      </w:r>
      <w:r>
        <w:rPr>
          <w:rFonts w:hint="default" w:ascii="Times New Roman" w:hAnsi="Times New Roman" w:cs="Times New Roman"/>
          <w:color w:val="auto"/>
          <w:highlight w:val="none"/>
          <w:lang w:eastAsia="zh-CN"/>
        </w:rPr>
        <w:t>项目支出表</w:t>
      </w:r>
    </w:p>
    <w:p w14:paraId="41C33618">
      <w:pPr>
        <w:keepNext w:val="0"/>
        <w:keepLines w:val="0"/>
        <w:pageBreakBefore w:val="0"/>
        <w:widowControl w:val="0"/>
        <w:kinsoku/>
        <w:wordWrap/>
        <w:overflowPunct/>
        <w:topLinePunct w:val="0"/>
        <w:autoSpaceDE/>
        <w:autoSpaceDN/>
        <w:bidi w:val="0"/>
        <w:adjustRightInd/>
        <w:snapToGrid/>
        <w:spacing w:line="620" w:lineRule="exact"/>
        <w:ind w:left="0" w:leftChars="0" w:firstLine="1955" w:firstLineChars="611"/>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十、政府采购预算表</w:t>
      </w:r>
    </w:p>
    <w:p w14:paraId="2A76145E">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cs="Times New Roman"/>
          <w:color w:val="auto"/>
          <w:highlight w:val="none"/>
        </w:rPr>
      </w:pPr>
    </w:p>
    <w:p w14:paraId="0A07D770">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cs="Times New Roman"/>
          <w:color w:val="auto"/>
          <w:highlight w:val="none"/>
        </w:rPr>
      </w:pPr>
    </w:p>
    <w:p w14:paraId="5AFBDF00">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cs="Times New Roman"/>
          <w:color w:val="auto"/>
          <w:highlight w:val="none"/>
        </w:rPr>
      </w:pPr>
    </w:p>
    <w:p w14:paraId="6BB237A8">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cs="Times New Roman"/>
          <w:color w:val="auto"/>
          <w:highlight w:val="none"/>
        </w:rPr>
      </w:pPr>
    </w:p>
    <w:p w14:paraId="56F0C44B">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cs="Times New Roman"/>
          <w:color w:val="auto"/>
          <w:highlight w:val="none"/>
        </w:rPr>
      </w:pPr>
    </w:p>
    <w:p w14:paraId="640E623A">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cs="Times New Roman"/>
          <w:color w:val="auto"/>
          <w:highlight w:val="none"/>
        </w:rPr>
      </w:pPr>
    </w:p>
    <w:p w14:paraId="6F95EAB1">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cs="Times New Roman"/>
          <w:color w:val="auto"/>
          <w:highlight w:val="none"/>
        </w:rPr>
      </w:pPr>
    </w:p>
    <w:p w14:paraId="70E1F6E9">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cs="Times New Roman"/>
          <w:color w:val="auto"/>
          <w:highlight w:val="none"/>
        </w:rPr>
      </w:pPr>
    </w:p>
    <w:p w14:paraId="682AE04A">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cs="Times New Roman"/>
          <w:color w:val="auto"/>
          <w:highlight w:val="none"/>
        </w:rPr>
      </w:pPr>
    </w:p>
    <w:p w14:paraId="4F43F081">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cs="Times New Roman"/>
          <w:color w:val="auto"/>
          <w:highlight w:val="none"/>
        </w:rPr>
      </w:pPr>
    </w:p>
    <w:p w14:paraId="29B79D5F">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cs="Times New Roman"/>
          <w:color w:val="auto"/>
          <w:highlight w:val="none"/>
        </w:rPr>
      </w:pPr>
    </w:p>
    <w:p w14:paraId="79AB934A">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cs="Times New Roman"/>
          <w:color w:val="auto"/>
          <w:highlight w:val="none"/>
        </w:rPr>
      </w:pPr>
    </w:p>
    <w:p w14:paraId="4839D553">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cs="Times New Roman"/>
          <w:color w:val="auto"/>
          <w:highlight w:val="none"/>
        </w:rPr>
      </w:pPr>
    </w:p>
    <w:p w14:paraId="05699CA6">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cs="Times New Roman"/>
          <w:color w:val="auto"/>
          <w:highlight w:val="none"/>
        </w:rPr>
      </w:pPr>
    </w:p>
    <w:p w14:paraId="0CEDC2B3">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cs="Times New Roman"/>
          <w:color w:val="auto"/>
          <w:highlight w:val="none"/>
        </w:rPr>
      </w:pPr>
    </w:p>
    <w:p w14:paraId="6AD8D038">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cs="Times New Roman"/>
          <w:color w:val="auto"/>
          <w:highlight w:val="none"/>
        </w:rPr>
      </w:pPr>
    </w:p>
    <w:p w14:paraId="62F34E45">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cs="Times New Roman"/>
          <w:color w:val="auto"/>
          <w:highlight w:val="none"/>
        </w:rPr>
      </w:pPr>
    </w:p>
    <w:p w14:paraId="43BDAA85">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cs="Times New Roman"/>
          <w:color w:val="auto"/>
          <w:highlight w:val="none"/>
        </w:rPr>
      </w:pPr>
    </w:p>
    <w:p w14:paraId="69D76146">
      <w:pPr>
        <w:keepNext w:val="0"/>
        <w:keepLines w:val="0"/>
        <w:pageBreakBefore w:val="0"/>
        <w:widowControl w:val="0"/>
        <w:kinsoku/>
        <w:wordWrap/>
        <w:overflowPunct/>
        <w:topLinePunct w:val="0"/>
        <w:autoSpaceDE/>
        <w:autoSpaceDN/>
        <w:bidi w:val="0"/>
        <w:adjustRightInd/>
        <w:snapToGrid/>
        <w:spacing w:after="321" w:afterLines="50" w:line="620" w:lineRule="exact"/>
        <w:ind w:left="0" w:leftChars="0"/>
        <w:jc w:val="center"/>
        <w:textAlignment w:val="auto"/>
        <w:rPr>
          <w:rFonts w:hint="default" w:ascii="Times New Roman" w:hAnsi="Times New Roman" w:eastAsia="黑体" w:cs="Times New Roman"/>
          <w:color w:val="auto"/>
          <w:highlight w:val="none"/>
        </w:rPr>
      </w:pPr>
      <w:r>
        <w:rPr>
          <w:rFonts w:hint="default" w:ascii="Times New Roman" w:hAnsi="Times New Roman" w:eastAsia="黑体" w:cs="Times New Roman"/>
          <w:color w:val="auto"/>
          <w:highlight w:val="none"/>
        </w:rPr>
        <w:t xml:space="preserve">第一部分  </w:t>
      </w:r>
      <w:r>
        <w:rPr>
          <w:rFonts w:hint="eastAsia" w:eastAsia="黑体" w:cs="Times New Roman"/>
          <w:color w:val="auto"/>
          <w:highlight w:val="none"/>
          <w:lang w:eastAsia="zh-CN"/>
        </w:rPr>
        <w:t>共青团随州市委</w:t>
      </w:r>
      <w:r>
        <w:rPr>
          <w:rFonts w:hint="default" w:ascii="Times New Roman" w:hAnsi="Times New Roman" w:eastAsia="黑体" w:cs="Times New Roman"/>
          <w:color w:val="auto"/>
          <w:highlight w:val="none"/>
          <w:lang w:eastAsia="zh-CN"/>
        </w:rPr>
        <w:t>预算公开情况说明</w:t>
      </w:r>
    </w:p>
    <w:p w14:paraId="6B21E96A">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b w:val="0"/>
          <w:bCs w:val="0"/>
          <w:color w:val="auto"/>
          <w:highlight w:val="none"/>
        </w:rPr>
      </w:pPr>
      <w:r>
        <w:rPr>
          <w:rFonts w:hint="default" w:ascii="Times New Roman" w:hAnsi="Times New Roman" w:eastAsia="黑体" w:cs="Times New Roman"/>
          <w:b w:val="0"/>
          <w:bCs w:val="0"/>
          <w:color w:val="auto"/>
          <w:highlight w:val="none"/>
        </w:rPr>
        <w:t>一、部门</w:t>
      </w:r>
      <w:r>
        <w:rPr>
          <w:rFonts w:hint="default" w:ascii="Times New Roman" w:hAnsi="Times New Roman" w:eastAsia="黑体" w:cs="Times New Roman"/>
          <w:b w:val="0"/>
          <w:bCs w:val="0"/>
          <w:color w:val="auto"/>
          <w:highlight w:val="none"/>
          <w:lang w:eastAsia="zh-CN"/>
        </w:rPr>
        <w:t>（单位）</w:t>
      </w:r>
      <w:r>
        <w:rPr>
          <w:rFonts w:hint="default" w:ascii="Times New Roman" w:hAnsi="Times New Roman" w:eastAsia="黑体" w:cs="Times New Roman"/>
          <w:b w:val="0"/>
          <w:bCs w:val="0"/>
          <w:color w:val="auto"/>
          <w:highlight w:val="none"/>
        </w:rPr>
        <w:t>主要职责</w:t>
      </w:r>
    </w:p>
    <w:p w14:paraId="04C8EF92">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cs="Times New Roman"/>
          <w:color w:val="auto"/>
          <w:highlight w:val="none"/>
          <w:lang w:eastAsia="zh-CN"/>
        </w:rPr>
      </w:pPr>
      <w:r>
        <w:rPr>
          <w:rFonts w:hint="eastAsia" w:cs="Times New Roman"/>
          <w:color w:val="auto"/>
          <w:highlight w:val="none"/>
          <w:lang w:eastAsia="zh-CN"/>
        </w:rPr>
        <w:t>（1）领导全市共青团工作；负责市青联、市少先队工作委员会日常工作；指导全市青少年社会团体工作。</w:t>
      </w:r>
    </w:p>
    <w:p w14:paraId="617AA774">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cs="Times New Roman"/>
          <w:color w:val="auto"/>
          <w:highlight w:val="none"/>
          <w:lang w:eastAsia="zh-CN"/>
        </w:rPr>
      </w:pPr>
      <w:r>
        <w:rPr>
          <w:rFonts w:hint="eastAsia" w:cs="Times New Roman"/>
          <w:color w:val="auto"/>
          <w:highlight w:val="none"/>
          <w:lang w:eastAsia="zh-CN"/>
        </w:rPr>
        <w:t>（2）负责全市青少年思想政治引领工作，承担引导青少年听党话、跟党走的政治任务；指导并组织全市青少年思想理论教育、宣传文化活动和活动阵地建设，培养、选拔、表彰并推荐优秀青年；加强网上共青团工作，指导全市共青团用网、占网、建网。</w:t>
      </w:r>
    </w:p>
    <w:p w14:paraId="48D43762">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cs="Times New Roman"/>
          <w:color w:val="auto"/>
          <w:highlight w:val="none"/>
          <w:lang w:eastAsia="zh-CN"/>
        </w:rPr>
      </w:pPr>
      <w:r>
        <w:rPr>
          <w:rFonts w:hint="eastAsia" w:cs="Times New Roman"/>
          <w:color w:val="auto"/>
          <w:highlight w:val="none"/>
          <w:lang w:eastAsia="zh-CN"/>
        </w:rPr>
        <w:t>（3）协助市委、市政府有关部门做好大、中、小学学生的教育管理工作，维护学校稳定和社会安定团结。</w:t>
      </w:r>
    </w:p>
    <w:p w14:paraId="285770AF">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cs="Times New Roman"/>
          <w:color w:val="auto"/>
          <w:highlight w:val="none"/>
          <w:lang w:eastAsia="zh-CN"/>
        </w:rPr>
      </w:pPr>
      <w:r>
        <w:rPr>
          <w:rFonts w:hint="eastAsia" w:cs="Times New Roman"/>
          <w:color w:val="auto"/>
          <w:highlight w:val="none"/>
          <w:lang w:eastAsia="zh-CN"/>
        </w:rPr>
        <w:t>（4）组织全市团员青年围绕中心、服务大局，在促进经济社会发展中发挥生力军和突击队作用，完成市委、市政府和团省委部署的以青少年为主体的各项任务。</w:t>
      </w:r>
    </w:p>
    <w:p w14:paraId="7C2C24FB">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cs="Times New Roman"/>
          <w:color w:val="auto"/>
          <w:highlight w:val="none"/>
          <w:lang w:eastAsia="zh-CN"/>
        </w:rPr>
      </w:pPr>
      <w:r>
        <w:rPr>
          <w:rFonts w:hint="eastAsia" w:cs="Times New Roman"/>
          <w:color w:val="auto"/>
          <w:highlight w:val="none"/>
          <w:lang w:eastAsia="zh-CN"/>
        </w:rPr>
        <w:t>（5）参与促进青少年发展和权益维护的规划、法律法规、政策措施的起草和实施工作，协助市委、市政府或受委托处理、协调与青少年权益相关的事务；负责市未成年人保护委员会和市综治委预防青少年违法犯罪领导小组的日常工作。</w:t>
      </w:r>
    </w:p>
    <w:p w14:paraId="4227AA5A">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cs="Times New Roman"/>
          <w:color w:val="auto"/>
          <w:highlight w:val="none"/>
          <w:lang w:eastAsia="zh-CN"/>
        </w:rPr>
      </w:pPr>
      <w:r>
        <w:rPr>
          <w:rFonts w:hint="eastAsia" w:cs="Times New Roman"/>
          <w:color w:val="auto"/>
          <w:highlight w:val="none"/>
          <w:lang w:eastAsia="zh-CN"/>
        </w:rPr>
        <w:t>（6）负责全市团的建设，推进团的基层组织建设，扩大团组织有效覆盖面，协助党组织管理团的干部，指导全市团员队伍建设；指导全市青少年事务社会工作人才队伍建设。</w:t>
      </w:r>
    </w:p>
    <w:p w14:paraId="5B1092A2">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cs="Times New Roman"/>
          <w:color w:val="auto"/>
          <w:highlight w:val="none"/>
          <w:lang w:eastAsia="zh-CN"/>
        </w:rPr>
      </w:pPr>
      <w:r>
        <w:rPr>
          <w:rFonts w:hint="eastAsia" w:cs="Times New Roman"/>
          <w:color w:val="auto"/>
          <w:highlight w:val="none"/>
          <w:lang w:eastAsia="zh-CN"/>
        </w:rPr>
        <w:t>（7）负责全市青年统战工作；开展全市青年社会组织和新兴青年群体的联系服务和引导工作。</w:t>
      </w:r>
    </w:p>
    <w:p w14:paraId="11E075AD">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cs="Times New Roman"/>
          <w:color w:val="auto"/>
          <w:highlight w:val="none"/>
          <w:lang w:eastAsia="zh-CN"/>
        </w:rPr>
      </w:pPr>
      <w:r>
        <w:rPr>
          <w:rFonts w:hint="eastAsia" w:cs="Times New Roman"/>
          <w:color w:val="auto"/>
          <w:highlight w:val="none"/>
          <w:lang w:eastAsia="zh-CN"/>
        </w:rPr>
        <w:t>（8）调查青年思想动态和青年工作状况，研究青年运动、青少年工作理论、青少年事业发展等问题，为市委、市政府决策提供依据。</w:t>
      </w:r>
    </w:p>
    <w:p w14:paraId="7E773657">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cs="Times New Roman"/>
          <w:color w:val="auto"/>
          <w:highlight w:val="none"/>
          <w:lang w:eastAsia="zh-CN"/>
        </w:rPr>
      </w:pPr>
      <w:r>
        <w:rPr>
          <w:rFonts w:hint="eastAsia" w:cs="Times New Roman"/>
          <w:color w:val="auto"/>
          <w:highlight w:val="none"/>
          <w:lang w:eastAsia="zh-CN"/>
        </w:rPr>
        <w:t>（9）完成上级交办的其他事项。</w:t>
      </w:r>
    </w:p>
    <w:p w14:paraId="17F6A253">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b w:val="0"/>
          <w:bCs w:val="0"/>
          <w:color w:val="auto"/>
          <w:highlight w:val="none"/>
          <w:lang w:eastAsia="zh-CN"/>
        </w:rPr>
      </w:pPr>
      <w:r>
        <w:rPr>
          <w:rFonts w:hint="default" w:ascii="Times New Roman" w:hAnsi="Times New Roman" w:eastAsia="黑体" w:cs="Times New Roman"/>
          <w:b w:val="0"/>
          <w:bCs w:val="0"/>
          <w:color w:val="auto"/>
          <w:highlight w:val="none"/>
          <w:lang w:val="en-US" w:eastAsia="zh-CN"/>
        </w:rPr>
        <w:t>二、</w:t>
      </w:r>
      <w:r>
        <w:rPr>
          <w:rFonts w:hint="default" w:ascii="Times New Roman" w:hAnsi="Times New Roman" w:eastAsia="黑体" w:cs="Times New Roman"/>
          <w:b w:val="0"/>
          <w:bCs w:val="0"/>
          <w:color w:val="auto"/>
          <w:highlight w:val="none"/>
          <w:lang w:eastAsia="zh-CN"/>
        </w:rPr>
        <w:t>机构设置情况</w:t>
      </w:r>
    </w:p>
    <w:p w14:paraId="52873B03">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cs="Times New Roman"/>
          <w:color w:val="auto"/>
          <w:highlight w:val="none"/>
          <w:lang w:eastAsia="zh-CN"/>
        </w:rPr>
      </w:pPr>
      <w:r>
        <w:rPr>
          <w:rFonts w:hint="eastAsia" w:cs="Times New Roman"/>
          <w:color w:val="auto"/>
          <w:highlight w:val="none"/>
          <w:lang w:eastAsia="zh-CN"/>
        </w:rPr>
        <w:t>根据《中共湖北省委、湖北省人民政府关于印发〈随州市党政群机构设置及人员编制方案〉的通知》（鄂文[2000]46号）精神，设置共青团随州市委员会。团市委机关共设置4个职能部室，分别是办公室（宣传部）、组织部、青少年发展与权益维护部、学少部（统战部）。机关行政编制为7名，其中书记1名，副书记2名，科级领导职数4名。另核定机关工勤人员事业编制1名。机关实有在职8人（含劳务派遣1人）。</w:t>
      </w:r>
    </w:p>
    <w:p w14:paraId="7F17B281">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b w:val="0"/>
          <w:bCs w:val="0"/>
          <w:color w:val="auto"/>
          <w:highlight w:val="none"/>
          <w:lang w:eastAsia="zh-CN"/>
        </w:rPr>
      </w:pPr>
      <w:r>
        <w:rPr>
          <w:rFonts w:hint="default" w:ascii="Times New Roman" w:hAnsi="Times New Roman" w:eastAsia="黑体" w:cs="Times New Roman"/>
          <w:b w:val="0"/>
          <w:bCs w:val="0"/>
          <w:color w:val="auto"/>
          <w:highlight w:val="none"/>
          <w:lang w:val="en-US" w:eastAsia="zh-CN"/>
        </w:rPr>
        <w:t>三、</w:t>
      </w:r>
      <w:r>
        <w:rPr>
          <w:rFonts w:hint="default" w:ascii="Times New Roman" w:hAnsi="Times New Roman" w:eastAsia="黑体" w:cs="Times New Roman"/>
          <w:b w:val="0"/>
          <w:bCs w:val="0"/>
          <w:color w:val="auto"/>
          <w:highlight w:val="none"/>
          <w:lang w:eastAsia="zh-CN"/>
        </w:rPr>
        <w:t>预算收支及增减变化情况</w:t>
      </w:r>
    </w:p>
    <w:p w14:paraId="11D03AED">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楷体_GB2312" w:cs="Times New Roman"/>
          <w:b/>
          <w:bCs/>
          <w:color w:val="auto"/>
          <w:highlight w:val="none"/>
        </w:rPr>
      </w:pPr>
      <w:r>
        <w:rPr>
          <w:rFonts w:hint="default" w:ascii="Times New Roman" w:hAnsi="Times New Roman" w:eastAsia="楷体_GB2312" w:cs="Times New Roman"/>
          <w:b/>
          <w:bCs/>
          <w:color w:val="auto"/>
          <w:highlight w:val="none"/>
        </w:rPr>
        <w:t>（一）收入预算情况</w:t>
      </w:r>
    </w:p>
    <w:p w14:paraId="32D6AEEC">
      <w:pPr>
        <w:pStyle w:val="5"/>
        <w:spacing w:line="240" w:lineRule="auto"/>
        <w:rPr>
          <w:rFonts w:hint="default" w:eastAsia="仿宋_GB2312"/>
          <w:highlight w:val="none"/>
          <w:lang w:val="en-US" w:eastAsia="zh-CN"/>
        </w:rPr>
      </w:pPr>
      <w:r>
        <w:rPr>
          <w:rFonts w:hint="eastAsia" w:ascii="仿宋_GB2312" w:hAnsi="仿宋"/>
          <w:szCs w:val="32"/>
          <w:highlight w:val="none"/>
          <w:lang w:eastAsia="zh-CN"/>
        </w:rPr>
        <w:t>2025年</w:t>
      </w:r>
      <w:r>
        <w:rPr>
          <w:rFonts w:hint="eastAsia" w:ascii="仿宋_GB2312" w:hAnsi="仿宋"/>
          <w:szCs w:val="32"/>
          <w:highlight w:val="none"/>
          <w:lang w:eastAsia="zh-CN"/>
        </w:rPr>
        <w:t>，</w:t>
      </w:r>
      <w:r>
        <w:rPr>
          <w:rFonts w:hint="eastAsia" w:cs="Times New Roman"/>
          <w:color w:val="auto"/>
          <w:highlight w:val="none"/>
          <w:lang w:eastAsia="zh-CN"/>
        </w:rPr>
        <w:t>共青团随州市委</w:t>
      </w:r>
      <w:r>
        <w:rPr>
          <w:rFonts w:hint="eastAsia" w:ascii="仿宋_GB2312" w:hAnsi="仿宋"/>
          <w:szCs w:val="32"/>
          <w:highlight w:val="none"/>
        </w:rPr>
        <w:t>收入预算总额</w:t>
      </w:r>
      <w:r>
        <w:rPr>
          <w:rFonts w:hint="eastAsia" w:ascii="仿宋_GB2312" w:hAnsi="仿宋"/>
          <w:szCs w:val="32"/>
          <w:highlight w:val="none"/>
          <w:lang w:val="en-US" w:eastAsia="zh-CN"/>
        </w:rPr>
        <w:t>240.23</w:t>
      </w:r>
      <w:r>
        <w:rPr>
          <w:rFonts w:hint="eastAsia" w:ascii="仿宋_GB2312" w:hAnsi="仿宋"/>
          <w:szCs w:val="32"/>
          <w:highlight w:val="none"/>
        </w:rPr>
        <w:t>万元。</w:t>
      </w:r>
      <w:r>
        <w:rPr>
          <w:rFonts w:hint="eastAsia" w:ascii="仿宋_GB2312" w:hAnsi="仿宋"/>
          <w:szCs w:val="32"/>
          <w:highlight w:val="none"/>
        </w:rPr>
        <w:t>其中</w:t>
      </w:r>
      <w:r>
        <w:rPr>
          <w:rFonts w:hint="eastAsia" w:ascii="仿宋_GB2312" w:hAnsi="仿宋"/>
          <w:szCs w:val="32"/>
          <w:highlight w:val="none"/>
          <w:lang w:eastAsia="zh-CN"/>
        </w:rPr>
        <w:t>：</w:t>
      </w:r>
      <w:r>
        <w:rPr>
          <w:rFonts w:hint="eastAsia" w:ascii="仿宋_GB2312" w:hAnsi="仿宋"/>
          <w:szCs w:val="32"/>
          <w:highlight w:val="none"/>
        </w:rPr>
        <w:t>财政拨款</w:t>
      </w:r>
      <w:r>
        <w:rPr>
          <w:rFonts w:hint="eastAsia" w:ascii="仿宋_GB2312" w:hAnsi="仿宋"/>
          <w:szCs w:val="32"/>
          <w:highlight w:val="none"/>
          <w:lang w:val="en-US" w:eastAsia="zh-CN"/>
        </w:rPr>
        <w:t>-一般公共预算拨款收入218.53</w:t>
      </w:r>
      <w:r>
        <w:rPr>
          <w:rFonts w:hint="eastAsia" w:ascii="仿宋_GB2312" w:hAnsi="仿宋"/>
          <w:szCs w:val="32"/>
          <w:highlight w:val="none"/>
        </w:rPr>
        <w:t>万元；</w:t>
      </w:r>
      <w:r>
        <w:rPr>
          <w:rFonts w:hint="eastAsia" w:ascii="仿宋_GB2312" w:hAnsi="仿宋"/>
          <w:szCs w:val="32"/>
          <w:highlight w:val="none"/>
          <w:lang w:val="en-US" w:eastAsia="zh-CN"/>
        </w:rPr>
        <w:t>其他收入17.70万元；上年结转结余4万元</w:t>
      </w:r>
      <w:r>
        <w:rPr>
          <w:rFonts w:hint="eastAsia" w:ascii="仿宋_GB2312" w:hAnsi="仿宋"/>
          <w:szCs w:val="32"/>
          <w:highlight w:val="none"/>
        </w:rPr>
        <w:t>。比上年度预算收入总额</w:t>
      </w:r>
      <w:r>
        <w:rPr>
          <w:rFonts w:hint="eastAsia" w:ascii="仿宋_GB2312" w:hAnsi="仿宋"/>
          <w:szCs w:val="32"/>
          <w:highlight w:val="none"/>
          <w:lang w:val="en-US" w:eastAsia="zh-CN"/>
        </w:rPr>
        <w:t>254.03</w:t>
      </w:r>
      <w:r>
        <w:rPr>
          <w:rFonts w:hint="eastAsia" w:ascii="仿宋_GB2312" w:hAnsi="仿宋"/>
          <w:szCs w:val="32"/>
          <w:highlight w:val="none"/>
        </w:rPr>
        <w:t>万元</w:t>
      </w:r>
      <w:r>
        <w:rPr>
          <w:rFonts w:hint="eastAsia" w:ascii="仿宋_GB2312" w:hAnsi="仿宋"/>
          <w:szCs w:val="32"/>
          <w:highlight w:val="none"/>
          <w:lang w:val="en-US" w:eastAsia="zh-CN"/>
        </w:rPr>
        <w:t>减少13.8万元</w:t>
      </w:r>
      <w:r>
        <w:rPr>
          <w:rFonts w:hint="eastAsia" w:ascii="仿宋_GB2312" w:hAnsi="仿宋"/>
          <w:szCs w:val="32"/>
          <w:highlight w:val="none"/>
        </w:rPr>
        <w:t>，</w:t>
      </w:r>
      <w:r>
        <w:rPr>
          <w:rFonts w:hint="eastAsia" w:ascii="仿宋_GB2312" w:hAnsi="仿宋"/>
          <w:szCs w:val="32"/>
          <w:highlight w:val="none"/>
          <w:lang w:val="en-US" w:eastAsia="zh-CN"/>
        </w:rPr>
        <w:t>减少5.43%</w:t>
      </w:r>
      <w:r>
        <w:rPr>
          <w:rFonts w:hint="eastAsia" w:ascii="仿宋_GB2312" w:hAnsi="仿宋"/>
          <w:szCs w:val="32"/>
          <w:highlight w:val="none"/>
        </w:rPr>
        <w:t>,</w:t>
      </w:r>
      <w:r>
        <w:rPr>
          <w:rFonts w:hint="eastAsia" w:ascii="仿宋_GB2312" w:hAnsi="仿宋"/>
          <w:color w:val="44546A" w:themeColor="text2"/>
          <w:szCs w:val="32"/>
          <w:highlight w:val="none"/>
          <w:lang w:val="en-US" w:eastAsia="zh-CN"/>
          <w14:textFill>
            <w14:solidFill>
              <w14:schemeClr w14:val="tx2"/>
            </w14:solidFill>
          </w14:textFill>
        </w:rPr>
        <w:t>主要原因人员减少导致变化较大。</w:t>
      </w:r>
    </w:p>
    <w:p w14:paraId="4CCBD8F7">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楷体_GB2312" w:cs="Times New Roman"/>
          <w:b/>
          <w:bCs/>
          <w:color w:val="auto"/>
          <w:highlight w:val="none"/>
        </w:rPr>
      </w:pPr>
      <w:r>
        <w:rPr>
          <w:rFonts w:hint="default" w:ascii="Times New Roman" w:hAnsi="Times New Roman" w:eastAsia="楷体_GB2312" w:cs="Times New Roman"/>
          <w:b/>
          <w:bCs/>
          <w:color w:val="auto"/>
          <w:highlight w:val="none"/>
        </w:rPr>
        <w:t>（二）支出预算情况</w:t>
      </w:r>
    </w:p>
    <w:p w14:paraId="066D59B7">
      <w:pPr>
        <w:pStyle w:val="5"/>
        <w:spacing w:line="240" w:lineRule="auto"/>
        <w:rPr>
          <w:rFonts w:hint="default" w:eastAsia="仿宋_GB2312"/>
          <w:highlight w:val="none"/>
          <w:lang w:val="en-US" w:eastAsia="zh-CN"/>
        </w:rPr>
      </w:pPr>
      <w:r>
        <w:rPr>
          <w:rFonts w:hint="eastAsia" w:ascii="仿宋_GB2312" w:hAnsi="仿宋"/>
          <w:szCs w:val="32"/>
          <w:highlight w:val="none"/>
          <w:lang w:eastAsia="zh-CN"/>
        </w:rPr>
        <w:t>2025年，</w:t>
      </w:r>
      <w:r>
        <w:rPr>
          <w:rFonts w:hint="eastAsia" w:cs="Times New Roman"/>
          <w:color w:val="auto"/>
          <w:highlight w:val="none"/>
          <w:lang w:eastAsia="zh-CN"/>
        </w:rPr>
        <w:t>共青团随州市委</w:t>
      </w:r>
      <w:r>
        <w:rPr>
          <w:rFonts w:hint="eastAsia" w:ascii="仿宋_GB2312" w:hAnsi="仿宋"/>
          <w:szCs w:val="32"/>
          <w:highlight w:val="none"/>
        </w:rPr>
        <w:t>支出预算总额</w:t>
      </w:r>
      <w:r>
        <w:rPr>
          <w:rFonts w:hint="eastAsia" w:ascii="仿宋_GB2312" w:hAnsi="仿宋"/>
          <w:szCs w:val="32"/>
          <w:highlight w:val="none"/>
          <w:lang w:val="en-US" w:eastAsia="zh-CN"/>
        </w:rPr>
        <w:t>240.23</w:t>
      </w:r>
      <w:r>
        <w:rPr>
          <w:rFonts w:hint="eastAsia" w:ascii="仿宋_GB2312" w:hAnsi="仿宋"/>
          <w:szCs w:val="32"/>
          <w:highlight w:val="none"/>
        </w:rPr>
        <w:t>万元</w:t>
      </w:r>
      <w:r>
        <w:rPr>
          <w:rFonts w:hint="eastAsia" w:ascii="仿宋_GB2312" w:hAnsi="仿宋"/>
          <w:szCs w:val="32"/>
          <w:highlight w:val="none"/>
          <w:lang w:eastAsia="zh-CN"/>
        </w:rPr>
        <w:t>，</w:t>
      </w:r>
      <w:r>
        <w:rPr>
          <w:rFonts w:hint="eastAsia" w:ascii="仿宋_GB2312" w:hAnsi="仿宋"/>
          <w:szCs w:val="32"/>
          <w:highlight w:val="none"/>
          <w:lang w:val="en-US" w:eastAsia="zh-CN"/>
        </w:rPr>
        <w:t>其中一般公共预算拨款支出</w:t>
      </w:r>
      <w:r>
        <w:rPr>
          <w:rFonts w:hint="eastAsia" w:ascii="仿宋_GB2312" w:hAnsi="仿宋"/>
          <w:szCs w:val="32"/>
          <w:highlight w:val="none"/>
          <w:lang w:val="en-US" w:eastAsia="zh-CN"/>
        </w:rPr>
        <w:t>218.53</w:t>
      </w:r>
      <w:r>
        <w:rPr>
          <w:rFonts w:hint="eastAsia" w:ascii="仿宋_GB2312" w:hAnsi="仿宋"/>
          <w:szCs w:val="32"/>
          <w:highlight w:val="none"/>
        </w:rPr>
        <w:t>万元</w:t>
      </w:r>
      <w:r>
        <w:rPr>
          <w:rFonts w:hint="eastAsia" w:ascii="仿宋_GB2312" w:hAnsi="仿宋"/>
          <w:szCs w:val="32"/>
          <w:highlight w:val="none"/>
          <w:lang w:eastAsia="zh-CN"/>
        </w:rPr>
        <w:t>；</w:t>
      </w:r>
      <w:r>
        <w:rPr>
          <w:rFonts w:hint="eastAsia" w:ascii="仿宋_GB2312" w:hAnsi="仿宋"/>
          <w:szCs w:val="32"/>
          <w:highlight w:val="none"/>
          <w:lang w:val="en-US" w:eastAsia="zh-CN"/>
        </w:rPr>
        <w:t>其他支出17.70万元；上年结转结余4万元</w:t>
      </w:r>
      <w:r>
        <w:rPr>
          <w:rFonts w:hint="eastAsia" w:ascii="宋体" w:hAnsi="宋体" w:eastAsia="宋体" w:cs="宋体"/>
          <w:color w:val="000000"/>
          <w:kern w:val="0"/>
          <w:sz w:val="30"/>
          <w:szCs w:val="30"/>
          <w:highlight w:val="none"/>
          <w:shd w:val="clear" w:color="auto" w:fill="auto"/>
        </w:rPr>
        <w:t>。</w:t>
      </w:r>
      <w:r>
        <w:rPr>
          <w:rFonts w:hint="eastAsia" w:ascii="仿宋_GB2312" w:hAnsi="仿宋"/>
          <w:szCs w:val="32"/>
          <w:highlight w:val="none"/>
        </w:rPr>
        <w:t>比上年度预算支出总额</w:t>
      </w:r>
      <w:r>
        <w:rPr>
          <w:rFonts w:hint="eastAsia" w:ascii="仿宋_GB2312" w:hAnsi="仿宋"/>
          <w:szCs w:val="32"/>
          <w:highlight w:val="none"/>
          <w:lang w:val="en-US" w:eastAsia="zh-CN"/>
        </w:rPr>
        <w:t>254.03</w:t>
      </w:r>
      <w:r>
        <w:rPr>
          <w:rFonts w:hint="eastAsia" w:ascii="仿宋_GB2312" w:hAnsi="仿宋"/>
          <w:szCs w:val="32"/>
          <w:highlight w:val="none"/>
        </w:rPr>
        <w:t>万元</w:t>
      </w:r>
      <w:r>
        <w:rPr>
          <w:rFonts w:hint="eastAsia" w:ascii="仿宋_GB2312" w:hAnsi="仿宋"/>
          <w:szCs w:val="32"/>
          <w:highlight w:val="none"/>
          <w:lang w:val="en-US" w:eastAsia="zh-CN"/>
        </w:rPr>
        <w:t>减少13.8万元</w:t>
      </w:r>
      <w:r>
        <w:rPr>
          <w:rFonts w:hint="eastAsia" w:ascii="仿宋_GB2312" w:hAnsi="仿宋"/>
          <w:szCs w:val="32"/>
          <w:highlight w:val="none"/>
        </w:rPr>
        <w:t>，</w:t>
      </w:r>
      <w:r>
        <w:rPr>
          <w:rFonts w:hint="eastAsia" w:ascii="仿宋_GB2312" w:hAnsi="仿宋"/>
          <w:szCs w:val="32"/>
          <w:highlight w:val="none"/>
          <w:lang w:val="en-US" w:eastAsia="zh-CN"/>
        </w:rPr>
        <w:t>减少5.43%</w:t>
      </w:r>
      <w:r>
        <w:rPr>
          <w:rFonts w:hint="eastAsia" w:ascii="仿宋_GB2312" w:hAnsi="仿宋"/>
          <w:szCs w:val="32"/>
          <w:highlight w:val="none"/>
        </w:rPr>
        <w:t>,</w:t>
      </w:r>
      <w:r>
        <w:rPr>
          <w:rFonts w:hint="eastAsia" w:ascii="仿宋_GB2312" w:hAnsi="仿宋"/>
          <w:color w:val="44546A" w:themeColor="text2"/>
          <w:szCs w:val="32"/>
          <w:highlight w:val="none"/>
          <w:lang w:val="en-US" w:eastAsia="zh-CN"/>
          <w14:textFill>
            <w14:solidFill>
              <w14:schemeClr w14:val="tx2"/>
            </w14:solidFill>
          </w14:textFill>
        </w:rPr>
        <w:t>主要原因人员减少导致变化较大。</w:t>
      </w:r>
    </w:p>
    <w:p w14:paraId="3466B5C1">
      <w:pPr>
        <w:pStyle w:val="5"/>
        <w:spacing w:line="240" w:lineRule="auto"/>
        <w:rPr>
          <w:rFonts w:hint="eastAsia" w:ascii="仿宋_GB2312" w:hAnsi="仿宋"/>
          <w:szCs w:val="32"/>
          <w:highlight w:val="none"/>
          <w:lang w:val="en-US" w:eastAsia="zh-CN"/>
        </w:rPr>
      </w:pPr>
      <w:r>
        <w:rPr>
          <w:rFonts w:hint="eastAsia" w:ascii="仿宋_GB2312" w:hAnsi="仿宋"/>
          <w:szCs w:val="32"/>
          <w:highlight w:val="none"/>
        </w:rPr>
        <w:t>按支出性质和用途分类</w:t>
      </w:r>
      <w:r>
        <w:rPr>
          <w:rFonts w:hint="eastAsia" w:ascii="仿宋_GB2312" w:hAnsi="仿宋"/>
          <w:szCs w:val="32"/>
          <w:highlight w:val="none"/>
          <w:lang w:eastAsia="zh-CN"/>
        </w:rPr>
        <w:t>，</w:t>
      </w:r>
      <w:r>
        <w:rPr>
          <w:rFonts w:hint="eastAsia" w:ascii="仿宋_GB2312" w:hAnsi="仿宋"/>
          <w:szCs w:val="32"/>
          <w:highlight w:val="none"/>
          <w:lang w:val="en-US" w:eastAsia="zh-CN"/>
        </w:rPr>
        <w:t>基本支出144.23万元，项目支出96万元。</w:t>
      </w:r>
    </w:p>
    <w:p w14:paraId="0B413B5E">
      <w:pPr>
        <w:pStyle w:val="5"/>
        <w:spacing w:line="240" w:lineRule="auto"/>
        <w:rPr>
          <w:rFonts w:hint="eastAsia" w:ascii="仿宋_GB2312" w:hAnsi="仿宋"/>
          <w:szCs w:val="32"/>
          <w:highlight w:val="none"/>
          <w:lang w:val="en-US" w:eastAsia="zh-CN"/>
        </w:rPr>
      </w:pPr>
      <w:r>
        <w:rPr>
          <w:rFonts w:hint="eastAsia" w:ascii="仿宋_GB2312" w:hAnsi="仿宋"/>
          <w:szCs w:val="32"/>
          <w:highlight w:val="none"/>
        </w:rPr>
        <w:t>按支出</w:t>
      </w:r>
      <w:r>
        <w:rPr>
          <w:rFonts w:hint="eastAsia" w:ascii="仿宋_GB2312" w:hAnsi="仿宋"/>
          <w:szCs w:val="32"/>
          <w:highlight w:val="none"/>
          <w:lang w:eastAsia="zh-CN"/>
        </w:rPr>
        <w:t>功能分类</w:t>
      </w:r>
      <w:r>
        <w:rPr>
          <w:rFonts w:hint="eastAsia" w:ascii="仿宋_GB2312" w:hAnsi="仿宋"/>
          <w:szCs w:val="32"/>
          <w:highlight w:val="none"/>
        </w:rPr>
        <w:t>：</w:t>
      </w:r>
      <w:r>
        <w:rPr>
          <w:rFonts w:hint="eastAsia" w:ascii="仿宋_GB2312" w:hAnsi="仿宋"/>
          <w:szCs w:val="32"/>
          <w:highlight w:val="none"/>
          <w:lang w:val="en-US" w:eastAsia="zh-CN"/>
        </w:rPr>
        <w:t>一般公共服务支出203.42万元，</w:t>
      </w:r>
      <w:r>
        <w:rPr>
          <w:rFonts w:hint="eastAsia" w:ascii="仿宋_GB2312" w:hAnsi="仿宋"/>
          <w:szCs w:val="32"/>
          <w:highlight w:val="none"/>
          <w:lang w:eastAsia="zh-CN"/>
        </w:rPr>
        <w:t>社会保障</w:t>
      </w:r>
      <w:r>
        <w:rPr>
          <w:rFonts w:hint="eastAsia" w:ascii="仿宋_GB2312" w:hAnsi="仿宋"/>
          <w:szCs w:val="32"/>
          <w:highlight w:val="none"/>
          <w:lang w:val="en-US" w:eastAsia="zh-CN"/>
        </w:rPr>
        <w:t>和</w:t>
      </w:r>
      <w:r>
        <w:rPr>
          <w:rFonts w:hint="eastAsia" w:ascii="仿宋_GB2312" w:hAnsi="仿宋"/>
          <w:szCs w:val="32"/>
          <w:highlight w:val="none"/>
          <w:lang w:eastAsia="zh-CN"/>
        </w:rPr>
        <w:t>就业支出</w:t>
      </w:r>
      <w:r>
        <w:rPr>
          <w:rFonts w:hint="eastAsia" w:ascii="仿宋_GB2312" w:hAnsi="仿宋"/>
          <w:szCs w:val="32"/>
          <w:highlight w:val="none"/>
          <w:lang w:val="en-US" w:eastAsia="zh-CN"/>
        </w:rPr>
        <w:t xml:space="preserve">17.32万元，卫生健康支出7.49万元，住房保障支出12万元。 </w:t>
      </w:r>
    </w:p>
    <w:p w14:paraId="19E6DB22">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楷体_GB2312" w:cs="Times New Roman"/>
          <w:b/>
          <w:bCs/>
          <w:color w:val="auto"/>
          <w:highlight w:val="none"/>
        </w:rPr>
      </w:pPr>
      <w:r>
        <w:rPr>
          <w:rFonts w:hint="default" w:ascii="Times New Roman" w:hAnsi="Times New Roman" w:eastAsia="楷体_GB2312" w:cs="Times New Roman"/>
          <w:b/>
          <w:bCs/>
          <w:color w:val="auto"/>
          <w:highlight w:val="none"/>
        </w:rPr>
        <w:t>（三）财政拨款支出情况</w:t>
      </w:r>
    </w:p>
    <w:p w14:paraId="0E1EE9EC">
      <w:pPr>
        <w:ind w:firstLine="640" w:firstLineChars="200"/>
        <w:rPr>
          <w:rFonts w:hint="default" w:ascii="仿宋_GB2312" w:hAnsi="仿宋"/>
          <w:szCs w:val="32"/>
          <w:highlight w:val="none"/>
          <w:lang w:val="en-US" w:eastAsia="zh-CN"/>
        </w:rPr>
      </w:pPr>
      <w:r>
        <w:rPr>
          <w:rFonts w:hint="eastAsia" w:ascii="仿宋_GB2312" w:hAnsi="仿宋"/>
          <w:szCs w:val="32"/>
          <w:highlight w:val="none"/>
          <w:lang w:val="en-US" w:eastAsia="zh-CN"/>
        </w:rPr>
        <w:t>2025年</w:t>
      </w:r>
      <w:r>
        <w:rPr>
          <w:rFonts w:hint="eastAsia" w:ascii="仿宋_GB2312" w:hAnsi="仿宋"/>
          <w:szCs w:val="32"/>
          <w:highlight w:val="none"/>
          <w:lang w:eastAsia="zh-CN"/>
        </w:rPr>
        <w:t>，</w:t>
      </w:r>
      <w:r>
        <w:rPr>
          <w:rFonts w:hint="eastAsia" w:cs="Times New Roman"/>
          <w:color w:val="auto"/>
          <w:highlight w:val="none"/>
          <w:lang w:eastAsia="zh-CN"/>
        </w:rPr>
        <w:t>共青团随州市委</w:t>
      </w:r>
      <w:r>
        <w:rPr>
          <w:rFonts w:hint="eastAsia" w:ascii="仿宋_GB2312" w:hAnsi="仿宋"/>
          <w:szCs w:val="32"/>
          <w:highlight w:val="none"/>
          <w:lang w:eastAsia="zh-CN"/>
        </w:rPr>
        <w:t>财政拨款</w:t>
      </w:r>
      <w:r>
        <w:rPr>
          <w:rFonts w:hint="eastAsia" w:ascii="仿宋_GB2312" w:hAnsi="仿宋"/>
          <w:szCs w:val="32"/>
          <w:highlight w:val="none"/>
        </w:rPr>
        <w:t>支出</w:t>
      </w:r>
      <w:r>
        <w:rPr>
          <w:rFonts w:hint="eastAsia" w:ascii="仿宋_GB2312" w:hAnsi="仿宋"/>
          <w:szCs w:val="32"/>
          <w:highlight w:val="none"/>
          <w:lang w:val="en-US" w:eastAsia="zh-CN"/>
        </w:rPr>
        <w:t>218.53</w:t>
      </w:r>
      <w:r>
        <w:rPr>
          <w:rFonts w:hint="eastAsia" w:ascii="仿宋_GB2312" w:hAnsi="仿宋"/>
          <w:szCs w:val="32"/>
          <w:highlight w:val="none"/>
        </w:rPr>
        <w:t>万元。比上年度</w:t>
      </w:r>
      <w:r>
        <w:rPr>
          <w:rFonts w:hint="eastAsia" w:ascii="仿宋_GB2312" w:hAnsi="仿宋"/>
          <w:szCs w:val="32"/>
          <w:highlight w:val="none"/>
          <w:lang w:eastAsia="zh-CN"/>
        </w:rPr>
        <w:t>财政拨款</w:t>
      </w:r>
      <w:r>
        <w:rPr>
          <w:rFonts w:hint="eastAsia" w:ascii="仿宋_GB2312" w:hAnsi="仿宋"/>
          <w:szCs w:val="32"/>
          <w:highlight w:val="none"/>
        </w:rPr>
        <w:t>总额</w:t>
      </w:r>
      <w:r>
        <w:rPr>
          <w:rFonts w:hint="eastAsia" w:ascii="仿宋_GB2312" w:hAnsi="仿宋"/>
          <w:szCs w:val="32"/>
          <w:highlight w:val="none"/>
          <w:lang w:val="en-US" w:eastAsia="zh-CN"/>
        </w:rPr>
        <w:t>249.03</w:t>
      </w:r>
      <w:r>
        <w:rPr>
          <w:rFonts w:hint="eastAsia" w:ascii="仿宋_GB2312" w:hAnsi="仿宋"/>
          <w:szCs w:val="32"/>
          <w:highlight w:val="none"/>
          <w:lang w:eastAsia="zh-CN"/>
        </w:rPr>
        <w:t>万元</w:t>
      </w:r>
      <w:r>
        <w:rPr>
          <w:rFonts w:hint="eastAsia" w:ascii="仿宋_GB2312" w:hAnsi="仿宋"/>
          <w:szCs w:val="32"/>
          <w:highlight w:val="none"/>
          <w:lang w:val="en-US" w:eastAsia="zh-CN"/>
        </w:rPr>
        <w:t>减少30.5</w:t>
      </w:r>
      <w:r>
        <w:rPr>
          <w:rFonts w:hint="eastAsia" w:ascii="仿宋_GB2312" w:hAnsi="仿宋"/>
          <w:szCs w:val="32"/>
          <w:highlight w:val="none"/>
        </w:rPr>
        <w:t>万元，</w:t>
      </w:r>
      <w:r>
        <w:rPr>
          <w:rFonts w:hint="eastAsia" w:ascii="仿宋_GB2312" w:hAnsi="仿宋"/>
          <w:szCs w:val="32"/>
          <w:highlight w:val="none"/>
          <w:lang w:val="en-US" w:eastAsia="zh-CN"/>
        </w:rPr>
        <w:t>减少12.25</w:t>
      </w:r>
      <w:r>
        <w:rPr>
          <w:rFonts w:hint="eastAsia" w:ascii="仿宋_GB2312" w:hAnsi="仿宋"/>
          <w:szCs w:val="32"/>
          <w:highlight w:val="none"/>
        </w:rPr>
        <w:t>%,</w:t>
      </w:r>
      <w:r>
        <w:rPr>
          <w:rFonts w:hint="eastAsia" w:ascii="仿宋_GB2312" w:hAnsi="仿宋"/>
          <w:color w:val="44546A" w:themeColor="text2"/>
          <w:szCs w:val="32"/>
          <w:highlight w:val="none"/>
          <w:lang w:val="en-US" w:eastAsia="zh-CN"/>
          <w14:textFill>
            <w14:solidFill>
              <w14:schemeClr w14:val="tx2"/>
            </w14:solidFill>
          </w14:textFill>
        </w:rPr>
        <w:t>主要原因人员减少导致变化较大。</w:t>
      </w:r>
    </w:p>
    <w:p w14:paraId="676EDC72">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楷体_GB2312" w:cs="Times New Roman"/>
          <w:b/>
          <w:bCs/>
          <w:color w:val="auto"/>
          <w:highlight w:val="none"/>
        </w:rPr>
      </w:pPr>
      <w:r>
        <w:rPr>
          <w:rFonts w:hint="default" w:ascii="Times New Roman" w:hAnsi="Times New Roman" w:eastAsia="楷体_GB2312" w:cs="Times New Roman"/>
          <w:b/>
          <w:bCs/>
          <w:color w:val="auto"/>
          <w:highlight w:val="none"/>
        </w:rPr>
        <w:t>（四）政府性基金情况</w:t>
      </w:r>
    </w:p>
    <w:p w14:paraId="4DDC5263">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ascii="Times New Roman" w:hAnsi="Times New Roman" w:eastAsia="仿宋_GB2312" w:cs="Times New Roman"/>
          <w:color w:val="auto"/>
          <w:highlight w:val="none"/>
          <w:lang w:eastAsia="zh-CN"/>
        </w:rPr>
      </w:pPr>
      <w:r>
        <w:rPr>
          <w:rFonts w:hint="eastAsia" w:ascii="仿宋_GB2312" w:hAnsi="仿宋"/>
          <w:szCs w:val="32"/>
          <w:highlight w:val="none"/>
          <w:lang w:val="en-US" w:eastAsia="zh-CN"/>
        </w:rPr>
        <w:t>2025年</w:t>
      </w:r>
      <w:r>
        <w:rPr>
          <w:rFonts w:hint="default" w:ascii="Times New Roman" w:hAnsi="Times New Roman" w:cs="Times New Roman"/>
          <w:color w:val="auto"/>
          <w:highlight w:val="none"/>
        </w:rPr>
        <w:t>，</w:t>
      </w:r>
      <w:r>
        <w:rPr>
          <w:rFonts w:hint="eastAsia" w:cs="Times New Roman"/>
          <w:color w:val="auto"/>
          <w:highlight w:val="none"/>
          <w:lang w:eastAsia="zh-CN"/>
        </w:rPr>
        <w:t>共青团随州市委</w:t>
      </w:r>
      <w:r>
        <w:rPr>
          <w:rFonts w:hint="eastAsia" w:cs="Times New Roman"/>
          <w:color w:val="auto"/>
          <w:highlight w:val="none"/>
          <w:lang w:val="en-US" w:eastAsia="zh-CN"/>
        </w:rPr>
        <w:t>无</w:t>
      </w:r>
      <w:r>
        <w:rPr>
          <w:rFonts w:hint="default" w:ascii="Times New Roman" w:hAnsi="Times New Roman" w:cs="Times New Roman"/>
          <w:color w:val="auto"/>
          <w:highlight w:val="none"/>
        </w:rPr>
        <w:t>政府性基金</w:t>
      </w:r>
      <w:r>
        <w:rPr>
          <w:rFonts w:hint="eastAsia" w:cs="Times New Roman"/>
          <w:color w:val="auto"/>
          <w:highlight w:val="none"/>
          <w:lang w:val="en-US" w:eastAsia="zh-CN"/>
        </w:rPr>
        <w:t>预算安排的</w:t>
      </w:r>
      <w:r>
        <w:rPr>
          <w:rFonts w:hint="default" w:ascii="Times New Roman" w:hAnsi="Times New Roman" w:cs="Times New Roman"/>
          <w:color w:val="auto"/>
          <w:highlight w:val="none"/>
        </w:rPr>
        <w:t>支出</w:t>
      </w:r>
      <w:r>
        <w:rPr>
          <w:rFonts w:hint="eastAsia" w:cs="Times New Roman"/>
          <w:color w:val="auto"/>
          <w:highlight w:val="none"/>
          <w:lang w:eastAsia="zh-CN"/>
        </w:rPr>
        <w:t>。</w:t>
      </w:r>
    </w:p>
    <w:p w14:paraId="6351FB1C">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楷体_GB2312" w:cs="Times New Roman"/>
          <w:b/>
          <w:bCs/>
          <w:color w:val="auto"/>
          <w:highlight w:val="none"/>
        </w:rPr>
      </w:pPr>
      <w:r>
        <w:rPr>
          <w:rFonts w:hint="default" w:ascii="Times New Roman" w:hAnsi="Times New Roman" w:eastAsia="楷体_GB2312" w:cs="Times New Roman"/>
          <w:b/>
          <w:bCs/>
          <w:color w:val="auto"/>
          <w:highlight w:val="none"/>
        </w:rPr>
        <w:t>（五）国有资本经营预算情况</w:t>
      </w:r>
    </w:p>
    <w:p w14:paraId="5CB85830">
      <w:pPr>
        <w:ind w:firstLine="640" w:firstLineChars="200"/>
        <w:rPr>
          <w:rFonts w:hint="default" w:ascii="Times New Roman" w:hAnsi="Times New Roman" w:cs="Times New Roman"/>
          <w:color w:val="auto"/>
          <w:highlight w:val="none"/>
        </w:rPr>
      </w:pPr>
      <w:r>
        <w:rPr>
          <w:rFonts w:hint="eastAsia" w:ascii="仿宋_GB2312" w:hAnsi="仿宋"/>
          <w:szCs w:val="32"/>
          <w:highlight w:val="none"/>
          <w:lang w:val="en-US" w:eastAsia="zh-CN"/>
        </w:rPr>
        <w:t>2025年</w:t>
      </w:r>
      <w:r>
        <w:rPr>
          <w:rFonts w:hint="eastAsia" w:ascii="仿宋_GB2312" w:hAnsi="仿宋"/>
          <w:szCs w:val="32"/>
          <w:highlight w:val="none"/>
          <w:lang w:eastAsia="zh-CN"/>
        </w:rPr>
        <w:t>，</w:t>
      </w:r>
      <w:r>
        <w:rPr>
          <w:rFonts w:hint="eastAsia" w:cs="Times New Roman"/>
          <w:color w:val="auto"/>
          <w:highlight w:val="none"/>
          <w:lang w:eastAsia="zh-CN"/>
        </w:rPr>
        <w:t>共青团随州市委</w:t>
      </w:r>
      <w:r>
        <w:rPr>
          <w:rFonts w:hint="eastAsia" w:ascii="Times New Roman" w:hAnsi="Times New Roman" w:cs="Times New Roman"/>
          <w:highlight w:val="none"/>
          <w:lang w:eastAsia="zh-CN"/>
        </w:rPr>
        <w:t>无</w:t>
      </w:r>
      <w:r>
        <w:rPr>
          <w:rFonts w:hint="default" w:ascii="Times New Roman" w:hAnsi="Times New Roman" w:cs="Times New Roman"/>
          <w:highlight w:val="none"/>
        </w:rPr>
        <w:t>国有资本经营预算安排的支出</w:t>
      </w:r>
      <w:r>
        <w:rPr>
          <w:highlight w:val="none"/>
        </w:rPr>
        <w:t>。</w:t>
      </w:r>
    </w:p>
    <w:p w14:paraId="586CE164">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b w:val="0"/>
          <w:bCs w:val="0"/>
          <w:color w:val="auto"/>
          <w:highlight w:val="none"/>
          <w:lang w:eastAsia="zh-CN"/>
        </w:rPr>
      </w:pPr>
      <w:r>
        <w:rPr>
          <w:rFonts w:hint="default" w:ascii="Times New Roman" w:hAnsi="Times New Roman" w:eastAsia="黑体" w:cs="Times New Roman"/>
          <w:b w:val="0"/>
          <w:bCs w:val="0"/>
          <w:color w:val="auto"/>
          <w:highlight w:val="none"/>
          <w:lang w:val="en-US" w:eastAsia="zh-CN"/>
        </w:rPr>
        <w:t>四、</w:t>
      </w:r>
      <w:r>
        <w:rPr>
          <w:rFonts w:hint="default" w:ascii="Times New Roman" w:hAnsi="Times New Roman" w:eastAsia="黑体" w:cs="Times New Roman"/>
          <w:b w:val="0"/>
          <w:bCs w:val="0"/>
          <w:color w:val="auto"/>
          <w:highlight w:val="none"/>
          <w:lang w:eastAsia="zh-CN"/>
        </w:rPr>
        <w:t>机关运行经费安排情况</w:t>
      </w:r>
    </w:p>
    <w:p w14:paraId="7D4C50CA">
      <w:pPr>
        <w:pStyle w:val="5"/>
        <w:spacing w:line="240" w:lineRule="auto"/>
        <w:rPr>
          <w:rFonts w:hint="default" w:ascii="仿宋_GB2312"/>
          <w:color w:val="4874CB" w:themeColor="accent1"/>
          <w:szCs w:val="32"/>
          <w:highlight w:val="none"/>
          <w:lang w:val="en-US" w:eastAsia="zh-CN"/>
          <w14:textFill>
            <w14:solidFill>
              <w14:schemeClr w14:val="accent1"/>
            </w14:solidFill>
          </w14:textFill>
        </w:rPr>
      </w:pPr>
      <w:r>
        <w:rPr>
          <w:rFonts w:hint="eastAsia" w:ascii="仿宋_GB2312"/>
          <w:szCs w:val="32"/>
          <w:highlight w:val="none"/>
          <w:lang w:eastAsia="zh-CN"/>
        </w:rPr>
        <w:t>2025年，</w:t>
      </w:r>
      <w:r>
        <w:rPr>
          <w:rFonts w:hint="eastAsia" w:cs="Times New Roman"/>
          <w:color w:val="auto"/>
          <w:highlight w:val="none"/>
          <w:lang w:eastAsia="zh-CN"/>
        </w:rPr>
        <w:t>共青团随州市委</w:t>
      </w:r>
      <w:r>
        <w:rPr>
          <w:rFonts w:hint="eastAsia" w:ascii="仿宋_GB2312"/>
          <w:szCs w:val="32"/>
          <w:highlight w:val="none"/>
        </w:rPr>
        <w:t>公用经费支出年初预算总支出</w:t>
      </w:r>
      <w:r>
        <w:rPr>
          <w:rFonts w:hint="eastAsia" w:ascii="仿宋_GB2312"/>
          <w:szCs w:val="32"/>
          <w:highlight w:val="none"/>
          <w:lang w:val="en-US" w:eastAsia="zh-CN"/>
        </w:rPr>
        <w:t>15.02</w:t>
      </w:r>
      <w:r>
        <w:rPr>
          <w:rFonts w:hint="eastAsia" w:ascii="仿宋_GB2312"/>
          <w:szCs w:val="32"/>
          <w:highlight w:val="none"/>
        </w:rPr>
        <w:t>万元</w:t>
      </w:r>
      <w:r>
        <w:rPr>
          <w:rFonts w:hint="eastAsia" w:ascii="仿宋_GB2312"/>
          <w:szCs w:val="32"/>
          <w:highlight w:val="none"/>
          <w:lang w:eastAsia="zh-CN"/>
        </w:rPr>
        <w:t>，</w:t>
      </w:r>
      <w:r>
        <w:rPr>
          <w:rFonts w:hint="eastAsia" w:ascii="仿宋_GB2312"/>
          <w:szCs w:val="32"/>
          <w:highlight w:val="none"/>
          <w:lang w:val="en-US" w:eastAsia="zh-CN"/>
        </w:rPr>
        <w:t>其中</w:t>
      </w:r>
      <w:r>
        <w:rPr>
          <w:rFonts w:hint="eastAsia" w:ascii="仿宋_GB2312"/>
          <w:szCs w:val="32"/>
          <w:highlight w:val="none"/>
        </w:rPr>
        <w:t>：办公费</w:t>
      </w:r>
      <w:r>
        <w:rPr>
          <w:rFonts w:hint="eastAsia" w:ascii="仿宋_GB2312"/>
          <w:szCs w:val="32"/>
          <w:highlight w:val="none"/>
          <w:lang w:val="en-US" w:eastAsia="zh-CN"/>
        </w:rPr>
        <w:t>0.72</w:t>
      </w:r>
      <w:r>
        <w:rPr>
          <w:rFonts w:hint="eastAsia" w:ascii="仿宋_GB2312"/>
          <w:szCs w:val="32"/>
          <w:highlight w:val="none"/>
        </w:rPr>
        <w:t>万元、</w:t>
      </w:r>
      <w:r>
        <w:rPr>
          <w:rFonts w:hint="eastAsia" w:ascii="仿宋_GB2312"/>
          <w:szCs w:val="32"/>
          <w:highlight w:val="none"/>
          <w:lang w:eastAsia="zh-CN"/>
        </w:rPr>
        <w:t>印刷费</w:t>
      </w:r>
      <w:r>
        <w:rPr>
          <w:rFonts w:hint="eastAsia" w:ascii="仿宋_GB2312"/>
          <w:szCs w:val="32"/>
          <w:highlight w:val="none"/>
          <w:lang w:val="en-US" w:eastAsia="zh-CN"/>
        </w:rPr>
        <w:t>1.3</w:t>
      </w:r>
      <w:r>
        <w:rPr>
          <w:rFonts w:hint="eastAsia" w:ascii="仿宋_GB2312"/>
          <w:szCs w:val="32"/>
          <w:highlight w:val="none"/>
        </w:rPr>
        <w:t>万元、</w:t>
      </w:r>
      <w:r>
        <w:rPr>
          <w:rFonts w:hint="eastAsia" w:ascii="仿宋_GB2312"/>
          <w:szCs w:val="32"/>
          <w:highlight w:val="none"/>
          <w:lang w:val="en-US" w:eastAsia="zh-CN"/>
        </w:rPr>
        <w:t>水费0.58万元、电费1万元、邮电费0.2万元、物业管理费0.22万元、差旅费2万元、维修（护）费0.07万元、会议费0.38万元、培训费0.13万元、公务接待费0.48万元、</w:t>
      </w:r>
      <w:r>
        <w:rPr>
          <w:rFonts w:hint="eastAsia" w:ascii="仿宋_GB2312"/>
          <w:szCs w:val="32"/>
          <w:highlight w:val="none"/>
          <w:lang w:eastAsia="zh-CN"/>
        </w:rPr>
        <w:t>工会经费</w:t>
      </w:r>
      <w:r>
        <w:rPr>
          <w:rFonts w:hint="eastAsia" w:ascii="仿宋_GB2312"/>
          <w:szCs w:val="32"/>
          <w:highlight w:val="none"/>
          <w:lang w:val="en-US" w:eastAsia="zh-CN"/>
        </w:rPr>
        <w:t>1万元、福利费1.92万元、其他交通费用4.94万元、其他商品和服务支出0.07万元</w:t>
      </w:r>
      <w:r>
        <w:rPr>
          <w:rFonts w:hint="eastAsia" w:ascii="仿宋_GB2312"/>
          <w:szCs w:val="32"/>
          <w:highlight w:val="none"/>
          <w:lang w:eastAsia="zh-CN"/>
        </w:rPr>
        <w:t>。</w:t>
      </w:r>
      <w:r>
        <w:rPr>
          <w:rFonts w:hint="eastAsia" w:ascii="仿宋_GB2312"/>
          <w:szCs w:val="32"/>
          <w:highlight w:val="none"/>
        </w:rPr>
        <w:t>比上年公用经费预算安排</w:t>
      </w:r>
      <w:r>
        <w:rPr>
          <w:rFonts w:hint="eastAsia" w:ascii="仿宋_GB2312"/>
          <w:szCs w:val="32"/>
          <w:highlight w:val="none"/>
          <w:lang w:val="en-US" w:eastAsia="zh-CN"/>
        </w:rPr>
        <w:t>17.48</w:t>
      </w:r>
      <w:r>
        <w:rPr>
          <w:rFonts w:hint="eastAsia" w:ascii="仿宋_GB2312"/>
          <w:szCs w:val="32"/>
          <w:highlight w:val="none"/>
        </w:rPr>
        <w:t>万元</w:t>
      </w:r>
      <w:r>
        <w:rPr>
          <w:rFonts w:hint="eastAsia" w:ascii="仿宋_GB2312"/>
          <w:szCs w:val="32"/>
          <w:highlight w:val="none"/>
          <w:lang w:val="en-US" w:eastAsia="zh-CN"/>
        </w:rPr>
        <w:t>减少2.46</w:t>
      </w:r>
      <w:r>
        <w:rPr>
          <w:rFonts w:hint="eastAsia" w:ascii="仿宋_GB2312"/>
          <w:szCs w:val="32"/>
          <w:highlight w:val="none"/>
        </w:rPr>
        <w:t>万元</w:t>
      </w:r>
      <w:r>
        <w:rPr>
          <w:rFonts w:hint="eastAsia" w:ascii="仿宋_GB2312"/>
          <w:szCs w:val="32"/>
          <w:highlight w:val="none"/>
          <w:lang w:eastAsia="zh-CN"/>
        </w:rPr>
        <w:t>，</w:t>
      </w:r>
      <w:r>
        <w:rPr>
          <w:rFonts w:hint="eastAsia" w:ascii="仿宋_GB2312"/>
          <w:szCs w:val="32"/>
          <w:highlight w:val="none"/>
          <w:lang w:val="en-US" w:eastAsia="zh-CN"/>
        </w:rPr>
        <w:t>减少14.1%，</w:t>
      </w:r>
      <w:r>
        <w:rPr>
          <w:rFonts w:hint="eastAsia" w:ascii="仿宋_GB2312" w:hAnsi="仿宋"/>
          <w:color w:val="44546A" w:themeColor="text2"/>
          <w:szCs w:val="32"/>
          <w:highlight w:val="none"/>
          <w:lang w:val="en-US" w:eastAsia="zh-CN"/>
          <w14:textFill>
            <w14:solidFill>
              <w14:schemeClr w14:val="tx2"/>
            </w14:solidFill>
          </w14:textFill>
        </w:rPr>
        <w:t>主要原因人员减少导致变化较大。</w:t>
      </w:r>
    </w:p>
    <w:p w14:paraId="77D126CF">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b w:val="0"/>
          <w:bCs w:val="0"/>
          <w:color w:val="auto"/>
          <w:highlight w:val="none"/>
          <w:lang w:eastAsia="zh-CN"/>
        </w:rPr>
      </w:pPr>
      <w:r>
        <w:rPr>
          <w:rFonts w:hint="default" w:ascii="Times New Roman" w:hAnsi="Times New Roman" w:eastAsia="黑体" w:cs="Times New Roman"/>
          <w:b w:val="0"/>
          <w:bCs w:val="0"/>
          <w:color w:val="auto"/>
          <w:highlight w:val="none"/>
          <w:lang w:val="en-US" w:eastAsia="zh-CN"/>
        </w:rPr>
        <w:t>五、</w:t>
      </w:r>
      <w:r>
        <w:rPr>
          <w:rFonts w:hint="default" w:ascii="Times New Roman" w:hAnsi="Times New Roman" w:eastAsia="黑体" w:cs="Times New Roman"/>
          <w:b w:val="0"/>
          <w:bCs w:val="0"/>
          <w:color w:val="auto"/>
          <w:highlight w:val="none"/>
          <w:lang w:eastAsia="zh-CN"/>
        </w:rPr>
        <w:t>一般公共预算“三公”经费及增减变化情况</w:t>
      </w:r>
    </w:p>
    <w:p w14:paraId="45D9DED1">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cs="Times New Roman"/>
          <w:color w:val="auto"/>
          <w:highlight w:val="none"/>
        </w:rPr>
      </w:pPr>
      <w:r>
        <w:rPr>
          <w:rFonts w:hint="eastAsia" w:cs="Times New Roman"/>
          <w:color w:val="auto"/>
          <w:highlight w:val="none"/>
          <w:lang w:eastAsia="zh-CN"/>
        </w:rPr>
        <w:t>2025年，共青团随州市委</w:t>
      </w:r>
      <w:r>
        <w:rPr>
          <w:rFonts w:hint="default" w:ascii="Times New Roman" w:hAnsi="Times New Roman" w:cs="Times New Roman"/>
          <w:color w:val="auto"/>
          <w:highlight w:val="none"/>
          <w:lang w:eastAsia="zh-CN"/>
        </w:rPr>
        <w:t>一般公共预算“</w:t>
      </w:r>
      <w:r>
        <w:rPr>
          <w:rFonts w:hint="default" w:ascii="Times New Roman" w:hAnsi="Times New Roman" w:cs="Times New Roman"/>
          <w:color w:val="auto"/>
          <w:highlight w:val="none"/>
        </w:rPr>
        <w:t>三公</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经费年初预算安排</w:t>
      </w:r>
      <w:r>
        <w:rPr>
          <w:rFonts w:hint="eastAsia" w:cs="Times New Roman"/>
          <w:color w:val="auto"/>
          <w:highlight w:val="none"/>
          <w:lang w:val="en-US" w:eastAsia="zh-CN"/>
        </w:rPr>
        <w:t>1.08</w:t>
      </w:r>
      <w:r>
        <w:rPr>
          <w:rFonts w:hint="default" w:ascii="Times New Roman" w:hAnsi="Times New Roman" w:cs="Times New Roman"/>
          <w:color w:val="auto"/>
          <w:highlight w:val="none"/>
        </w:rPr>
        <w:t>万元，比上年</w:t>
      </w:r>
      <w:r>
        <w:rPr>
          <w:rFonts w:hint="eastAsia" w:cs="Times New Roman"/>
          <w:color w:val="auto"/>
          <w:highlight w:val="none"/>
          <w:lang w:val="en-US" w:eastAsia="zh-CN"/>
        </w:rPr>
        <w:t>0.48增加0.6</w:t>
      </w:r>
      <w:r>
        <w:rPr>
          <w:rFonts w:hint="default" w:ascii="Times New Roman" w:hAnsi="Times New Roman" w:cs="Times New Roman"/>
          <w:color w:val="auto"/>
          <w:highlight w:val="none"/>
        </w:rPr>
        <w:t>万元，同比</w:t>
      </w:r>
      <w:r>
        <w:rPr>
          <w:rFonts w:hint="eastAsia" w:cs="Times New Roman"/>
          <w:color w:val="auto"/>
          <w:highlight w:val="none"/>
          <w:lang w:val="en-US" w:eastAsia="zh-CN"/>
        </w:rPr>
        <w:t>增加125</w:t>
      </w:r>
      <w:r>
        <w:rPr>
          <w:rFonts w:hint="default" w:ascii="Times New Roman" w:hAnsi="Times New Roman" w:cs="Times New Roman"/>
          <w:color w:val="auto"/>
          <w:highlight w:val="none"/>
        </w:rPr>
        <w:t>%，</w:t>
      </w:r>
      <w:r>
        <w:rPr>
          <w:rFonts w:hint="default" w:ascii="Times New Roman" w:hAnsi="Times New Roman" w:cs="Times New Roman"/>
          <w:color w:val="auto"/>
          <w:highlight w:val="none"/>
        </w:rPr>
        <w:t>主要原因是</w:t>
      </w:r>
      <w:r>
        <w:rPr>
          <w:rFonts w:hint="eastAsia" w:cs="Times New Roman"/>
          <w:color w:val="auto"/>
          <w:highlight w:val="none"/>
          <w:lang w:eastAsia="zh-CN"/>
        </w:rPr>
        <w:t>：</w:t>
      </w:r>
      <w:r>
        <w:rPr>
          <w:rFonts w:hint="eastAsia" w:cs="Times New Roman"/>
          <w:color w:val="auto"/>
          <w:highlight w:val="none"/>
          <w:lang w:val="en-US" w:eastAsia="zh-CN"/>
        </w:rPr>
        <w:t>公务接待次数增加导致</w:t>
      </w:r>
      <w:r>
        <w:rPr>
          <w:rFonts w:hint="default" w:ascii="Times New Roman" w:hAnsi="Times New Roman" w:cs="Times New Roman"/>
          <w:color w:val="auto"/>
          <w:highlight w:val="none"/>
        </w:rPr>
        <w:t>。其中：</w:t>
      </w:r>
    </w:p>
    <w:p w14:paraId="334B0513">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cs="Times New Roman"/>
          <w:color w:val="auto"/>
          <w:highlight w:val="none"/>
          <w:lang w:val="en-US" w:eastAsia="zh-CN"/>
        </w:rPr>
      </w:pPr>
      <w:r>
        <w:rPr>
          <w:rFonts w:hint="default" w:ascii="Times New Roman" w:hAnsi="Times New Roman" w:cs="Times New Roman"/>
          <w:color w:val="auto"/>
          <w:highlight w:val="none"/>
        </w:rPr>
        <w:t>因公出国（境）费</w:t>
      </w:r>
      <w:r>
        <w:rPr>
          <w:rFonts w:hint="eastAsia" w:cs="Times New Roman"/>
          <w:color w:val="auto"/>
          <w:highlight w:val="none"/>
          <w:lang w:val="en-US" w:eastAsia="zh-CN"/>
        </w:rPr>
        <w:t>0</w:t>
      </w:r>
      <w:r>
        <w:rPr>
          <w:rFonts w:hint="default" w:ascii="Times New Roman" w:hAnsi="Times New Roman" w:cs="Times New Roman"/>
          <w:color w:val="auto"/>
          <w:highlight w:val="none"/>
        </w:rPr>
        <w:t>万元，比上年</w:t>
      </w:r>
      <w:r>
        <w:rPr>
          <w:rFonts w:hint="eastAsia" w:cs="Times New Roman"/>
          <w:color w:val="auto"/>
          <w:highlight w:val="none"/>
          <w:lang w:val="en-US" w:eastAsia="zh-CN"/>
        </w:rPr>
        <w:t>减少0</w:t>
      </w:r>
      <w:r>
        <w:rPr>
          <w:rFonts w:hint="default" w:ascii="Times New Roman" w:hAnsi="Times New Roman" w:cs="Times New Roman"/>
          <w:color w:val="auto"/>
          <w:highlight w:val="none"/>
        </w:rPr>
        <w:t>万元，同比</w:t>
      </w:r>
      <w:r>
        <w:rPr>
          <w:rFonts w:hint="eastAsia" w:cs="Times New Roman"/>
          <w:color w:val="auto"/>
          <w:highlight w:val="none"/>
          <w:lang w:val="en-US" w:eastAsia="zh-CN"/>
        </w:rPr>
        <w:t>减少0</w:t>
      </w:r>
      <w:r>
        <w:rPr>
          <w:rFonts w:hint="default" w:ascii="Times New Roman" w:hAnsi="Times New Roman" w:cs="Times New Roman"/>
          <w:color w:val="auto"/>
          <w:highlight w:val="none"/>
        </w:rPr>
        <w:t xml:space="preserve"> %，主要原因是：</w:t>
      </w:r>
      <w:r>
        <w:rPr>
          <w:rFonts w:hint="eastAsia" w:cs="Times New Roman"/>
          <w:color w:val="auto"/>
          <w:highlight w:val="none"/>
          <w:lang w:val="en-US" w:eastAsia="zh-CN"/>
        </w:rPr>
        <w:t>无变化。</w:t>
      </w:r>
    </w:p>
    <w:p w14:paraId="33CD156C">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color w:val="auto"/>
          <w:highlight w:val="none"/>
          <w:lang w:val="en-US" w:eastAsia="zh-CN"/>
        </w:rPr>
      </w:pPr>
      <w:r>
        <w:rPr>
          <w:rFonts w:hint="default" w:ascii="Times New Roman" w:hAnsi="Times New Roman" w:cs="Times New Roman"/>
          <w:color w:val="auto"/>
          <w:highlight w:val="none"/>
        </w:rPr>
        <w:t>公务接待费</w:t>
      </w:r>
      <w:r>
        <w:rPr>
          <w:rFonts w:hint="eastAsia" w:cs="Times New Roman"/>
          <w:color w:val="auto"/>
          <w:highlight w:val="none"/>
          <w:lang w:val="en-US" w:eastAsia="zh-CN"/>
        </w:rPr>
        <w:t>1.08</w:t>
      </w:r>
      <w:r>
        <w:rPr>
          <w:rFonts w:hint="default" w:ascii="Times New Roman" w:hAnsi="Times New Roman" w:cs="Times New Roman"/>
          <w:color w:val="auto"/>
          <w:highlight w:val="none"/>
        </w:rPr>
        <w:t>万元，比上年</w:t>
      </w:r>
      <w:r>
        <w:rPr>
          <w:rFonts w:hint="eastAsia" w:cs="Times New Roman"/>
          <w:color w:val="auto"/>
          <w:highlight w:val="none"/>
          <w:lang w:val="en-US" w:eastAsia="zh-CN"/>
        </w:rPr>
        <w:t>0.48增加0.6</w:t>
      </w:r>
      <w:r>
        <w:rPr>
          <w:rFonts w:hint="default" w:ascii="Times New Roman" w:hAnsi="Times New Roman" w:cs="Times New Roman"/>
          <w:color w:val="auto"/>
          <w:highlight w:val="none"/>
        </w:rPr>
        <w:t>万元，同比</w:t>
      </w:r>
      <w:r>
        <w:rPr>
          <w:rFonts w:hint="eastAsia" w:cs="Times New Roman"/>
          <w:color w:val="auto"/>
          <w:highlight w:val="none"/>
          <w:lang w:val="en-US" w:eastAsia="zh-CN"/>
        </w:rPr>
        <w:t>增加125</w:t>
      </w:r>
      <w:r>
        <w:rPr>
          <w:rFonts w:hint="default" w:ascii="Times New Roman" w:hAnsi="Times New Roman" w:cs="Times New Roman"/>
          <w:color w:val="auto"/>
          <w:highlight w:val="none"/>
        </w:rPr>
        <w:t>%，主要原因是：</w:t>
      </w:r>
      <w:r>
        <w:rPr>
          <w:rFonts w:hint="eastAsia" w:cs="Times New Roman"/>
          <w:color w:val="auto"/>
          <w:highlight w:val="none"/>
          <w:lang w:val="en-US" w:eastAsia="zh-CN"/>
        </w:rPr>
        <w:t>公务接待次数增加导致</w:t>
      </w:r>
      <w:r>
        <w:rPr>
          <w:rFonts w:hint="eastAsia" w:cs="Times New Roman"/>
          <w:color w:val="auto"/>
          <w:highlight w:val="none"/>
          <w:lang w:val="en-US" w:eastAsia="zh-CN"/>
        </w:rPr>
        <w:t>。</w:t>
      </w:r>
    </w:p>
    <w:p w14:paraId="307A0B92">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cs="Times New Roman"/>
          <w:color w:val="auto"/>
          <w:highlight w:val="none"/>
          <w:lang w:val="en-US" w:eastAsia="zh-CN"/>
        </w:rPr>
      </w:pPr>
      <w:r>
        <w:rPr>
          <w:rFonts w:hint="default" w:ascii="Times New Roman" w:hAnsi="Times New Roman" w:cs="Times New Roman"/>
          <w:color w:val="auto"/>
          <w:highlight w:val="none"/>
        </w:rPr>
        <w:t>公务用车运行维护费</w:t>
      </w:r>
      <w:r>
        <w:rPr>
          <w:rFonts w:hint="eastAsia" w:cs="Times New Roman"/>
          <w:color w:val="auto"/>
          <w:highlight w:val="none"/>
          <w:lang w:val="en-US" w:eastAsia="zh-CN"/>
        </w:rPr>
        <w:t>0</w:t>
      </w:r>
      <w:r>
        <w:rPr>
          <w:rFonts w:hint="default" w:ascii="Times New Roman" w:hAnsi="Times New Roman" w:cs="Times New Roman"/>
          <w:color w:val="auto"/>
          <w:highlight w:val="none"/>
        </w:rPr>
        <w:t>万元，比上年减</w:t>
      </w:r>
      <w:r>
        <w:rPr>
          <w:rFonts w:hint="eastAsia" w:cs="Times New Roman"/>
          <w:color w:val="auto"/>
          <w:highlight w:val="none"/>
          <w:lang w:val="en-US" w:eastAsia="zh-CN"/>
        </w:rPr>
        <w:t>少0</w:t>
      </w:r>
      <w:r>
        <w:rPr>
          <w:rFonts w:hint="default" w:ascii="Times New Roman" w:hAnsi="Times New Roman" w:cs="Times New Roman"/>
          <w:color w:val="auto"/>
          <w:highlight w:val="none"/>
        </w:rPr>
        <w:t>万元，同比减少</w:t>
      </w:r>
      <w:r>
        <w:rPr>
          <w:rFonts w:hint="eastAsia" w:cs="Times New Roman"/>
          <w:color w:val="auto"/>
          <w:highlight w:val="none"/>
          <w:lang w:val="en-US" w:eastAsia="zh-CN"/>
        </w:rPr>
        <w:t>0</w:t>
      </w:r>
      <w:r>
        <w:rPr>
          <w:rFonts w:hint="default" w:ascii="Times New Roman" w:hAnsi="Times New Roman" w:cs="Times New Roman"/>
          <w:color w:val="auto"/>
          <w:highlight w:val="none"/>
        </w:rPr>
        <w:t>%，主要原因是：</w:t>
      </w:r>
      <w:r>
        <w:rPr>
          <w:rFonts w:hint="eastAsia" w:cs="Times New Roman"/>
          <w:color w:val="auto"/>
          <w:highlight w:val="none"/>
          <w:lang w:val="en-US" w:eastAsia="zh-CN"/>
        </w:rPr>
        <w:t>无变化。</w:t>
      </w:r>
    </w:p>
    <w:p w14:paraId="0CA0B431">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cs="Times New Roman"/>
          <w:color w:val="auto"/>
          <w:highlight w:val="none"/>
          <w:lang w:val="en-US" w:eastAsia="zh-CN"/>
        </w:rPr>
      </w:pPr>
      <w:r>
        <w:rPr>
          <w:rFonts w:hint="default" w:ascii="Times New Roman" w:hAnsi="Times New Roman" w:cs="Times New Roman"/>
          <w:color w:val="auto"/>
          <w:highlight w:val="none"/>
        </w:rPr>
        <w:t>公务用车购置费</w:t>
      </w:r>
      <w:r>
        <w:rPr>
          <w:rFonts w:hint="eastAsia" w:cs="Times New Roman"/>
          <w:color w:val="auto"/>
          <w:highlight w:val="none"/>
          <w:lang w:val="en-US" w:eastAsia="zh-CN"/>
        </w:rPr>
        <w:t>0</w:t>
      </w:r>
      <w:r>
        <w:rPr>
          <w:rFonts w:hint="default" w:ascii="Times New Roman" w:hAnsi="Times New Roman" w:cs="Times New Roman"/>
          <w:color w:val="auto"/>
          <w:highlight w:val="none"/>
        </w:rPr>
        <w:t>万元，比上年</w:t>
      </w:r>
      <w:r>
        <w:rPr>
          <w:rFonts w:hint="eastAsia" w:cs="Times New Roman"/>
          <w:color w:val="auto"/>
          <w:highlight w:val="none"/>
          <w:lang w:val="en-US" w:eastAsia="zh-CN"/>
        </w:rPr>
        <w:t>减少0</w:t>
      </w:r>
      <w:r>
        <w:rPr>
          <w:rFonts w:hint="default" w:ascii="Times New Roman" w:hAnsi="Times New Roman" w:cs="Times New Roman"/>
          <w:color w:val="auto"/>
          <w:highlight w:val="none"/>
        </w:rPr>
        <w:t>万元，同比减少</w:t>
      </w:r>
      <w:r>
        <w:rPr>
          <w:rFonts w:hint="eastAsia" w:cs="Times New Roman"/>
          <w:color w:val="auto"/>
          <w:highlight w:val="none"/>
          <w:lang w:val="en-US" w:eastAsia="zh-CN"/>
        </w:rPr>
        <w:t>0</w:t>
      </w:r>
      <w:r>
        <w:rPr>
          <w:rFonts w:hint="default" w:ascii="Times New Roman" w:hAnsi="Times New Roman" w:cs="Times New Roman"/>
          <w:color w:val="auto"/>
          <w:highlight w:val="none"/>
        </w:rPr>
        <w:t>%，主要原因是：</w:t>
      </w:r>
      <w:r>
        <w:rPr>
          <w:rFonts w:hint="eastAsia" w:cs="Times New Roman"/>
          <w:color w:val="auto"/>
          <w:highlight w:val="none"/>
          <w:lang w:val="en-US" w:eastAsia="zh-CN"/>
        </w:rPr>
        <w:t>无变化。</w:t>
      </w:r>
    </w:p>
    <w:p w14:paraId="513E5FA7">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b w:val="0"/>
          <w:bCs w:val="0"/>
          <w:color w:val="auto"/>
          <w:highlight w:val="none"/>
          <w:lang w:eastAsia="zh-CN"/>
        </w:rPr>
      </w:pPr>
      <w:r>
        <w:rPr>
          <w:rFonts w:hint="default" w:ascii="Times New Roman" w:hAnsi="Times New Roman" w:eastAsia="黑体" w:cs="Times New Roman"/>
          <w:b w:val="0"/>
          <w:bCs w:val="0"/>
          <w:color w:val="auto"/>
          <w:highlight w:val="none"/>
          <w:lang w:val="en-US" w:eastAsia="zh-CN"/>
        </w:rPr>
        <w:t>六、</w:t>
      </w:r>
      <w:r>
        <w:rPr>
          <w:rFonts w:hint="default" w:ascii="Times New Roman" w:hAnsi="Times New Roman" w:eastAsia="黑体" w:cs="Times New Roman"/>
          <w:b w:val="0"/>
          <w:bCs w:val="0"/>
          <w:color w:val="auto"/>
          <w:highlight w:val="none"/>
          <w:lang w:eastAsia="zh-CN"/>
        </w:rPr>
        <w:t>政府采购预算安排情况</w:t>
      </w:r>
    </w:p>
    <w:p w14:paraId="64C2E58A">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cs="Times New Roman"/>
          <w:color w:val="auto"/>
          <w:highlight w:val="none"/>
          <w:lang w:eastAsia="zh-CN"/>
        </w:rPr>
      </w:pPr>
      <w:r>
        <w:rPr>
          <w:rFonts w:hint="eastAsia" w:ascii="仿宋_GB2312" w:hAnsi="仿宋"/>
          <w:szCs w:val="32"/>
          <w:highlight w:val="none"/>
          <w:lang w:val="en-US" w:eastAsia="zh-CN"/>
        </w:rPr>
        <w:t>2025年</w:t>
      </w:r>
      <w:r>
        <w:rPr>
          <w:rFonts w:hint="eastAsia" w:ascii="仿宋_GB2312" w:hAnsi="仿宋"/>
          <w:szCs w:val="32"/>
          <w:highlight w:val="none"/>
          <w:lang w:eastAsia="zh-CN"/>
        </w:rPr>
        <w:t>，</w:t>
      </w:r>
      <w:r>
        <w:rPr>
          <w:rFonts w:hint="eastAsia" w:cs="Times New Roman"/>
          <w:color w:val="auto"/>
          <w:highlight w:val="none"/>
          <w:lang w:eastAsia="zh-CN"/>
        </w:rPr>
        <w:t>共青团随州市委</w:t>
      </w:r>
      <w:r>
        <w:rPr>
          <w:rFonts w:hint="eastAsia" w:ascii="Times New Roman" w:hAnsi="Times New Roman" w:cs="Times New Roman"/>
          <w:highlight w:val="none"/>
          <w:lang w:eastAsia="zh-CN"/>
        </w:rPr>
        <w:t>无</w:t>
      </w:r>
      <w:r>
        <w:rPr>
          <w:rFonts w:hint="default" w:ascii="仿宋_GB2312" w:hAnsi="仿宋"/>
          <w:szCs w:val="32"/>
          <w:highlight w:val="none"/>
          <w:lang w:val="en-US" w:eastAsia="zh-CN"/>
        </w:rPr>
        <w:t>政府采购预算安排</w:t>
      </w:r>
      <w:r>
        <w:rPr>
          <w:rFonts w:hint="eastAsia" w:cs="Times New Roman"/>
          <w:color w:val="auto"/>
          <w:highlight w:val="none"/>
          <w:lang w:val="en-US" w:eastAsia="zh-CN"/>
        </w:rPr>
        <w:t>，</w:t>
      </w:r>
      <w:r>
        <w:rPr>
          <w:rFonts w:hint="eastAsia" w:cs="Times New Roman"/>
          <w:color w:val="auto"/>
          <w:highlight w:val="none"/>
          <w:lang w:eastAsia="zh-CN"/>
        </w:rPr>
        <w:t>政府采购货物预算、政府采购工程预算、政府采购服务预算均为0万元</w:t>
      </w:r>
      <w:r>
        <w:rPr>
          <w:rFonts w:hint="default" w:cs="Times New Roman"/>
          <w:color w:val="auto"/>
          <w:highlight w:val="none"/>
          <w:lang w:val="en-US" w:eastAsia="zh-CN"/>
        </w:rPr>
        <w:t>。</w:t>
      </w:r>
    </w:p>
    <w:p w14:paraId="55F1927B">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b w:val="0"/>
          <w:bCs w:val="0"/>
          <w:color w:val="auto"/>
          <w:highlight w:val="none"/>
          <w:lang w:val="en-US" w:eastAsia="zh-CN"/>
        </w:rPr>
      </w:pPr>
      <w:r>
        <w:rPr>
          <w:rFonts w:hint="default" w:ascii="Times New Roman" w:hAnsi="Times New Roman" w:eastAsia="黑体" w:cs="Times New Roman"/>
          <w:b w:val="0"/>
          <w:bCs w:val="0"/>
          <w:color w:val="auto"/>
          <w:highlight w:val="none"/>
          <w:lang w:val="en-US" w:eastAsia="zh-CN"/>
        </w:rPr>
        <w:t>七、国有资产占用情况</w:t>
      </w:r>
    </w:p>
    <w:p w14:paraId="4ED61405">
      <w:pPr>
        <w:pStyle w:val="2"/>
        <w:keepNext w:val="0"/>
        <w:keepLines w:val="0"/>
        <w:widowControl/>
        <w:suppressLineNumbers w:val="0"/>
        <w:spacing w:before="274" w:beforeAutospacing="0" w:after="225" w:afterAutospacing="0" w:line="675" w:lineRule="atLeast"/>
        <w:ind w:left="0" w:firstLine="540"/>
        <w:jc w:val="left"/>
        <w:rPr>
          <w:rFonts w:hint="default" w:ascii="Times New Roman" w:hAnsi="Times New Roman" w:eastAsia="仿宋_GB2312" w:cs="Times New Roman"/>
          <w:color w:val="auto"/>
          <w:kern w:val="2"/>
          <w:sz w:val="32"/>
          <w:szCs w:val="31"/>
          <w:highlight w:val="none"/>
          <w:lang w:val="en-US" w:eastAsia="zh-CN" w:bidi="ar-SA"/>
        </w:rPr>
      </w:pPr>
      <w:r>
        <w:rPr>
          <w:rFonts w:hint="eastAsia" w:cs="Times New Roman"/>
          <w:color w:val="auto"/>
          <w:kern w:val="2"/>
          <w:sz w:val="32"/>
          <w:szCs w:val="31"/>
          <w:highlight w:val="none"/>
          <w:lang w:val="en-US" w:eastAsia="zh-CN" w:bidi="ar-SA"/>
        </w:rPr>
        <w:t>2025年</w:t>
      </w:r>
      <w:r>
        <w:rPr>
          <w:rFonts w:hint="eastAsia" w:ascii="Times New Roman" w:hAnsi="Times New Roman" w:eastAsia="仿宋_GB2312" w:cs="Times New Roman"/>
          <w:color w:val="auto"/>
          <w:kern w:val="2"/>
          <w:sz w:val="32"/>
          <w:szCs w:val="31"/>
          <w:highlight w:val="none"/>
          <w:lang w:val="en-US" w:eastAsia="zh-CN" w:bidi="ar-SA"/>
        </w:rPr>
        <w:t>初资产总额6.</w:t>
      </w:r>
      <w:r>
        <w:rPr>
          <w:rFonts w:hint="eastAsia" w:cs="Times New Roman"/>
          <w:color w:val="auto"/>
          <w:kern w:val="2"/>
          <w:sz w:val="32"/>
          <w:szCs w:val="31"/>
          <w:highlight w:val="none"/>
          <w:lang w:val="en-US" w:eastAsia="zh-CN" w:bidi="ar-SA"/>
        </w:rPr>
        <w:t>43</w:t>
      </w:r>
      <w:r>
        <w:rPr>
          <w:rFonts w:hint="eastAsia" w:ascii="Times New Roman" w:hAnsi="Times New Roman" w:eastAsia="仿宋_GB2312" w:cs="Times New Roman"/>
          <w:color w:val="auto"/>
          <w:kern w:val="2"/>
          <w:sz w:val="32"/>
          <w:szCs w:val="31"/>
          <w:highlight w:val="none"/>
          <w:lang w:val="en-US" w:eastAsia="zh-CN" w:bidi="ar-SA"/>
        </w:rPr>
        <w:t>万元，其中流动资产</w:t>
      </w:r>
      <w:r>
        <w:rPr>
          <w:rFonts w:hint="eastAsia" w:cs="Times New Roman"/>
          <w:color w:val="auto"/>
          <w:kern w:val="2"/>
          <w:sz w:val="32"/>
          <w:szCs w:val="31"/>
          <w:highlight w:val="none"/>
          <w:lang w:val="en-US" w:eastAsia="zh-CN" w:bidi="ar-SA"/>
        </w:rPr>
        <w:t>2.37</w:t>
      </w:r>
      <w:r>
        <w:rPr>
          <w:rFonts w:hint="eastAsia" w:ascii="Times New Roman" w:hAnsi="Times New Roman" w:eastAsia="仿宋_GB2312" w:cs="Times New Roman"/>
          <w:color w:val="auto"/>
          <w:kern w:val="2"/>
          <w:sz w:val="32"/>
          <w:szCs w:val="31"/>
          <w:highlight w:val="none"/>
          <w:lang w:val="en-US" w:eastAsia="zh-CN" w:bidi="ar-SA"/>
        </w:rPr>
        <w:t>万元，固定资产原值40.</w:t>
      </w:r>
      <w:r>
        <w:rPr>
          <w:rFonts w:hint="eastAsia" w:cs="Times New Roman"/>
          <w:color w:val="auto"/>
          <w:kern w:val="2"/>
          <w:sz w:val="32"/>
          <w:szCs w:val="31"/>
          <w:highlight w:val="none"/>
          <w:lang w:val="en-US" w:eastAsia="zh-CN" w:bidi="ar-SA"/>
        </w:rPr>
        <w:t>22</w:t>
      </w:r>
      <w:r>
        <w:rPr>
          <w:rFonts w:hint="eastAsia" w:ascii="Times New Roman" w:hAnsi="Times New Roman" w:eastAsia="仿宋_GB2312" w:cs="Times New Roman"/>
          <w:color w:val="auto"/>
          <w:kern w:val="2"/>
          <w:sz w:val="32"/>
          <w:szCs w:val="31"/>
          <w:highlight w:val="none"/>
          <w:lang w:val="en-US" w:eastAsia="zh-CN" w:bidi="ar-SA"/>
        </w:rPr>
        <w:t>万元（无房屋、通用设备原值14.24万元、一辆车辆原值17.02万元、家具原值8.9</w:t>
      </w:r>
      <w:r>
        <w:rPr>
          <w:rFonts w:hint="eastAsia" w:cs="Times New Roman"/>
          <w:color w:val="auto"/>
          <w:kern w:val="2"/>
          <w:sz w:val="32"/>
          <w:szCs w:val="31"/>
          <w:highlight w:val="none"/>
          <w:lang w:val="en-US" w:eastAsia="zh-CN" w:bidi="ar-SA"/>
        </w:rPr>
        <w:t>6</w:t>
      </w:r>
      <w:r>
        <w:rPr>
          <w:rFonts w:hint="eastAsia" w:ascii="Times New Roman" w:hAnsi="Times New Roman" w:eastAsia="仿宋_GB2312" w:cs="Times New Roman"/>
          <w:color w:val="auto"/>
          <w:kern w:val="2"/>
          <w:sz w:val="32"/>
          <w:szCs w:val="31"/>
          <w:highlight w:val="none"/>
          <w:lang w:val="en-US" w:eastAsia="zh-CN" w:bidi="ar-SA"/>
        </w:rPr>
        <w:t>万元、无形资产0.26万元），累计折旧3</w:t>
      </w:r>
      <w:r>
        <w:rPr>
          <w:rFonts w:hint="eastAsia" w:cs="Times New Roman"/>
          <w:color w:val="auto"/>
          <w:kern w:val="2"/>
          <w:sz w:val="32"/>
          <w:szCs w:val="31"/>
          <w:highlight w:val="none"/>
          <w:lang w:val="en-US" w:eastAsia="zh-CN" w:bidi="ar-SA"/>
        </w:rPr>
        <w:t>6.41</w:t>
      </w:r>
      <w:r>
        <w:rPr>
          <w:rFonts w:hint="eastAsia" w:ascii="Times New Roman" w:hAnsi="Times New Roman" w:eastAsia="仿宋_GB2312" w:cs="Times New Roman"/>
          <w:color w:val="auto"/>
          <w:kern w:val="2"/>
          <w:sz w:val="32"/>
          <w:szCs w:val="31"/>
          <w:highlight w:val="none"/>
          <w:lang w:val="en-US" w:eastAsia="zh-CN" w:bidi="ar-SA"/>
        </w:rPr>
        <w:t>万元，净值</w:t>
      </w:r>
      <w:r>
        <w:rPr>
          <w:rFonts w:hint="eastAsia" w:cs="Times New Roman"/>
          <w:color w:val="auto"/>
          <w:kern w:val="2"/>
          <w:sz w:val="32"/>
          <w:szCs w:val="31"/>
          <w:highlight w:val="none"/>
          <w:lang w:val="en-US" w:eastAsia="zh-CN" w:bidi="ar-SA"/>
        </w:rPr>
        <w:t>4.07</w:t>
      </w:r>
      <w:r>
        <w:rPr>
          <w:rFonts w:hint="eastAsia" w:ascii="Times New Roman" w:hAnsi="Times New Roman" w:eastAsia="仿宋_GB2312" w:cs="Times New Roman"/>
          <w:color w:val="auto"/>
          <w:kern w:val="2"/>
          <w:sz w:val="32"/>
          <w:szCs w:val="31"/>
          <w:highlight w:val="none"/>
          <w:lang w:val="en-US" w:eastAsia="zh-CN" w:bidi="ar-SA"/>
        </w:rPr>
        <w:t>万元，较上年资产减少</w:t>
      </w:r>
      <w:r>
        <w:rPr>
          <w:rFonts w:hint="eastAsia" w:cs="Times New Roman"/>
          <w:color w:val="auto"/>
          <w:kern w:val="2"/>
          <w:sz w:val="32"/>
          <w:szCs w:val="31"/>
          <w:highlight w:val="none"/>
          <w:lang w:val="en-US" w:eastAsia="zh-CN" w:bidi="ar-SA"/>
        </w:rPr>
        <w:t>0.49</w:t>
      </w:r>
      <w:r>
        <w:rPr>
          <w:rFonts w:hint="eastAsia" w:ascii="Times New Roman" w:hAnsi="Times New Roman" w:eastAsia="仿宋_GB2312" w:cs="Times New Roman"/>
          <w:color w:val="auto"/>
          <w:kern w:val="2"/>
          <w:sz w:val="32"/>
          <w:szCs w:val="31"/>
          <w:highlight w:val="none"/>
          <w:lang w:val="en-US" w:eastAsia="zh-CN" w:bidi="ar-SA"/>
        </w:rPr>
        <w:t>万元，下降</w:t>
      </w:r>
      <w:r>
        <w:rPr>
          <w:rFonts w:hint="eastAsia" w:cs="Times New Roman"/>
          <w:color w:val="auto"/>
          <w:kern w:val="2"/>
          <w:sz w:val="32"/>
          <w:szCs w:val="31"/>
          <w:highlight w:val="none"/>
          <w:lang w:val="en-US" w:eastAsia="zh-CN" w:bidi="ar-SA"/>
        </w:rPr>
        <w:t>7.08</w:t>
      </w:r>
      <w:r>
        <w:rPr>
          <w:rFonts w:hint="eastAsia" w:ascii="Times New Roman" w:hAnsi="Times New Roman" w:eastAsia="仿宋_GB2312" w:cs="Times New Roman"/>
          <w:color w:val="auto"/>
          <w:kern w:val="2"/>
          <w:sz w:val="32"/>
          <w:szCs w:val="31"/>
          <w:highlight w:val="none"/>
          <w:lang w:val="en-US" w:eastAsia="zh-CN" w:bidi="ar-SA"/>
        </w:rPr>
        <w:t>%，主要原因是</w:t>
      </w:r>
      <w:r>
        <w:rPr>
          <w:rFonts w:hint="eastAsia" w:cs="Times New Roman"/>
          <w:color w:val="auto"/>
          <w:kern w:val="2"/>
          <w:sz w:val="32"/>
          <w:szCs w:val="31"/>
          <w:highlight w:val="none"/>
          <w:lang w:val="en-US" w:eastAsia="zh-CN" w:bidi="ar-SA"/>
        </w:rPr>
        <w:t>资产计提折旧导致</w:t>
      </w:r>
      <w:r>
        <w:rPr>
          <w:rFonts w:hint="eastAsia" w:ascii="Times New Roman" w:hAnsi="Times New Roman" w:eastAsia="仿宋_GB2312" w:cs="Times New Roman"/>
          <w:color w:val="auto"/>
          <w:kern w:val="2"/>
          <w:sz w:val="32"/>
          <w:szCs w:val="31"/>
          <w:highlight w:val="none"/>
          <w:lang w:val="en-US" w:eastAsia="zh-CN" w:bidi="ar-SA"/>
        </w:rPr>
        <w:t>。</w:t>
      </w:r>
    </w:p>
    <w:p w14:paraId="73CE507D">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b w:val="0"/>
          <w:bCs w:val="0"/>
          <w:color w:val="auto"/>
          <w:highlight w:val="none"/>
          <w:lang w:eastAsia="zh-CN"/>
        </w:rPr>
      </w:pPr>
      <w:r>
        <w:rPr>
          <w:rFonts w:hint="default" w:ascii="Times New Roman" w:hAnsi="Times New Roman" w:eastAsia="黑体" w:cs="Times New Roman"/>
          <w:b w:val="0"/>
          <w:bCs w:val="0"/>
          <w:color w:val="auto"/>
          <w:highlight w:val="none"/>
          <w:lang w:eastAsia="zh-CN"/>
        </w:rPr>
        <w:t>八、重点项目预算绩效情况</w:t>
      </w:r>
    </w:p>
    <w:p w14:paraId="1535E949">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楷体_GB2312" w:cs="Times New Roman"/>
          <w:b/>
          <w:bCs/>
          <w:color w:val="auto"/>
          <w:highlight w:val="none"/>
        </w:rPr>
      </w:pPr>
      <w:r>
        <w:rPr>
          <w:rFonts w:hint="default" w:ascii="Times New Roman" w:hAnsi="Times New Roman" w:eastAsia="楷体_GB2312" w:cs="Times New Roman"/>
          <w:b/>
          <w:bCs/>
          <w:color w:val="auto"/>
          <w:highlight w:val="none"/>
          <w:lang w:eastAsia="zh-CN"/>
        </w:rPr>
        <w:t>（一）</w:t>
      </w:r>
      <w:r>
        <w:rPr>
          <w:rFonts w:hint="default" w:ascii="Times New Roman" w:hAnsi="Times New Roman" w:eastAsia="楷体_GB2312" w:cs="Times New Roman"/>
          <w:b/>
          <w:bCs/>
          <w:color w:val="auto"/>
          <w:highlight w:val="none"/>
        </w:rPr>
        <w:t>部门整体绩效目标编制情况</w:t>
      </w:r>
    </w:p>
    <w:p w14:paraId="32341FFE">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本部门整体绩效目标是：根据市财政局关于转发《省财政厅关于印发关于支持群团组织发展经费保障和管理的意见&gt;和关于支持群团组织参与政府向社会购买服务工作的实施意见&gt;的通知》的通知（随财发[2017]28号）、中共随州市委办公室关于印发《随州市群团改革方案&gt;共青团随州市委改革实施方案&gt;的通知》等文件精神。</w:t>
      </w:r>
    </w:p>
    <w:p w14:paraId="17C333FB">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长期目标：紧紧围绕保持和增强政治性、先进性、群众性这一根本要求，以体制机制改革为突破，改革团的组织机构、干部队伍、管理模式和工作方式，构建“凝聚青年、服务大局、当好桥梁、从严治团”的工作格局，建设思想政治坚定、组织体系健全、运行机制科学、工作方式创新、联系青年密切、作风扎实过硬，更加充满活力、更加坚强有力的共青团，团结带领青年发挥生力军和突击队作用，更好地肩负起党交给共青团的光荣使命，具体指标设置为：</w:t>
      </w:r>
    </w:p>
    <w:p w14:paraId="68A65CB1">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产出指标：数量指标，全部完成，指标设立依据是行业标准；</w:t>
      </w:r>
    </w:p>
    <w:p w14:paraId="7725570E">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效益指标：生态效益指标，全部实现，指标设立依据是行业标准；</w:t>
      </w:r>
    </w:p>
    <w:p w14:paraId="70145F29">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楷体_GB2312" w:cs="Times New Roman"/>
          <w:b/>
          <w:bCs/>
          <w:color w:val="auto"/>
          <w:highlight w:val="none"/>
        </w:rPr>
      </w:pPr>
      <w:r>
        <w:rPr>
          <w:rFonts w:hint="default" w:ascii="Times New Roman" w:hAnsi="Times New Roman" w:cs="Times New Roman"/>
          <w:color w:val="auto"/>
          <w:highlight w:val="none"/>
        </w:rPr>
        <w:t>满意度指标：非常满意，指标设立依据是行业标准。</w:t>
      </w:r>
    </w:p>
    <w:p w14:paraId="7E3412CE">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楷体_GB2312" w:cs="Times New Roman"/>
          <w:b/>
          <w:bCs/>
          <w:color w:val="auto"/>
          <w:highlight w:val="none"/>
        </w:rPr>
      </w:pPr>
      <w:r>
        <w:rPr>
          <w:rFonts w:hint="default" w:ascii="Times New Roman" w:hAnsi="Times New Roman" w:eastAsia="楷体_GB2312" w:cs="Times New Roman"/>
          <w:b/>
          <w:bCs/>
          <w:color w:val="auto"/>
          <w:highlight w:val="none"/>
          <w:lang w:eastAsia="zh-CN"/>
        </w:rPr>
        <w:t>（二）</w:t>
      </w:r>
      <w:r>
        <w:rPr>
          <w:rFonts w:hint="default" w:ascii="Times New Roman" w:hAnsi="Times New Roman" w:eastAsia="楷体_GB2312" w:cs="Times New Roman"/>
          <w:b/>
          <w:bCs/>
          <w:color w:val="auto"/>
          <w:highlight w:val="none"/>
        </w:rPr>
        <w:t>重点项目绩效目标编制情况</w:t>
      </w:r>
    </w:p>
    <w:p w14:paraId="4DD31732">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项目1：青年工作经费</w:t>
      </w:r>
    </w:p>
    <w:p w14:paraId="3A1F20C3">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绩效目标：紧紧围绕保持和增强政治性、先进性、群众性这一根本要求，以体制机制改革为突破，改革团的组织机构、干部队伍、管理模式和工作方式，构建“凝聚青年、服务大局、当好桥梁、从严治团”的工作格局，建设思想政治坚定、组织体系健全、运行机制科学、工作方式创新、联系青年密切、作风扎实过硬，更加充满活力、更加坚强有力的共青团，团结带领青年发挥生力军和突击队作用，更好地肩负起党交给共青团的光荣使命；</w:t>
      </w:r>
    </w:p>
    <w:p w14:paraId="500B472A">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产出指标：数量指标，全部完成，指标设立依据是行业标准；</w:t>
      </w:r>
    </w:p>
    <w:p w14:paraId="6C9DE869">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效益指标：生态效益指标，全部实现，指标设立依据是行业标准；</w:t>
      </w:r>
    </w:p>
    <w:p w14:paraId="26611AC0">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满意度指标：非常满意，指标设立依据是行业标准。</w:t>
      </w:r>
    </w:p>
    <w:p w14:paraId="7FD85D51">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cs="Times New Roman"/>
          <w:color w:val="auto"/>
          <w:highlight w:val="none"/>
          <w:lang w:val="en-US" w:eastAsia="zh-CN"/>
        </w:rPr>
      </w:pPr>
      <w:r>
        <w:rPr>
          <w:rFonts w:hint="default" w:ascii="Times New Roman" w:hAnsi="Times New Roman" w:cs="Times New Roman"/>
          <w:color w:val="auto"/>
          <w:highlight w:val="none"/>
          <w:lang w:eastAsia="zh-CN"/>
        </w:rPr>
        <w:t>项目</w:t>
      </w:r>
      <w:r>
        <w:rPr>
          <w:rFonts w:hint="eastAsia" w:cs="Times New Roman"/>
          <w:color w:val="auto"/>
          <w:highlight w:val="none"/>
          <w:lang w:val="en-US" w:eastAsia="zh-CN"/>
        </w:rPr>
        <w:t>2</w:t>
      </w:r>
      <w:r>
        <w:rPr>
          <w:rFonts w:hint="default" w:ascii="Times New Roman" w:hAnsi="Times New Roman" w:cs="Times New Roman"/>
          <w:color w:val="auto"/>
          <w:highlight w:val="none"/>
          <w:lang w:eastAsia="zh-CN"/>
        </w:rPr>
        <w:t>：</w:t>
      </w:r>
      <w:r>
        <w:rPr>
          <w:rFonts w:hint="eastAsia" w:cs="Times New Roman"/>
          <w:color w:val="auto"/>
          <w:highlight w:val="none"/>
          <w:lang w:val="en-US" w:eastAsia="zh-CN"/>
        </w:rPr>
        <w:t>团费</w:t>
      </w:r>
    </w:p>
    <w:p w14:paraId="5B6CA286">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绩效目标：全年围绕团干部教育培训，组织“青马工程”团干部素质能力提升班；按期向团省委上缴当年度团费。</w:t>
      </w:r>
    </w:p>
    <w:p w14:paraId="3668AE18">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产出指标：数量指标，全部完成，指标设立依据是行业标准；</w:t>
      </w:r>
    </w:p>
    <w:p w14:paraId="77B96319">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效益指标：生态效益指标，全部实现，指标设立依据是行业标准；</w:t>
      </w:r>
    </w:p>
    <w:p w14:paraId="7A6F5DDD">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满意度指标：非常满意，指标设立依据是行业标准。</w:t>
      </w:r>
    </w:p>
    <w:p w14:paraId="730C62B3">
      <w:pPr>
        <w:keepNext w:val="0"/>
        <w:keepLines w:val="0"/>
        <w:pageBreakBefore w:val="0"/>
        <w:widowControl w:val="0"/>
        <w:numPr>
          <w:ilvl w:val="0"/>
          <w:numId w:val="1"/>
        </w:numPr>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b w:val="0"/>
          <w:bCs w:val="0"/>
          <w:color w:val="auto"/>
          <w:kern w:val="2"/>
          <w:sz w:val="32"/>
          <w:szCs w:val="24"/>
          <w:highlight w:val="none"/>
          <w:lang w:eastAsia="zh-CN" w:bidi="ar-SA"/>
        </w:rPr>
      </w:pPr>
      <w:r>
        <w:rPr>
          <w:rFonts w:hint="default" w:ascii="Times New Roman" w:hAnsi="Times New Roman" w:eastAsia="黑体" w:cs="Times New Roman"/>
          <w:b w:val="0"/>
          <w:bCs w:val="0"/>
          <w:color w:val="auto"/>
          <w:kern w:val="2"/>
          <w:sz w:val="32"/>
          <w:szCs w:val="24"/>
          <w:highlight w:val="none"/>
          <w:lang w:eastAsia="zh-CN" w:bidi="ar-SA"/>
        </w:rPr>
        <w:t>其他需要说明的情况</w:t>
      </w:r>
    </w:p>
    <w:p w14:paraId="0ACEF0CD">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firstLine="643" w:firstLineChars="200"/>
        <w:textAlignment w:val="auto"/>
        <w:rPr>
          <w:rFonts w:hint="eastAsia" w:ascii="楷体_GB2312" w:hAnsi="楷体_GB2312" w:eastAsia="楷体_GB2312" w:cs="楷体_GB2312"/>
          <w:b/>
          <w:bCs/>
          <w:color w:val="auto"/>
          <w:kern w:val="2"/>
          <w:sz w:val="32"/>
          <w:szCs w:val="24"/>
          <w:highlight w:val="none"/>
          <w:lang w:eastAsia="zh-CN" w:bidi="ar-SA"/>
        </w:rPr>
      </w:pPr>
      <w:r>
        <w:rPr>
          <w:rFonts w:hint="eastAsia" w:ascii="楷体_GB2312" w:hAnsi="楷体_GB2312" w:eastAsia="楷体_GB2312" w:cs="楷体_GB2312"/>
          <w:b/>
          <w:bCs/>
          <w:color w:val="auto"/>
          <w:kern w:val="2"/>
          <w:sz w:val="32"/>
          <w:szCs w:val="24"/>
          <w:highlight w:val="none"/>
          <w:lang w:val="en-US" w:eastAsia="zh-CN" w:bidi="ar-SA"/>
        </w:rPr>
        <w:t>（一）</w:t>
      </w:r>
      <w:r>
        <w:rPr>
          <w:rFonts w:hint="eastAsia" w:ascii="楷体_GB2312" w:hAnsi="楷体_GB2312" w:eastAsia="楷体_GB2312" w:cs="楷体_GB2312"/>
          <w:b/>
          <w:bCs/>
          <w:color w:val="auto"/>
          <w:kern w:val="2"/>
          <w:sz w:val="32"/>
          <w:szCs w:val="24"/>
          <w:highlight w:val="none"/>
          <w:lang w:eastAsia="zh-CN" w:bidi="ar-SA"/>
        </w:rPr>
        <w:t>对空表的说明</w:t>
      </w:r>
    </w:p>
    <w:p w14:paraId="727750E0">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firstLine="640" w:firstLineChars="200"/>
        <w:textAlignment w:val="auto"/>
        <w:rPr>
          <w:rFonts w:hint="default" w:ascii="仿宋_GB2312" w:hAnsi="仿宋" w:eastAsia="仿宋_GB2312" w:cs="宋体"/>
          <w:kern w:val="2"/>
          <w:sz w:val="32"/>
          <w:szCs w:val="32"/>
          <w:highlight w:val="none"/>
          <w:lang w:val="en-US" w:eastAsia="zh-CN" w:bidi="ar-SA"/>
        </w:rPr>
      </w:pPr>
      <w:r>
        <w:rPr>
          <w:rFonts w:hint="eastAsia" w:cs="Times New Roman"/>
          <w:color w:val="auto"/>
          <w:highlight w:val="none"/>
          <w:lang w:eastAsia="zh-CN"/>
        </w:rPr>
        <w:t>共青团随州市委</w:t>
      </w:r>
      <w:r>
        <w:rPr>
          <w:rFonts w:hint="eastAsia" w:ascii="仿宋_GB2312" w:hAnsi="仿宋" w:cs="宋体"/>
          <w:kern w:val="2"/>
          <w:sz w:val="32"/>
          <w:szCs w:val="32"/>
          <w:highlight w:val="none"/>
          <w:lang w:val="en-US" w:eastAsia="zh-CN" w:bidi="ar-SA"/>
        </w:rPr>
        <w:t>本年度无政府性基金预算支出、</w:t>
      </w:r>
      <w:r>
        <w:rPr>
          <w:rFonts w:hint="default" w:ascii="仿宋_GB2312" w:hAnsi="仿宋" w:eastAsia="仿宋_GB2312" w:cs="宋体"/>
          <w:kern w:val="2"/>
          <w:sz w:val="32"/>
          <w:szCs w:val="32"/>
          <w:highlight w:val="none"/>
          <w:lang w:val="en-US" w:eastAsia="zh-CN" w:bidi="ar-SA"/>
        </w:rPr>
        <w:t>无</w:t>
      </w:r>
      <w:r>
        <w:rPr>
          <w:rFonts w:hint="eastAsia" w:ascii="仿宋_GB2312" w:hAnsi="仿宋" w:cs="宋体"/>
          <w:kern w:val="2"/>
          <w:sz w:val="32"/>
          <w:szCs w:val="32"/>
          <w:highlight w:val="none"/>
          <w:lang w:val="en-US" w:eastAsia="zh-CN" w:bidi="ar-SA"/>
        </w:rPr>
        <w:t>政府采购预算支出。</w:t>
      </w:r>
    </w:p>
    <w:p w14:paraId="2B512C88">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firstLine="643" w:firstLineChars="200"/>
        <w:textAlignment w:val="auto"/>
        <w:rPr>
          <w:rFonts w:hint="default" w:ascii="楷体_GB2312" w:hAnsi="楷体_GB2312" w:eastAsia="楷体_GB2312" w:cs="楷体_GB2312"/>
          <w:b/>
          <w:bCs/>
          <w:color w:val="auto"/>
          <w:kern w:val="2"/>
          <w:sz w:val="32"/>
          <w:szCs w:val="24"/>
          <w:highlight w:val="none"/>
          <w:lang w:val="en-US" w:eastAsia="zh-CN" w:bidi="ar-SA"/>
        </w:rPr>
      </w:pPr>
      <w:r>
        <w:rPr>
          <w:rFonts w:hint="eastAsia" w:ascii="楷体_GB2312" w:hAnsi="楷体_GB2312" w:eastAsia="楷体_GB2312" w:cs="楷体_GB2312"/>
          <w:b/>
          <w:bCs/>
          <w:color w:val="auto"/>
          <w:kern w:val="2"/>
          <w:sz w:val="32"/>
          <w:szCs w:val="24"/>
          <w:highlight w:val="none"/>
          <w:lang w:val="en-US" w:eastAsia="zh-CN" w:bidi="ar-SA"/>
        </w:rPr>
        <w:t>（二）</w:t>
      </w:r>
      <w:r>
        <w:rPr>
          <w:rFonts w:hint="default" w:ascii="楷体_GB2312" w:hAnsi="楷体_GB2312" w:eastAsia="楷体_GB2312" w:cs="楷体_GB2312"/>
          <w:b/>
          <w:bCs/>
          <w:color w:val="auto"/>
          <w:kern w:val="2"/>
          <w:sz w:val="32"/>
          <w:szCs w:val="24"/>
          <w:highlight w:val="none"/>
          <w:lang w:val="en-US" w:eastAsia="zh-CN" w:bidi="ar-SA"/>
        </w:rPr>
        <w:t>对其他情况的说明</w:t>
      </w:r>
    </w:p>
    <w:p w14:paraId="3FBDD4C6">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firstLine="640" w:firstLineChars="200"/>
        <w:jc w:val="both"/>
        <w:textAlignment w:val="auto"/>
        <w:rPr>
          <w:rFonts w:hint="default" w:ascii="Times New Roman" w:hAnsi="Times New Roman" w:cs="Times New Roman"/>
          <w:color w:val="auto"/>
          <w:kern w:val="2"/>
          <w:sz w:val="32"/>
          <w:szCs w:val="24"/>
          <w:highlight w:val="none"/>
          <w:lang w:val="en-US" w:eastAsia="zh-CN" w:bidi="ar-SA"/>
        </w:rPr>
      </w:pPr>
      <w:r>
        <w:rPr>
          <w:rFonts w:hint="default" w:ascii="Times New Roman" w:hAnsi="Times New Roman" w:cs="Times New Roman"/>
          <w:color w:val="auto"/>
          <w:kern w:val="2"/>
          <w:sz w:val="32"/>
          <w:szCs w:val="24"/>
          <w:highlight w:val="none"/>
          <w:lang w:val="en-US" w:eastAsia="zh-CN" w:bidi="ar-SA"/>
        </w:rPr>
        <w:t>无其他情况说明。</w:t>
      </w:r>
    </w:p>
    <w:p w14:paraId="343D3B0F">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firstLine="640" w:firstLineChars="200"/>
        <w:jc w:val="both"/>
        <w:textAlignment w:val="auto"/>
        <w:rPr>
          <w:rFonts w:hint="default" w:ascii="Times New Roman" w:hAnsi="Times New Roman" w:eastAsia="黑体" w:cs="Times New Roman"/>
          <w:b w:val="0"/>
          <w:bCs w:val="0"/>
          <w:color w:val="auto"/>
          <w:kern w:val="2"/>
          <w:sz w:val="32"/>
          <w:szCs w:val="24"/>
          <w:highlight w:val="none"/>
          <w:lang w:val="en-US" w:eastAsia="zh-CN" w:bidi="ar-SA"/>
        </w:rPr>
      </w:pPr>
      <w:r>
        <w:rPr>
          <w:rFonts w:hint="default" w:ascii="Times New Roman" w:hAnsi="Times New Roman" w:eastAsia="黑体" w:cs="Times New Roman"/>
          <w:b w:val="0"/>
          <w:bCs w:val="0"/>
          <w:color w:val="auto"/>
          <w:kern w:val="2"/>
          <w:sz w:val="32"/>
          <w:szCs w:val="24"/>
          <w:highlight w:val="none"/>
          <w:lang w:val="en-US" w:eastAsia="zh-CN" w:bidi="ar-SA"/>
        </w:rPr>
        <w:t>十、专业名词解释</w:t>
      </w:r>
    </w:p>
    <w:p w14:paraId="3EF0DA13">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firstLine="640" w:firstLineChars="200"/>
        <w:jc w:val="both"/>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对部门预算中涉及的支出功能分类科目（明细到项级），结合部门实际，参照《2023年政府收支分类科目》的规范说明进解释，并对部门预算说明中的专业名词进行行解释。</w:t>
      </w:r>
    </w:p>
    <w:p w14:paraId="162BBD1C">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firstLine="640" w:firstLineChars="200"/>
        <w:jc w:val="both"/>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一般公共服务（类）财政事务（款）行政运行（项）：指财政系统行政单位及参照公务员法管理的事业单位，用于保障机构正常运行、开展日常工作的基本支出。</w:t>
      </w:r>
    </w:p>
    <w:p w14:paraId="4BBC0C3D">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firstLine="640" w:firstLineChars="200"/>
        <w:jc w:val="both"/>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一般公共服务（类）财政事务（款）预算改革业务（项）：指财政部门用于预算改革方面的支出。</w:t>
      </w:r>
    </w:p>
    <w:p w14:paraId="4A313460">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firstLine="640" w:firstLineChars="200"/>
        <w:jc w:val="both"/>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一般公共服务（类）财政事务（款）信息化建设（项）：指财政部门用于“金财工程”等信息化建设方面的支出。</w:t>
      </w:r>
    </w:p>
    <w:p w14:paraId="42A14B02">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firstLine="640" w:firstLineChars="200"/>
        <w:jc w:val="both"/>
        <w:textAlignment w:val="auto"/>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（一）</w:t>
      </w:r>
      <w:r>
        <w:rPr>
          <w:rFonts w:hint="default" w:ascii="Times New Roman" w:hAnsi="Times New Roman" w:cs="Times New Roman"/>
          <w:color w:val="auto"/>
          <w:highlight w:val="none"/>
          <w:lang w:val="en-US" w:eastAsia="zh-CN"/>
        </w:rPr>
        <w:t>收入科目</w:t>
      </w:r>
    </w:p>
    <w:p w14:paraId="52D2F5D2">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firstLine="640" w:firstLineChars="200"/>
        <w:jc w:val="both"/>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1.财政拨款收入：指财政当年拨付的资金。</w:t>
      </w:r>
    </w:p>
    <w:p w14:paraId="42967E28">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firstLine="640" w:firstLineChars="200"/>
        <w:jc w:val="both"/>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2.事业收入：指事业单位开展专业业务活动及辅助活动所取得的收入。</w:t>
      </w:r>
    </w:p>
    <w:p w14:paraId="11470966">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firstLine="640" w:firstLineChars="200"/>
        <w:jc w:val="both"/>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3.事业单位经营收入：指事业单位在专业业务活动及其辅助活动之外开展经营活动取得的收入。</w:t>
      </w:r>
    </w:p>
    <w:p w14:paraId="01156F0B">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firstLine="640" w:firstLineChars="200"/>
        <w:jc w:val="both"/>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4.其他收入：指除 “财政拨款收入”、“事业收入”、“事业单位经营收入”等以外的收入。</w:t>
      </w:r>
    </w:p>
    <w:p w14:paraId="22E719D9">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firstLine="640" w:firstLineChars="200"/>
        <w:jc w:val="both"/>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5.上年结转：指以前年度尚未完成、结转到本年仍按原规定用途继续使用的资金。</w:t>
      </w:r>
    </w:p>
    <w:p w14:paraId="6643EAF9">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firstLine="640" w:firstLineChars="200"/>
        <w:jc w:val="both"/>
        <w:textAlignment w:val="auto"/>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（二）</w:t>
      </w:r>
      <w:r>
        <w:rPr>
          <w:rFonts w:hint="default" w:ascii="Times New Roman" w:hAnsi="Times New Roman" w:cs="Times New Roman"/>
          <w:color w:val="auto"/>
          <w:highlight w:val="none"/>
          <w:lang w:val="en-US" w:eastAsia="zh-CN"/>
        </w:rPr>
        <w:t>支出科目</w:t>
      </w:r>
    </w:p>
    <w:p w14:paraId="4884EBF8">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firstLine="640" w:firstLineChars="200"/>
        <w:jc w:val="both"/>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1.工资福利支出：反映单位开支的在职职工和临时聘用人员的各类劳动报酬，以及为上述人员缴纳的各项社会保险费等。其下设款级科目包括：基本工资、津贴补贴、奖金、社会保障缴费、伙食费、伙食补助费、其他工资福利支出。</w:t>
      </w:r>
    </w:p>
    <w:p w14:paraId="4ED16D99">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firstLine="640" w:firstLineChars="200"/>
        <w:jc w:val="both"/>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2.对个人和家庭补助支出：反映用于对个人和家庭补助方面的支出，其下设款级科目包括：离休费、退休费、退职（役）费、抚恤金、生活补助、救济费、医疗费、助学金、奖励金、生产补贴、离退休人员提租补贴、离退休人员购房补贴、其他对个人和家庭的补助支出。</w:t>
      </w:r>
    </w:p>
    <w:p w14:paraId="2675A32E">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firstLine="640" w:firstLineChars="200"/>
        <w:jc w:val="both"/>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3.商品和服务支出：反映单位购买商品和服务的各项支出，不包括用于购置固定资产的支出、战略性和应急储备支出。其下设款级科目包括：办公费、印刷费、咨询费、手续费、水费、电费、邮电费、取暖费、物业管理费、交通费、差旅费、出国费、维修（护）费、租赁费、会议费、培训费、招待费、专用材料费、装备购置费、工程建设费、劳务费、委托业务费、工会经费、福利费、其他商品和服务支出。</w:t>
      </w:r>
    </w:p>
    <w:p w14:paraId="4213EFF4">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firstLine="640" w:firstLineChars="200"/>
        <w:jc w:val="both"/>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4.其他资本性支出：反映除发展与改革部门以外其他部门安排的用于购置固定资产、战略性和应急性储备、土地和无形资产，以及购建基础设施、大型修缮和财政支持企业更新改造所发生的支出。该科目下设款级科目与“基本建设支出”类下设款级科目相同，具体包括：房屋建筑物购建、办公设备购置、专用设备购置、交通工具购置、基础设施建设、大型修缮、信息网络购建、物资储备、其他资本性支出。</w:t>
      </w:r>
    </w:p>
    <w:p w14:paraId="6569E869">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firstLine="640" w:firstLineChars="200"/>
        <w:jc w:val="both"/>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5.事业单位经营支出：指事业单位在专业业务活动及其辅助活动之外开展经营活动发生的支出。</w:t>
      </w:r>
    </w:p>
    <w:p w14:paraId="73B27CFF">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firstLine="640" w:firstLineChars="200"/>
        <w:jc w:val="both"/>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6.其他支出：不属于以上类型的支出。</w:t>
      </w:r>
    </w:p>
    <w:p w14:paraId="1B441A0C">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firstLine="640" w:firstLineChars="200"/>
        <w:jc w:val="both"/>
        <w:textAlignment w:val="auto"/>
        <w:rPr>
          <w:rFonts w:hint="default" w:ascii="Times New Roman" w:hAnsi="Times New Roman" w:eastAsia="黑体" w:cs="Times New Roman"/>
          <w:b w:val="0"/>
          <w:bCs w:val="0"/>
          <w:color w:val="auto"/>
          <w:kern w:val="2"/>
          <w:sz w:val="32"/>
          <w:szCs w:val="24"/>
          <w:highlight w:val="none"/>
          <w:lang w:val="en-US" w:eastAsia="zh-CN" w:bidi="ar-SA"/>
        </w:rPr>
      </w:pPr>
    </w:p>
    <w:p w14:paraId="084C816C">
      <w:pPr>
        <w:keepNext w:val="0"/>
        <w:keepLines w:val="0"/>
        <w:pageBreakBefore w:val="0"/>
        <w:widowControl w:val="0"/>
        <w:kinsoku/>
        <w:wordWrap/>
        <w:overflowPunct/>
        <w:topLinePunct w:val="0"/>
        <w:autoSpaceDE/>
        <w:autoSpaceDN/>
        <w:bidi w:val="0"/>
        <w:adjustRightInd/>
        <w:snapToGrid/>
        <w:spacing w:before="321" w:beforeLines="50" w:after="321" w:afterLines="50" w:line="620" w:lineRule="exact"/>
        <w:ind w:left="0" w:leftChars="0"/>
        <w:jc w:val="center"/>
        <w:textAlignment w:val="auto"/>
        <w:rPr>
          <w:rFonts w:hint="default" w:ascii="Times New Roman" w:hAnsi="Times New Roman" w:eastAsia="黑体" w:cs="Times New Roman"/>
          <w:color w:val="auto"/>
          <w:highlight w:val="none"/>
        </w:rPr>
      </w:pPr>
      <w:r>
        <w:rPr>
          <w:rFonts w:hint="default" w:ascii="Times New Roman" w:hAnsi="Times New Roman" w:eastAsia="黑体" w:cs="Times New Roman"/>
          <w:color w:val="auto"/>
          <w:highlight w:val="none"/>
        </w:rPr>
        <w:t>第</w:t>
      </w:r>
      <w:r>
        <w:rPr>
          <w:rFonts w:hint="default" w:ascii="Times New Roman" w:hAnsi="Times New Roman" w:eastAsia="黑体" w:cs="Times New Roman"/>
          <w:color w:val="auto"/>
          <w:highlight w:val="none"/>
          <w:lang w:eastAsia="zh-CN"/>
        </w:rPr>
        <w:t>二</w:t>
      </w:r>
      <w:r>
        <w:rPr>
          <w:rFonts w:hint="default" w:ascii="Times New Roman" w:hAnsi="Times New Roman" w:eastAsia="黑体" w:cs="Times New Roman"/>
          <w:color w:val="auto"/>
          <w:highlight w:val="none"/>
        </w:rPr>
        <w:t xml:space="preserve">部分  </w:t>
      </w:r>
      <w:r>
        <w:rPr>
          <w:rFonts w:hint="eastAsia" w:eastAsia="黑体" w:cs="Times New Roman"/>
          <w:color w:val="auto"/>
          <w:highlight w:val="none"/>
          <w:lang w:eastAsia="zh-CN"/>
        </w:rPr>
        <w:t>共青团随州市委2025年</w:t>
      </w:r>
      <w:r>
        <w:rPr>
          <w:rFonts w:hint="default" w:ascii="Times New Roman" w:hAnsi="Times New Roman" w:eastAsia="黑体" w:cs="Times New Roman"/>
          <w:color w:val="auto"/>
          <w:highlight w:val="none"/>
        </w:rPr>
        <w:t>部门预算</w:t>
      </w:r>
      <w:r>
        <w:rPr>
          <w:rFonts w:hint="default" w:ascii="Times New Roman" w:hAnsi="Times New Roman" w:eastAsia="黑体" w:cs="Times New Roman"/>
          <w:color w:val="auto"/>
          <w:highlight w:val="none"/>
          <w:lang w:eastAsia="zh-CN"/>
        </w:rPr>
        <w:t>公开</w:t>
      </w:r>
      <w:r>
        <w:rPr>
          <w:rFonts w:hint="default" w:ascii="Times New Roman" w:hAnsi="Times New Roman" w:eastAsia="黑体" w:cs="Times New Roman"/>
          <w:color w:val="auto"/>
          <w:highlight w:val="none"/>
        </w:rPr>
        <w:t>表</w:t>
      </w:r>
    </w:p>
    <w:p w14:paraId="3E475BDB">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cs="Times New Roman"/>
          <w:color w:val="auto"/>
          <w:highlight w:val="none"/>
        </w:rPr>
      </w:pPr>
      <w:r>
        <w:rPr>
          <w:rFonts w:hint="eastAsia" w:ascii="Times New Roman" w:hAnsi="Times New Roman" w:eastAsia="仿宋_GB2312" w:cs="Times New Roman"/>
          <w:color w:val="auto"/>
          <w:kern w:val="2"/>
          <w:sz w:val="32"/>
          <w:szCs w:val="31"/>
          <w:highlight w:val="none"/>
          <w:lang w:val="en-US" w:eastAsia="zh-CN" w:bidi="ar-SA"/>
        </w:rPr>
        <w:t>一、</w:t>
      </w:r>
      <w:r>
        <w:rPr>
          <w:rFonts w:hint="default" w:ascii="Times New Roman" w:hAnsi="Times New Roman" w:cs="Times New Roman"/>
          <w:color w:val="auto"/>
          <w:highlight w:val="none"/>
        </w:rPr>
        <w:t>部门收支预算总表</w:t>
      </w:r>
    </w:p>
    <w:p w14:paraId="03F60D08">
      <w:pPr>
        <w:rPr>
          <w:highlight w:val="none"/>
        </w:rPr>
      </w:pPr>
      <w:r>
        <w:rPr>
          <w:highlight w:val="none"/>
        </w:rPr>
        <w:drawing>
          <wp:inline distT="0" distB="0" distL="114300" distR="114300">
            <wp:extent cx="5270500" cy="6591300"/>
            <wp:effectExtent l="0" t="0" r="6350" b="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4"/>
                    <a:stretch>
                      <a:fillRect/>
                    </a:stretch>
                  </pic:blipFill>
                  <pic:spPr>
                    <a:xfrm>
                      <a:off x="0" y="0"/>
                      <a:ext cx="5270500" cy="6591300"/>
                    </a:xfrm>
                    <a:prstGeom prst="rect">
                      <a:avLst/>
                    </a:prstGeom>
                    <a:noFill/>
                    <a:ln>
                      <a:noFill/>
                    </a:ln>
                  </pic:spPr>
                </pic:pic>
              </a:graphicData>
            </a:graphic>
          </wp:inline>
        </w:drawing>
      </w:r>
    </w:p>
    <w:p w14:paraId="37C16B69">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cs="Times New Roman"/>
          <w:color w:val="auto"/>
          <w:highlight w:val="none"/>
        </w:rPr>
      </w:pPr>
      <w:r>
        <w:rPr>
          <w:rFonts w:hint="eastAsia" w:ascii="Times New Roman" w:hAnsi="Times New Roman" w:eastAsia="仿宋_GB2312" w:cs="Times New Roman"/>
          <w:color w:val="auto"/>
          <w:kern w:val="2"/>
          <w:sz w:val="32"/>
          <w:szCs w:val="31"/>
          <w:highlight w:val="none"/>
          <w:lang w:val="en-US" w:eastAsia="zh-CN" w:bidi="ar-SA"/>
        </w:rPr>
        <w:t>二、</w:t>
      </w:r>
      <w:r>
        <w:rPr>
          <w:rFonts w:hint="default" w:ascii="Times New Roman" w:hAnsi="Times New Roman" w:cs="Times New Roman"/>
          <w:color w:val="auto"/>
          <w:highlight w:val="none"/>
        </w:rPr>
        <w:t>部门收入总表</w:t>
      </w:r>
    </w:p>
    <w:p w14:paraId="45D69CC7">
      <w:pPr>
        <w:rPr>
          <w:highlight w:val="none"/>
        </w:rPr>
      </w:pPr>
      <w:r>
        <w:rPr>
          <w:highlight w:val="none"/>
        </w:rPr>
        <w:drawing>
          <wp:inline distT="0" distB="0" distL="114300" distR="114300">
            <wp:extent cx="5270500" cy="781050"/>
            <wp:effectExtent l="0" t="0" r="6350" b="0"/>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5"/>
                    <a:stretch>
                      <a:fillRect/>
                    </a:stretch>
                  </pic:blipFill>
                  <pic:spPr>
                    <a:xfrm>
                      <a:off x="0" y="0"/>
                      <a:ext cx="5270500" cy="781050"/>
                    </a:xfrm>
                    <a:prstGeom prst="rect">
                      <a:avLst/>
                    </a:prstGeom>
                    <a:noFill/>
                    <a:ln>
                      <a:noFill/>
                    </a:ln>
                  </pic:spPr>
                </pic:pic>
              </a:graphicData>
            </a:graphic>
          </wp:inline>
        </w:drawing>
      </w:r>
    </w:p>
    <w:p w14:paraId="2079CC2E">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cs="Times New Roman"/>
          <w:color w:val="auto"/>
          <w:highlight w:val="none"/>
        </w:rPr>
      </w:pPr>
      <w:r>
        <w:rPr>
          <w:rFonts w:hint="eastAsia" w:ascii="Times New Roman" w:hAnsi="Times New Roman" w:eastAsia="仿宋_GB2312" w:cs="Times New Roman"/>
          <w:color w:val="auto"/>
          <w:kern w:val="2"/>
          <w:sz w:val="32"/>
          <w:szCs w:val="31"/>
          <w:highlight w:val="none"/>
          <w:lang w:val="en-US" w:eastAsia="zh-CN" w:bidi="ar-SA"/>
        </w:rPr>
        <w:t>三、</w:t>
      </w:r>
      <w:r>
        <w:rPr>
          <w:rFonts w:hint="default" w:ascii="Times New Roman" w:hAnsi="Times New Roman" w:cs="Times New Roman"/>
          <w:color w:val="auto"/>
          <w:highlight w:val="none"/>
        </w:rPr>
        <w:t>部门支出总表</w:t>
      </w:r>
    </w:p>
    <w:p w14:paraId="3A80A323">
      <w:pPr>
        <w:rPr>
          <w:rFonts w:hint="eastAsia" w:ascii="Times New Roman" w:hAnsi="Times New Roman" w:eastAsia="仿宋_GB2312" w:cs="Times New Roman"/>
          <w:color w:val="auto"/>
          <w:kern w:val="2"/>
          <w:sz w:val="32"/>
          <w:szCs w:val="31"/>
          <w:highlight w:val="none"/>
          <w:lang w:val="en-US" w:eastAsia="zh-CN" w:bidi="ar-SA"/>
        </w:rPr>
      </w:pPr>
      <w:r>
        <w:rPr>
          <w:highlight w:val="none"/>
        </w:rPr>
        <w:drawing>
          <wp:inline distT="0" distB="0" distL="114300" distR="114300">
            <wp:extent cx="5271135" cy="3062605"/>
            <wp:effectExtent l="0" t="0" r="5715" b="4445"/>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6"/>
                    <a:stretch>
                      <a:fillRect/>
                    </a:stretch>
                  </pic:blipFill>
                  <pic:spPr>
                    <a:xfrm>
                      <a:off x="0" y="0"/>
                      <a:ext cx="5271135" cy="3062605"/>
                    </a:xfrm>
                    <a:prstGeom prst="rect">
                      <a:avLst/>
                    </a:prstGeom>
                    <a:noFill/>
                    <a:ln>
                      <a:noFill/>
                    </a:ln>
                  </pic:spPr>
                </pic:pic>
              </a:graphicData>
            </a:graphic>
          </wp:inline>
        </w:drawing>
      </w:r>
    </w:p>
    <w:p w14:paraId="6D2D3BB1">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cs="Times New Roman"/>
          <w:color w:val="auto"/>
          <w:highlight w:val="none"/>
        </w:rPr>
      </w:pPr>
      <w:r>
        <w:rPr>
          <w:rFonts w:hint="eastAsia" w:ascii="Times New Roman" w:hAnsi="Times New Roman" w:eastAsia="仿宋_GB2312" w:cs="Times New Roman"/>
          <w:color w:val="auto"/>
          <w:kern w:val="2"/>
          <w:sz w:val="32"/>
          <w:szCs w:val="31"/>
          <w:highlight w:val="none"/>
          <w:lang w:val="en-US" w:eastAsia="zh-CN" w:bidi="ar-SA"/>
        </w:rPr>
        <w:t>四、</w:t>
      </w:r>
      <w:r>
        <w:rPr>
          <w:rFonts w:hint="default" w:ascii="Times New Roman" w:hAnsi="Times New Roman" w:cs="Times New Roman"/>
          <w:color w:val="auto"/>
          <w:highlight w:val="none"/>
        </w:rPr>
        <w:t>财政拨款收支总表</w:t>
      </w:r>
    </w:p>
    <w:p w14:paraId="0FDD7B99">
      <w:pPr>
        <w:rPr>
          <w:rFonts w:hint="eastAsia" w:ascii="Times New Roman" w:hAnsi="Times New Roman" w:eastAsia="仿宋_GB2312" w:cs="Times New Roman"/>
          <w:color w:val="auto"/>
          <w:kern w:val="2"/>
          <w:sz w:val="32"/>
          <w:szCs w:val="31"/>
          <w:highlight w:val="none"/>
          <w:lang w:val="en-US" w:eastAsia="zh-CN" w:bidi="ar-SA"/>
        </w:rPr>
      </w:pPr>
      <w:r>
        <w:rPr>
          <w:highlight w:val="none"/>
        </w:rPr>
        <w:drawing>
          <wp:inline distT="0" distB="0" distL="114300" distR="114300">
            <wp:extent cx="5269865" cy="6144260"/>
            <wp:effectExtent l="0" t="0" r="6985" b="8890"/>
            <wp:docPr id="1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
                    <pic:cNvPicPr>
                      <a:picLocks noChangeAspect="1"/>
                    </pic:cNvPicPr>
                  </pic:nvPicPr>
                  <pic:blipFill>
                    <a:blip r:embed="rId7"/>
                    <a:stretch>
                      <a:fillRect/>
                    </a:stretch>
                  </pic:blipFill>
                  <pic:spPr>
                    <a:xfrm>
                      <a:off x="0" y="0"/>
                      <a:ext cx="5269865" cy="6144260"/>
                    </a:xfrm>
                    <a:prstGeom prst="rect">
                      <a:avLst/>
                    </a:prstGeom>
                    <a:noFill/>
                    <a:ln>
                      <a:noFill/>
                    </a:ln>
                  </pic:spPr>
                </pic:pic>
              </a:graphicData>
            </a:graphic>
          </wp:inline>
        </w:drawing>
      </w:r>
    </w:p>
    <w:p w14:paraId="698C6E3D">
      <w:pPr>
        <w:ind w:firstLine="640" w:firstLineChars="200"/>
        <w:rPr>
          <w:rFonts w:hint="default" w:ascii="Times New Roman" w:hAnsi="Times New Roman" w:cs="Times New Roman"/>
          <w:color w:val="auto"/>
          <w:highlight w:val="none"/>
        </w:rPr>
      </w:pPr>
      <w:r>
        <w:rPr>
          <w:rFonts w:hint="eastAsia" w:ascii="Times New Roman" w:hAnsi="Times New Roman" w:eastAsia="仿宋_GB2312" w:cs="Times New Roman"/>
          <w:color w:val="auto"/>
          <w:kern w:val="2"/>
          <w:sz w:val="32"/>
          <w:szCs w:val="31"/>
          <w:highlight w:val="none"/>
          <w:lang w:val="en-US" w:eastAsia="zh-CN" w:bidi="ar-SA"/>
        </w:rPr>
        <w:t>五、</w:t>
      </w:r>
      <w:r>
        <w:rPr>
          <w:rFonts w:hint="default" w:ascii="Times New Roman" w:hAnsi="Times New Roman" w:cs="Times New Roman"/>
          <w:color w:val="auto"/>
          <w:highlight w:val="none"/>
        </w:rPr>
        <w:t>一般公共预算支出表</w:t>
      </w:r>
    </w:p>
    <w:p w14:paraId="487343D4">
      <w:pPr>
        <w:rPr>
          <w:rFonts w:hint="eastAsia" w:ascii="Times New Roman" w:hAnsi="Times New Roman" w:eastAsia="仿宋_GB2312" w:cs="Times New Roman"/>
          <w:color w:val="auto"/>
          <w:kern w:val="2"/>
          <w:sz w:val="32"/>
          <w:szCs w:val="31"/>
          <w:highlight w:val="none"/>
          <w:lang w:val="en-US" w:eastAsia="zh-CN" w:bidi="ar-SA"/>
        </w:rPr>
      </w:pPr>
      <w:r>
        <w:rPr>
          <w:highlight w:val="none"/>
        </w:rPr>
        <w:drawing>
          <wp:inline distT="0" distB="0" distL="114300" distR="114300">
            <wp:extent cx="5269865" cy="3175635"/>
            <wp:effectExtent l="0" t="0" r="6985" b="5715"/>
            <wp:docPr id="1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6"/>
                    <pic:cNvPicPr>
                      <a:picLocks noChangeAspect="1"/>
                    </pic:cNvPicPr>
                  </pic:nvPicPr>
                  <pic:blipFill>
                    <a:blip r:embed="rId8"/>
                    <a:stretch>
                      <a:fillRect/>
                    </a:stretch>
                  </pic:blipFill>
                  <pic:spPr>
                    <a:xfrm>
                      <a:off x="0" y="0"/>
                      <a:ext cx="5269865" cy="3175635"/>
                    </a:xfrm>
                    <a:prstGeom prst="rect">
                      <a:avLst/>
                    </a:prstGeom>
                    <a:noFill/>
                    <a:ln>
                      <a:noFill/>
                    </a:ln>
                  </pic:spPr>
                </pic:pic>
              </a:graphicData>
            </a:graphic>
          </wp:inline>
        </w:drawing>
      </w:r>
    </w:p>
    <w:p w14:paraId="41F7CB3A">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cs="Times New Roman"/>
          <w:color w:val="auto"/>
          <w:highlight w:val="none"/>
        </w:rPr>
      </w:pPr>
      <w:r>
        <w:rPr>
          <w:rFonts w:hint="eastAsia" w:ascii="Times New Roman" w:hAnsi="Times New Roman" w:eastAsia="仿宋_GB2312" w:cs="Times New Roman"/>
          <w:color w:val="auto"/>
          <w:kern w:val="2"/>
          <w:sz w:val="32"/>
          <w:szCs w:val="31"/>
          <w:highlight w:val="none"/>
          <w:lang w:val="en-US" w:eastAsia="zh-CN" w:bidi="ar-SA"/>
        </w:rPr>
        <w:t>六、</w:t>
      </w:r>
      <w:r>
        <w:rPr>
          <w:rFonts w:hint="default" w:ascii="Times New Roman" w:hAnsi="Times New Roman" w:cs="Times New Roman"/>
          <w:color w:val="auto"/>
          <w:highlight w:val="none"/>
        </w:rPr>
        <w:t>一般公共预算基本支出表</w:t>
      </w:r>
    </w:p>
    <w:p w14:paraId="682C7408">
      <w:pPr>
        <w:rPr>
          <w:highlight w:val="none"/>
        </w:rPr>
      </w:pPr>
      <w:r>
        <w:rPr>
          <w:highlight w:val="none"/>
        </w:rPr>
        <w:drawing>
          <wp:inline distT="0" distB="0" distL="114300" distR="114300">
            <wp:extent cx="5272405" cy="4881245"/>
            <wp:effectExtent l="0" t="0" r="4445" b="14605"/>
            <wp:docPr id="1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7"/>
                    <pic:cNvPicPr>
                      <a:picLocks noChangeAspect="1"/>
                    </pic:cNvPicPr>
                  </pic:nvPicPr>
                  <pic:blipFill>
                    <a:blip r:embed="rId9"/>
                    <a:stretch>
                      <a:fillRect/>
                    </a:stretch>
                  </pic:blipFill>
                  <pic:spPr>
                    <a:xfrm>
                      <a:off x="0" y="0"/>
                      <a:ext cx="5272405" cy="4881245"/>
                    </a:xfrm>
                    <a:prstGeom prst="rect">
                      <a:avLst/>
                    </a:prstGeom>
                    <a:noFill/>
                    <a:ln>
                      <a:noFill/>
                    </a:ln>
                  </pic:spPr>
                </pic:pic>
              </a:graphicData>
            </a:graphic>
          </wp:inline>
        </w:drawing>
      </w:r>
    </w:p>
    <w:p w14:paraId="0A2413F3">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cs="Times New Roman"/>
          <w:color w:val="auto"/>
          <w:highlight w:val="none"/>
        </w:rPr>
      </w:pPr>
      <w:r>
        <w:rPr>
          <w:rFonts w:hint="eastAsia" w:ascii="Times New Roman" w:hAnsi="Times New Roman" w:eastAsia="仿宋_GB2312" w:cs="Times New Roman"/>
          <w:color w:val="auto"/>
          <w:kern w:val="2"/>
          <w:sz w:val="32"/>
          <w:szCs w:val="31"/>
          <w:highlight w:val="none"/>
          <w:lang w:val="en-US" w:eastAsia="zh-CN" w:bidi="ar-SA"/>
        </w:rPr>
        <w:t>七、</w:t>
      </w:r>
      <w:r>
        <w:rPr>
          <w:rFonts w:hint="default" w:ascii="Times New Roman" w:hAnsi="Times New Roman" w:cs="Times New Roman"/>
          <w:color w:val="auto"/>
          <w:highlight w:val="none"/>
        </w:rPr>
        <w:t>一般公共预算“三公”经费支出表</w:t>
      </w:r>
    </w:p>
    <w:p w14:paraId="1E550E6A">
      <w:pPr>
        <w:rPr>
          <w:highlight w:val="none"/>
        </w:rPr>
      </w:pPr>
      <w:r>
        <w:rPr>
          <w:highlight w:val="none"/>
        </w:rPr>
        <w:drawing>
          <wp:inline distT="0" distB="0" distL="114300" distR="114300">
            <wp:extent cx="5271135" cy="823595"/>
            <wp:effectExtent l="0" t="0" r="5715" b="14605"/>
            <wp:docPr id="1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8"/>
                    <pic:cNvPicPr>
                      <a:picLocks noChangeAspect="1"/>
                    </pic:cNvPicPr>
                  </pic:nvPicPr>
                  <pic:blipFill>
                    <a:blip r:embed="rId10"/>
                    <a:stretch>
                      <a:fillRect/>
                    </a:stretch>
                  </pic:blipFill>
                  <pic:spPr>
                    <a:xfrm>
                      <a:off x="0" y="0"/>
                      <a:ext cx="5271135" cy="823595"/>
                    </a:xfrm>
                    <a:prstGeom prst="rect">
                      <a:avLst/>
                    </a:prstGeom>
                    <a:noFill/>
                    <a:ln>
                      <a:noFill/>
                    </a:ln>
                  </pic:spPr>
                </pic:pic>
              </a:graphicData>
            </a:graphic>
          </wp:inline>
        </w:drawing>
      </w:r>
    </w:p>
    <w:p w14:paraId="4BE56482">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cs="Times New Roman"/>
          <w:color w:val="auto"/>
          <w:highlight w:val="none"/>
        </w:rPr>
      </w:pPr>
      <w:r>
        <w:rPr>
          <w:rFonts w:hint="eastAsia" w:ascii="Times New Roman" w:hAnsi="Times New Roman" w:eastAsia="仿宋_GB2312" w:cs="Times New Roman"/>
          <w:color w:val="auto"/>
          <w:kern w:val="2"/>
          <w:sz w:val="32"/>
          <w:szCs w:val="31"/>
          <w:highlight w:val="none"/>
          <w:lang w:val="en-US" w:eastAsia="zh-CN" w:bidi="ar-SA"/>
        </w:rPr>
        <w:t>八、</w:t>
      </w:r>
      <w:r>
        <w:rPr>
          <w:rFonts w:hint="default" w:ascii="Times New Roman" w:hAnsi="Times New Roman" w:cs="Times New Roman"/>
          <w:color w:val="auto"/>
          <w:highlight w:val="none"/>
        </w:rPr>
        <w:t>政府性基金预算支出表</w:t>
      </w:r>
    </w:p>
    <w:p w14:paraId="4B2AACAD">
      <w:pPr>
        <w:rPr>
          <w:highlight w:val="none"/>
        </w:rPr>
      </w:pPr>
      <w:r>
        <w:rPr>
          <w:highlight w:val="none"/>
        </w:rPr>
        <w:drawing>
          <wp:inline distT="0" distB="0" distL="114300" distR="114300">
            <wp:extent cx="5267960" cy="927100"/>
            <wp:effectExtent l="0" t="0" r="8890" b="635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1"/>
                    <a:stretch>
                      <a:fillRect/>
                    </a:stretch>
                  </pic:blipFill>
                  <pic:spPr>
                    <a:xfrm>
                      <a:off x="0" y="0"/>
                      <a:ext cx="5267960" cy="927100"/>
                    </a:xfrm>
                    <a:prstGeom prst="rect">
                      <a:avLst/>
                    </a:prstGeom>
                    <a:noFill/>
                    <a:ln>
                      <a:noFill/>
                    </a:ln>
                  </pic:spPr>
                </pic:pic>
              </a:graphicData>
            </a:graphic>
          </wp:inline>
        </w:drawing>
      </w:r>
    </w:p>
    <w:p w14:paraId="78D58A6A">
      <w:pPr>
        <w:ind w:firstLine="640" w:firstLineChars="200"/>
        <w:rPr>
          <w:highlight w:val="none"/>
        </w:rPr>
      </w:pPr>
      <w:r>
        <w:rPr>
          <w:rFonts w:hint="eastAsia" w:cs="Times New Roman"/>
          <w:color w:val="auto"/>
          <w:highlight w:val="none"/>
          <w:lang w:eastAsia="zh-CN"/>
        </w:rPr>
        <w:t>共青团随州市委</w:t>
      </w:r>
      <w:r>
        <w:rPr>
          <w:rFonts w:hint="eastAsia" w:ascii="仿宋_GB2312" w:hAnsi="仿宋" w:cs="宋体"/>
          <w:kern w:val="2"/>
          <w:sz w:val="32"/>
          <w:szCs w:val="32"/>
          <w:highlight w:val="none"/>
          <w:lang w:val="en-US" w:eastAsia="zh-CN" w:bidi="ar-SA"/>
        </w:rPr>
        <w:t>本年度无政府性基金预算支出。</w:t>
      </w:r>
    </w:p>
    <w:p w14:paraId="4871FB84">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cs="Times New Roman"/>
          <w:color w:val="auto"/>
          <w:highlight w:val="none"/>
          <w:lang w:eastAsia="zh-CN"/>
        </w:rPr>
      </w:pPr>
      <w:r>
        <w:rPr>
          <w:rFonts w:hint="eastAsia" w:ascii="Times New Roman" w:hAnsi="Times New Roman" w:eastAsia="仿宋_GB2312" w:cs="Times New Roman"/>
          <w:color w:val="auto"/>
          <w:kern w:val="2"/>
          <w:sz w:val="32"/>
          <w:szCs w:val="31"/>
          <w:highlight w:val="none"/>
          <w:lang w:val="en-US" w:eastAsia="zh-CN" w:bidi="ar-SA"/>
        </w:rPr>
        <w:t>九、</w:t>
      </w:r>
      <w:r>
        <w:rPr>
          <w:rFonts w:hint="default" w:ascii="Times New Roman" w:hAnsi="Times New Roman" w:cs="Times New Roman"/>
          <w:color w:val="auto"/>
          <w:highlight w:val="none"/>
          <w:lang w:eastAsia="zh-CN"/>
        </w:rPr>
        <w:t>项目支出表</w:t>
      </w:r>
    </w:p>
    <w:p w14:paraId="6B1ABD41">
      <w:pPr>
        <w:rPr>
          <w:highlight w:val="none"/>
        </w:rPr>
      </w:pPr>
      <w:r>
        <w:rPr>
          <w:highlight w:val="none"/>
        </w:rPr>
        <w:drawing>
          <wp:inline distT="0" distB="0" distL="114300" distR="114300">
            <wp:extent cx="5273040" cy="1227455"/>
            <wp:effectExtent l="0" t="0" r="3810" b="10795"/>
            <wp:docPr id="1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9"/>
                    <pic:cNvPicPr>
                      <a:picLocks noChangeAspect="1"/>
                    </pic:cNvPicPr>
                  </pic:nvPicPr>
                  <pic:blipFill>
                    <a:blip r:embed="rId12"/>
                    <a:stretch>
                      <a:fillRect/>
                    </a:stretch>
                  </pic:blipFill>
                  <pic:spPr>
                    <a:xfrm>
                      <a:off x="0" y="0"/>
                      <a:ext cx="5273040" cy="1227455"/>
                    </a:xfrm>
                    <a:prstGeom prst="rect">
                      <a:avLst/>
                    </a:prstGeom>
                    <a:noFill/>
                    <a:ln>
                      <a:noFill/>
                    </a:ln>
                  </pic:spPr>
                </pic:pic>
              </a:graphicData>
            </a:graphic>
          </wp:inline>
        </w:drawing>
      </w:r>
    </w:p>
    <w:p w14:paraId="2A8A0E3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40" w:firstLineChars="200"/>
        <w:jc w:val="both"/>
        <w:textAlignment w:val="auto"/>
        <w:rPr>
          <w:rFonts w:hint="default" w:ascii="Times New Roman" w:hAnsi="Times New Roman" w:cs="Times New Roman"/>
          <w:color w:val="auto"/>
          <w:highlight w:val="none"/>
        </w:rPr>
      </w:pPr>
      <w:r>
        <w:rPr>
          <w:rFonts w:hint="eastAsia" w:ascii="Times New Roman" w:hAnsi="Times New Roman" w:eastAsia="仿宋_GB2312" w:cs="Times New Roman"/>
          <w:color w:val="auto"/>
          <w:kern w:val="2"/>
          <w:sz w:val="32"/>
          <w:szCs w:val="31"/>
          <w:highlight w:val="none"/>
          <w:lang w:val="en-US" w:eastAsia="zh-CN" w:bidi="ar-SA"/>
        </w:rPr>
        <w:t>十、</w:t>
      </w:r>
      <w:r>
        <w:rPr>
          <w:rFonts w:hint="default" w:ascii="Times New Roman" w:hAnsi="Times New Roman" w:cs="Times New Roman"/>
          <w:color w:val="auto"/>
          <w:highlight w:val="none"/>
        </w:rPr>
        <w:t>政府采购预算表</w:t>
      </w:r>
    </w:p>
    <w:p w14:paraId="1C9BAB27">
      <w:pPr>
        <w:rPr>
          <w:highlight w:val="none"/>
        </w:rPr>
      </w:pPr>
      <w:r>
        <w:rPr>
          <w:highlight w:val="none"/>
        </w:rPr>
        <w:drawing>
          <wp:inline distT="0" distB="0" distL="114300" distR="114300">
            <wp:extent cx="5266690" cy="603250"/>
            <wp:effectExtent l="0" t="0" r="10160" b="635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3"/>
                    <a:stretch>
                      <a:fillRect/>
                    </a:stretch>
                  </pic:blipFill>
                  <pic:spPr>
                    <a:xfrm>
                      <a:off x="0" y="0"/>
                      <a:ext cx="5266690" cy="603250"/>
                    </a:xfrm>
                    <a:prstGeom prst="rect">
                      <a:avLst/>
                    </a:prstGeom>
                    <a:noFill/>
                    <a:ln>
                      <a:noFill/>
                    </a:ln>
                  </pic:spPr>
                </pic:pic>
              </a:graphicData>
            </a:graphic>
          </wp:inline>
        </w:drawing>
      </w:r>
    </w:p>
    <w:p w14:paraId="6BACF23A">
      <w:pPr>
        <w:ind w:left="0" w:firstLine="640" w:firstLineChars="200"/>
        <w:rPr>
          <w:rFonts w:hint="eastAsia" w:eastAsia="仿宋_GB2312"/>
          <w:highlight w:val="none"/>
          <w:lang w:eastAsia="zh-CN"/>
        </w:rPr>
      </w:pPr>
      <w:r>
        <w:rPr>
          <w:rFonts w:hint="eastAsia" w:cs="Times New Roman"/>
          <w:color w:val="auto"/>
          <w:highlight w:val="none"/>
          <w:lang w:eastAsia="zh-CN"/>
        </w:rPr>
        <w:t>共青团随州市委</w:t>
      </w:r>
      <w:r>
        <w:rPr>
          <w:rFonts w:hint="eastAsia" w:ascii="仿宋_GB2312" w:hAnsi="仿宋" w:cs="宋体"/>
          <w:kern w:val="2"/>
          <w:sz w:val="32"/>
          <w:szCs w:val="32"/>
          <w:highlight w:val="none"/>
          <w:lang w:val="en-US" w:eastAsia="zh-CN" w:bidi="ar-SA"/>
        </w:rPr>
        <w:t>本年度无</w:t>
      </w:r>
      <w:r>
        <w:rPr>
          <w:rFonts w:hint="eastAsia" w:ascii="Times New Roman" w:hAnsi="Times New Roman" w:cs="Times New Roman"/>
          <w:color w:val="auto"/>
          <w:highlight w:val="none"/>
          <w:lang w:eastAsia="zh-CN"/>
        </w:rPr>
        <w:t>政府采购预算安排的支出</w:t>
      </w:r>
      <w:r>
        <w:rPr>
          <w:rFonts w:hint="eastAsia" w:cs="Times New Roman"/>
          <w:color w:val="auto"/>
          <w:highlight w:val="none"/>
          <w:lang w:eastAsia="zh-CN"/>
        </w:rPr>
        <w:t>。</w:t>
      </w:r>
    </w:p>
    <w:p w14:paraId="1D4F5AFE">
      <w:pPr>
        <w:rPr>
          <w:rFonts w:hint="default"/>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大标宋简体">
    <w:altName w:val="微软雅黑"/>
    <w:panose1 w:val="03000509000000000000"/>
    <w:charset w:val="86"/>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D07B7F"/>
    <w:multiLevelType w:val="singleLevel"/>
    <w:tmpl w:val="A1D07B7F"/>
    <w:lvl w:ilvl="0" w:tentative="0">
      <w:start w:val="9"/>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Q0NWViMWFhMzdlN2MwMjUxZDMzOTE0OWUzZjU2NTEifQ=="/>
  </w:docVars>
  <w:rsids>
    <w:rsidRoot w:val="2F470BC0"/>
    <w:rsid w:val="06915006"/>
    <w:rsid w:val="17764E3E"/>
    <w:rsid w:val="18DC5C12"/>
    <w:rsid w:val="210F7D57"/>
    <w:rsid w:val="248E6741"/>
    <w:rsid w:val="268A4901"/>
    <w:rsid w:val="27046215"/>
    <w:rsid w:val="2CEA6B58"/>
    <w:rsid w:val="2F470BC0"/>
    <w:rsid w:val="3159659D"/>
    <w:rsid w:val="37D7646D"/>
    <w:rsid w:val="3DD30252"/>
    <w:rsid w:val="402027E9"/>
    <w:rsid w:val="40AC700A"/>
    <w:rsid w:val="43AC6A00"/>
    <w:rsid w:val="46FF32EA"/>
    <w:rsid w:val="56440D1A"/>
    <w:rsid w:val="597E18B4"/>
    <w:rsid w:val="5B751975"/>
    <w:rsid w:val="5D131446"/>
    <w:rsid w:val="64FB069E"/>
    <w:rsid w:val="684D4723"/>
    <w:rsid w:val="69FC2543"/>
    <w:rsid w:val="6A611A43"/>
    <w:rsid w:val="6DCB14B9"/>
    <w:rsid w:val="74147B26"/>
    <w:rsid w:val="759C6F89"/>
    <w:rsid w:val="7ED06D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仿宋_GB2312" w:cs="Times New Roman"/>
      <w:kern w:val="2"/>
      <w:sz w:val="32"/>
      <w:szCs w:val="31"/>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5">
    <w:name w:val="正文缩进 + 首行缩进:  2 字符"/>
    <w:basedOn w:val="1"/>
    <w:autoRedefine/>
    <w:qFormat/>
    <w:uiPriority w:val="0"/>
    <w:pPr>
      <w:spacing w:line="560" w:lineRule="exact"/>
      <w:ind w:firstLine="640"/>
    </w:pPr>
    <w:rPr>
      <w:rFonts w:cs="宋体"/>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6.emf"/><Relationship Id="rId8" Type="http://schemas.openxmlformats.org/officeDocument/2006/relationships/image" Target="media/image5.emf"/><Relationship Id="rId7" Type="http://schemas.openxmlformats.org/officeDocument/2006/relationships/image" Target="media/image4.emf"/><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10.png"/><Relationship Id="rId12" Type="http://schemas.openxmlformats.org/officeDocument/2006/relationships/image" Target="media/image9.emf"/><Relationship Id="rId11" Type="http://schemas.openxmlformats.org/officeDocument/2006/relationships/image" Target="media/image8.png"/><Relationship Id="rId10" Type="http://schemas.openxmlformats.org/officeDocument/2006/relationships/image" Target="media/image7.emf"/><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4214</Words>
  <Characters>4481</Characters>
  <Lines>0</Lines>
  <Paragraphs>0</Paragraphs>
  <TotalTime>0</TotalTime>
  <ScaleCrop>false</ScaleCrop>
  <LinksUpToDate>false</LinksUpToDate>
  <CharactersWithSpaces>4495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2024-01-27T12:24:00Z</dcterms:created>
  <dc:creator>桃子</dc:creator>
  <cp:lastModifiedBy>dunny</cp:lastModifiedBy>
  <dcterms:modified xsi:type="dcterms:W3CDTF">2025-01-21T03:06:08Z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85F5BD06F9E24E8A9338C63267294B9E_13</vt:lpwstr>
  </property>
  <property fmtid="{D5CDD505-2E9C-101B-9397-08002B2CF9AE}" pid="4" name="KSOTemplateDocerSaveRecord">
    <vt:lpwstr>eyJoZGlkIjoiMmE1ZDNmOTA0MzRlMzhjNDBjZmRlNzliYWM0MzFlODYiLCJ1c2VySWQiOiIzMzI3MDMxMzIifQ==</vt:lpwstr>
  </property>
</Properties>
</file>