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03F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32"/>
          <w:lang w:val="en-US" w:eastAsia="zh-CN"/>
        </w:rPr>
      </w:pPr>
      <w:r>
        <w:rPr>
          <w:rFonts w:hint="eastAsia" w:ascii="方正小标宋简体" w:hAnsi="方正小标宋简体" w:eastAsia="方正小标宋简体" w:cs="方正小标宋简体"/>
          <w:sz w:val="44"/>
          <w:szCs w:val="32"/>
          <w:lang w:val="en-US" w:eastAsia="zh-CN"/>
        </w:rPr>
        <w:t>中共随州市委组织部本级</w:t>
      </w:r>
    </w:p>
    <w:p w14:paraId="738B9F6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32"/>
          <w:lang w:val="en-US" w:eastAsia="zh-CN"/>
        </w:rPr>
      </w:pPr>
      <w:r>
        <w:rPr>
          <w:rFonts w:hint="eastAsia" w:ascii="方正小标宋简体" w:hAnsi="方正小标宋简体" w:eastAsia="方正小标宋简体" w:cs="方正小标宋简体"/>
          <w:sz w:val="44"/>
          <w:szCs w:val="32"/>
          <w:lang w:val="en-US" w:eastAsia="zh-CN"/>
        </w:rPr>
        <w:t>2024年度部门决算</w:t>
      </w:r>
    </w:p>
    <w:p w14:paraId="0196B6B3">
      <w:pPr>
        <w:rPr>
          <w:rFonts w:hint="eastAsia"/>
          <w:lang w:val="en-US" w:eastAsia="zh-CN"/>
        </w:rPr>
      </w:pPr>
    </w:p>
    <w:p w14:paraId="33025296">
      <w:pPr>
        <w:jc w:val="center"/>
        <w:rPr>
          <w:rFonts w:hint="eastAsia"/>
          <w:lang w:val="en-US" w:eastAsia="zh-CN"/>
        </w:rPr>
      </w:pPr>
      <w:r>
        <w:rPr>
          <w:rFonts w:hint="eastAsia" w:ascii="黑体" w:hAnsi="黑体" w:eastAsia="黑体" w:cs="黑体"/>
          <w:lang w:val="en-US" w:eastAsia="zh-CN"/>
        </w:rPr>
        <w:t>目    录</w:t>
      </w:r>
    </w:p>
    <w:p w14:paraId="7ADB6840">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lang w:val="en-US" w:eastAsia="zh-CN"/>
        </w:rPr>
      </w:pPr>
      <w:r>
        <w:rPr>
          <w:rFonts w:hint="eastAsia"/>
          <w:b/>
          <w:bCs/>
          <w:rtl w:val="0"/>
          <w:lang w:val="en-US" w:eastAsia="zh-CN"/>
        </w:rPr>
        <w:t>第一部分</w:t>
      </w:r>
      <w:r>
        <w:rPr>
          <w:rFonts w:hint="eastAsia"/>
          <w:b/>
          <w:bCs/>
          <w:rtl w:val="0"/>
          <w:lang w:val="en-US" w:eastAsia="en-US"/>
        </w:rPr>
        <w:t xml:space="preserve">  </w:t>
      </w:r>
      <w:r>
        <w:rPr>
          <w:rFonts w:hint="eastAsia"/>
          <w:b/>
          <w:bCs/>
          <w:rtl w:val="0"/>
          <w:lang w:val="en-US" w:eastAsia="zh-CN"/>
        </w:rPr>
        <w:t>中共随州市委组织部本级概况</w:t>
      </w:r>
    </w:p>
    <w:p w14:paraId="70BE423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rtl w:val="0"/>
          <w:lang w:val="en-US" w:eastAsia="zh-CN"/>
        </w:rPr>
        <w:t>一、部门主要职责</w:t>
      </w:r>
    </w:p>
    <w:p w14:paraId="4BF941A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rtl w:val="0"/>
          <w:lang w:val="en-US" w:eastAsia="zh-CN"/>
        </w:rPr>
        <w:t>二、机构设置情况</w:t>
      </w:r>
    </w:p>
    <w:p w14:paraId="6F675C91">
      <w:pPr>
        <w:keepNext w:val="0"/>
        <w:keepLines w:val="0"/>
        <w:pageBreakBefore w:val="0"/>
        <w:widowControl w:val="0"/>
        <w:kinsoku/>
        <w:wordWrap/>
        <w:overflowPunct/>
        <w:topLinePunct w:val="0"/>
        <w:autoSpaceDE/>
        <w:autoSpaceDN/>
        <w:bidi w:val="0"/>
        <w:adjustRightInd/>
        <w:snapToGrid/>
        <w:ind w:firstLine="619" w:firstLineChars="200"/>
        <w:textAlignment w:val="auto"/>
        <w:rPr>
          <w:spacing w:val="-6"/>
          <w:sz w:val="32"/>
          <w:lang w:val="en-US" w:eastAsia="zh-CN"/>
        </w:rPr>
      </w:pPr>
      <w:r>
        <w:rPr>
          <w:b/>
          <w:bCs/>
          <w:spacing w:val="-6"/>
          <w:sz w:val="32"/>
          <w:rtl w:val="0"/>
          <w:lang w:val="en-US" w:eastAsia="zh-CN"/>
        </w:rPr>
        <w:t>第二部分</w:t>
      </w:r>
      <w:r>
        <w:rPr>
          <w:b/>
          <w:bCs/>
          <w:spacing w:val="-6"/>
          <w:sz w:val="32"/>
          <w:rtl w:val="0"/>
          <w:lang w:val="en-US" w:eastAsia="en-US"/>
        </w:rPr>
        <w:t> </w:t>
      </w:r>
      <w:r>
        <w:rPr>
          <w:rFonts w:hint="eastAsia"/>
          <w:b/>
          <w:bCs/>
          <w:spacing w:val="-6"/>
          <w:sz w:val="32"/>
          <w:rtl w:val="0"/>
          <w:lang w:val="en-US" w:eastAsia="en-US"/>
        </w:rPr>
        <w:t>中共随州市委组织部本级</w:t>
      </w:r>
      <w:r>
        <w:rPr>
          <w:rFonts w:hint="eastAsia"/>
          <w:b/>
          <w:bCs/>
          <w:spacing w:val="-6"/>
          <w:sz w:val="32"/>
          <w:rtl w:val="0"/>
          <w:lang w:val="en-US" w:eastAsia="zh-CN"/>
        </w:rPr>
        <w:t>2024</w:t>
      </w:r>
      <w:r>
        <w:rPr>
          <w:b/>
          <w:bCs/>
          <w:spacing w:val="-6"/>
          <w:sz w:val="32"/>
          <w:rtl w:val="0"/>
          <w:lang w:val="en-US" w:eastAsia="zh-CN"/>
        </w:rPr>
        <w:t>年度部门决算表</w:t>
      </w:r>
    </w:p>
    <w:p w14:paraId="5EE90E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lang w:val="en-US" w:eastAsia="zh-CN"/>
        </w:rPr>
      </w:pPr>
      <w:r>
        <w:rPr>
          <w:rFonts w:hint="eastAsia"/>
          <w:lang w:val="en-US" w:eastAsia="zh-CN"/>
        </w:rPr>
        <w:t>一、收入支出决算总表</w:t>
      </w:r>
    </w:p>
    <w:p w14:paraId="1307423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二、收入决算表</w:t>
      </w:r>
    </w:p>
    <w:p w14:paraId="1F93B54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三、支出决算表</w:t>
      </w:r>
    </w:p>
    <w:p w14:paraId="47FB46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四、财政拨款收入支出决算总表</w:t>
      </w:r>
    </w:p>
    <w:p w14:paraId="30B60F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五、一般公共预算财政拨款支出决算表</w:t>
      </w:r>
    </w:p>
    <w:p w14:paraId="6A2676D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六、一般公共预算财政拨款基本支出决算明细表</w:t>
      </w:r>
    </w:p>
    <w:p w14:paraId="0A9425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七、政府性基金预算财政拨款收入支出决算表</w:t>
      </w:r>
    </w:p>
    <w:p w14:paraId="6B61D0A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八、国有资本经营预算财政拨款支出决算表</w:t>
      </w:r>
    </w:p>
    <w:p w14:paraId="455F09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九、财政拨款“三公”经费支出决算表</w:t>
      </w:r>
    </w:p>
    <w:p w14:paraId="7E032B27">
      <w:pPr>
        <w:keepNext w:val="0"/>
        <w:keepLines w:val="0"/>
        <w:pageBreakBefore w:val="0"/>
        <w:widowControl w:val="0"/>
        <w:kinsoku/>
        <w:wordWrap/>
        <w:overflowPunct/>
        <w:topLinePunct w:val="0"/>
        <w:autoSpaceDE/>
        <w:autoSpaceDN/>
        <w:bidi w:val="0"/>
        <w:adjustRightInd/>
        <w:snapToGrid/>
        <w:ind w:firstLine="643" w:firstLineChars="200"/>
        <w:textAlignment w:val="auto"/>
        <w:rPr>
          <w:b/>
          <w:bCs/>
          <w:lang w:val="en-US" w:eastAsia="zh-CN"/>
        </w:rPr>
      </w:pPr>
      <w:r>
        <w:rPr>
          <w:b/>
          <w:bCs/>
          <w:rtl w:val="0"/>
          <w:lang w:val="en-US" w:eastAsia="zh-CN"/>
        </w:rPr>
        <w:t>第三部分</w:t>
      </w:r>
      <w:r>
        <w:rPr>
          <w:b/>
          <w:bCs/>
          <w:rtl w:val="0"/>
          <w:lang w:val="en-US" w:eastAsia="en-US"/>
        </w:rPr>
        <w:t xml:space="preserve">  </w:t>
      </w:r>
      <w:r>
        <w:rPr>
          <w:rFonts w:hint="eastAsia"/>
          <w:b/>
          <w:bCs/>
          <w:lang w:val="en-US" w:eastAsia="zh-CN"/>
        </w:rPr>
        <w:t>中共随州市委组织部本级</w:t>
      </w:r>
      <w:r>
        <w:rPr>
          <w:rFonts w:hint="eastAsia"/>
          <w:b/>
          <w:bCs/>
          <w:rtl w:val="0"/>
          <w:lang w:val="en-US" w:eastAsia="zh-CN"/>
        </w:rPr>
        <w:t>2024</w:t>
      </w:r>
      <w:r>
        <w:rPr>
          <w:b/>
          <w:bCs/>
          <w:rtl w:val="0"/>
          <w:lang w:val="en-US" w:eastAsia="zh-CN"/>
        </w:rPr>
        <w:t>年度部门决算情况说明</w:t>
      </w:r>
    </w:p>
    <w:p w14:paraId="6E1CE4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一、收入支出决算总体情况说明</w:t>
      </w:r>
    </w:p>
    <w:p w14:paraId="0551FE3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二、收入决算情况说明</w:t>
      </w:r>
    </w:p>
    <w:p w14:paraId="2E8759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三、支出决算情况说明</w:t>
      </w:r>
    </w:p>
    <w:p w14:paraId="1C3A8E1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四、财政拨款收入支出决算总体情况说明</w:t>
      </w:r>
    </w:p>
    <w:p w14:paraId="43BA7F0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五、一般公共预算财政拨款支出决算情况说明</w:t>
      </w:r>
    </w:p>
    <w:p w14:paraId="0682EE2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六、一般公共预算财政拨款基本支出决算情况说明</w:t>
      </w:r>
    </w:p>
    <w:p w14:paraId="400EAB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 xml:space="preserve">七、政府性基金预算财政拨款收入支出决算情况说明 </w:t>
      </w:r>
    </w:p>
    <w:p w14:paraId="75B89E3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八、国有资本经营预算财政拨款支出决算情况说明</w:t>
      </w:r>
    </w:p>
    <w:p w14:paraId="7B19D3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 xml:space="preserve">九、财政拨款“三公”经费支出决算情况说明 </w:t>
      </w:r>
    </w:p>
    <w:p w14:paraId="368AE9A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十、机关运行经费支出说明</w:t>
      </w:r>
    </w:p>
    <w:p w14:paraId="4DCBE4D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十一、政府采购支出说明</w:t>
      </w:r>
    </w:p>
    <w:p w14:paraId="0B22B9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十二、国有资产占用情况说明</w:t>
      </w:r>
    </w:p>
    <w:p w14:paraId="643D0F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十三、预算绩效情况说明</w:t>
      </w:r>
    </w:p>
    <w:p w14:paraId="79A055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十四、专项支出、转移支付支出情况说明</w:t>
      </w:r>
    </w:p>
    <w:p w14:paraId="3E5BCBB1">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b/>
          <w:bCs/>
          <w:lang w:val="en-US" w:eastAsia="zh-CN"/>
        </w:rPr>
      </w:pPr>
      <w:r>
        <w:rPr>
          <w:b/>
          <w:bCs/>
          <w:rtl w:val="0"/>
          <w:lang w:val="en-US" w:eastAsia="zh-CN"/>
        </w:rPr>
        <w:t>第四部分</w:t>
      </w:r>
      <w:r>
        <w:rPr>
          <w:rFonts w:hint="eastAsia"/>
          <w:b/>
          <w:bCs/>
          <w:rtl w:val="0"/>
          <w:lang w:val="en-US" w:eastAsia="zh-CN"/>
        </w:rPr>
        <w:t xml:space="preserve">  </w:t>
      </w:r>
      <w:r>
        <w:rPr>
          <w:rFonts w:hint="eastAsia"/>
          <w:b/>
          <w:bCs/>
          <w:lang w:val="en-US" w:eastAsia="zh-CN"/>
        </w:rPr>
        <w:t>其他需要说明的情况</w:t>
      </w:r>
    </w:p>
    <w:p w14:paraId="22897FEE">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b/>
          <w:bCs/>
          <w:lang w:val="en-US" w:eastAsia="zh-CN"/>
        </w:rPr>
      </w:pPr>
      <w:r>
        <w:rPr>
          <w:rFonts w:hint="eastAsia"/>
          <w:b/>
          <w:bCs/>
          <w:lang w:val="en-US" w:eastAsia="zh-CN"/>
        </w:rPr>
        <w:t xml:space="preserve">第五部分  </w:t>
      </w:r>
      <w:r>
        <w:rPr>
          <w:b/>
          <w:bCs/>
          <w:rtl w:val="0"/>
          <w:lang w:val="en-US" w:eastAsia="zh-CN"/>
        </w:rPr>
        <w:t>名词解释</w:t>
      </w:r>
    </w:p>
    <w:p w14:paraId="01DED497">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b/>
          <w:bCs/>
          <w:rtl w:val="0"/>
          <w:lang w:val="en-US" w:eastAsia="zh-CN"/>
        </w:rPr>
      </w:pPr>
      <w:r>
        <w:rPr>
          <w:b/>
          <w:bCs/>
          <w:rtl w:val="0"/>
          <w:lang w:val="en-US" w:eastAsia="zh-CN"/>
        </w:rPr>
        <w:t>第</w:t>
      </w:r>
      <w:r>
        <w:rPr>
          <w:rFonts w:hint="eastAsia"/>
          <w:b/>
          <w:bCs/>
          <w:rtl w:val="0"/>
          <w:lang w:val="en-US" w:eastAsia="zh-CN"/>
        </w:rPr>
        <w:t>六</w:t>
      </w:r>
      <w:r>
        <w:rPr>
          <w:b/>
          <w:bCs/>
          <w:rtl w:val="0"/>
          <w:lang w:val="en-US" w:eastAsia="zh-CN"/>
        </w:rPr>
        <w:t>部分</w:t>
      </w:r>
      <w:r>
        <w:rPr>
          <w:rFonts w:hint="eastAsia"/>
          <w:b/>
          <w:bCs/>
          <w:rtl w:val="0"/>
          <w:lang w:val="en-US" w:eastAsia="zh-CN"/>
        </w:rPr>
        <w:t xml:space="preserve">  附件</w:t>
      </w:r>
    </w:p>
    <w:p w14:paraId="27F38F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rtl w:val="0"/>
          <w:lang w:val="en-US" w:eastAsia="zh-CN"/>
        </w:rPr>
      </w:pPr>
    </w:p>
    <w:p w14:paraId="752B4D94">
      <w:pPr>
        <w:rPr>
          <w:rFonts w:hint="eastAsia"/>
          <w:lang w:val="en-US" w:eastAsia="zh-CN"/>
        </w:rPr>
      </w:pPr>
      <w:r>
        <w:rPr>
          <w:rFonts w:hint="eastAsia"/>
          <w:lang w:val="en-US" w:eastAsia="zh-CN"/>
        </w:rPr>
        <w:br w:type="page"/>
      </w:r>
    </w:p>
    <w:p w14:paraId="37E398A9">
      <w:pPr>
        <w:jc w:val="center"/>
        <w:rPr>
          <w:rFonts w:hint="eastAsia" w:ascii="黑体" w:hAnsi="黑体" w:eastAsia="黑体" w:cs="黑体"/>
          <w:lang w:val="en-US" w:eastAsia="zh-CN"/>
        </w:rPr>
      </w:pPr>
      <w:r>
        <w:rPr>
          <w:rFonts w:hint="eastAsia" w:ascii="黑体" w:hAnsi="黑体" w:eastAsia="黑体" w:cs="黑体"/>
          <w:lang w:val="en-US" w:eastAsia="zh-CN"/>
        </w:rPr>
        <w:t>第一部分  中共随州市委组织部本级概况</w:t>
      </w:r>
    </w:p>
    <w:p w14:paraId="1CE42B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一、部门主要职责</w:t>
      </w:r>
    </w:p>
    <w:p w14:paraId="7E5DD50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根据《随州市机构改革方案》和《中共随州市委、随州市人民政府关于随州市市级机构改革的实施意见》，将市公务员局并入市委组织部，市委组织部统一管理公务员工作。调整后，市委组织部在公务员管理方面主要职责包括:统一管理全市公务员录用调配、考核奖惩、培训和工资福利等事务，研究拟订全市公务员管理政策规定并组织实施，指导全市公务员队伍建设和绩效管理，负责全市公务员管理交流合作等。另外，按照各内设机构职能，还承担以下职责:</w:t>
      </w:r>
    </w:p>
    <w:p w14:paraId="7F8266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一)负责贯彻落实中央和中组部、省委和省委组织部以及市委关于党的基层组织建设的重大部署和具体任务。研究指导农村、城市党建工作，重点抓好乡镇(街道)、村(社区)党组织领导班子建设。研究指导全市非公有制经济组织和社会组织党的基层组织建设工作。组织协调有关方面共同抓好园区、楼宇、商圈、互联网企业等新兴领域和律师、会计师、税务师、民办学校、民办医院等重点行业党的基层组织建设工作。指导全市基层党组织换届选举工作。负责抓党建促中央、省委部署的重大政治任务和市委部署的中心工作的推进落实。组织协调有关方面力量共同抓好基层党建工作。协调机关、国有企业、高校等领域党建工作。完成上级组织部门下达的有关调研课题。总结推广基层组织建设的典型和经验。</w:t>
      </w:r>
    </w:p>
    <w:p w14:paraId="2896AB7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二)承办党组织设置调整工作。组织开展党内集中教育等重大活动。研究指导党员队伍建设，承担党员的发展和管理工作，指导协调党员教育工作。负责党内统计、党员组织关系转接和党费收缴工作。承担市委常委民主生活会的相关工作。指导全市开展民主生活会和支部组织生活会。承担同级党代表大会会前、会中、会后的相关工作。承办党内表彰活动。完成上级组织部门下达的有关调研课题。总结推广党的建设的典型和经验。</w:t>
      </w:r>
    </w:p>
    <w:p w14:paraId="53AABA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(三)研究制定全市党建宏观方面重要文件。完成市委党建领导小组交办的各项任务，协调党委工作部门及其他相关部门抓好“大党建”。</w:t>
      </w:r>
    </w:p>
    <w:p w14:paraId="5716D92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四)负责指导全市公务员队伍建设。组织实施公务员法，拟订全市公务员职位分类、职务与职级并行、聘任制公务员管理等综合性政策规定并组织实施。督查公务员法律、政策法规贯彻执行情况。负责全市公务员登记管理工作，指导人民团体、群众团体机关和事业单位参照公务员法管理工作。负责公务员辞职、辞退、提前退休等工作的宏观管理，会同部内有关科室(中心)负责全市公务员管理信息系统建设。承担以市公务员局名义开展的行政复议和行政应诉有关工作。</w:t>
      </w:r>
    </w:p>
    <w:p w14:paraId="391941D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五)负责拟订全市公务员录用政策规定，组织指导公务员录用工作，建立公务员考试质量标准和评价体系。负责全市公务员公开遴选、公开选调、培训和公务员调任等工作的政策研究和宏观指导，负责市直机关上述工作的组织实施。负责拟订公务员培训、能力建设和公务员行为规范、职业道德建设政策规定并组织实施。负责公务员和参照公务员法管理人员档案管理工作。</w:t>
      </w:r>
    </w:p>
    <w:p w14:paraId="5764195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六)负责公务员考核评价工作政策研究和宏观指导，组织开展考核评价方法、指标等调查研究。指导全市公务员绩效管理。拟订全市公务员奖励、惩戒、申诉等政策规定并组织实施。统筹全市机关和事业单位工资福利政策，拟订公务员工资福利政策和工资增长规划、措施并组织实施。负责市直机关公务员工资统发和市委管理干部工资调整的审核工作，负责我市省委管理干部工资调整的呈报工作。</w:t>
      </w:r>
    </w:p>
    <w:p w14:paraId="64DB842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七)会同部内有关科室研究拟订全市领导班子和领导干部队伍建设规划，拟订加强新时代全市优秀年轻干部队伍建设有关政策规定，并组织实施。综合管理市委组织部掌握的优秀年轻干部队伍，统筹做好育选管用工作，提出市委管理领导班子在年轻干部配备方面的有关建议。</w:t>
      </w:r>
    </w:p>
    <w:p w14:paraId="3864FEE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(八)完成上级交办的其他事项。</w:t>
      </w:r>
    </w:p>
    <w:p w14:paraId="05420A6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二、机构设置情况</w:t>
      </w:r>
    </w:p>
    <w:p w14:paraId="593024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从单位构成看，中共随州市委组织部本级部门决算由实行独立核算的中共随州市委组织部本级本级决算和0个下属单位决算组成。</w:t>
      </w:r>
    </w:p>
    <w:p w14:paraId="626DB7B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纳入中共随州市委组织部本级2024年度部门决算编制范围的二级预算单位包括：</w:t>
      </w:r>
    </w:p>
    <w:p w14:paraId="5F6750E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default" w:ascii="仿宋_GB2312" w:hAnsi="仿宋_GB2312" w:cs="仿宋_GB2312"/>
          <w:sz w:val="32"/>
          <w:szCs w:val="32"/>
          <w:lang w:val="en-US" w:eastAsia="zh-CN"/>
        </w:rPr>
      </w:pPr>
      <w:r>
        <w:rPr>
          <w:rFonts w:hint="eastAsia" w:ascii="仿宋_GB2312" w:hAnsi="仿宋_GB2312" w:cs="仿宋_GB2312"/>
          <w:sz w:val="32"/>
          <w:szCs w:val="32"/>
          <w:u w:val="none"/>
          <w:lang w:val="en-US" w:eastAsia="zh-CN"/>
        </w:rPr>
        <w:t>1.中共随州市委组织部本级</w:t>
      </w:r>
      <w:r>
        <w:rPr>
          <w:rFonts w:hint="eastAsia" w:ascii="仿宋_GB2312" w:hAnsi="仿宋_GB2312" w:eastAsia="仿宋_GB2312" w:cs="仿宋_GB2312"/>
          <w:sz w:val="32"/>
          <w:szCs w:val="32"/>
          <w:lang w:val="en-US" w:eastAsia="zh-CN"/>
        </w:rPr>
        <w:t>（本级）</w:t>
      </w:r>
    </w:p>
    <w:p w14:paraId="331AE9FB">
      <w:pPr>
        <w:jc w:val="center"/>
        <w:rPr>
          <w:rFonts w:hint="eastAsia" w:ascii="黑体" w:hAnsi="黑体" w:eastAsia="黑体" w:cs="黑体"/>
          <w:lang w:val="en-US" w:eastAsia="zh-CN"/>
        </w:rPr>
      </w:pPr>
    </w:p>
    <w:p w14:paraId="221287FA">
      <w:pPr>
        <w:jc w:val="center"/>
        <w:rPr>
          <w:rFonts w:hint="eastAsia" w:ascii="黑体" w:hAnsi="黑体" w:eastAsia="黑体" w:cs="黑体"/>
          <w:lang w:val="en-US" w:eastAsia="zh-CN"/>
        </w:rPr>
      </w:pPr>
      <w:r>
        <w:rPr>
          <w:rFonts w:hint="eastAsia" w:ascii="黑体" w:hAnsi="黑体" w:eastAsia="黑体" w:cs="黑体"/>
          <w:lang w:val="en-US" w:eastAsia="zh-CN"/>
        </w:rPr>
        <w:t>第二部分  2024年度部门决算表</w:t>
      </w:r>
    </w:p>
    <w:p w14:paraId="54B88EA1">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 xml:space="preserve">一、收入支出决算总表  </w:t>
      </w:r>
    </w:p>
    <w:p w14:paraId="0B105842">
      <w:pPr>
        <w:adjustRightInd w:val="0"/>
        <w:snapToGrid w:val="0"/>
        <w:spacing w:line="580" w:lineRule="atLeast"/>
        <w:ind w:right="-781" w:rightChars="-244"/>
        <w:jc w:val="both"/>
        <w:rPr>
          <w:rFonts w:hint="default" w:ascii="黑体" w:hAnsi="黑体" w:eastAsia="黑体" w:cs="黑体"/>
          <w:bCs/>
          <w:sz w:val="32"/>
          <w:szCs w:val="32"/>
          <w:highlight w:val="none"/>
          <w:lang w:val="en-US" w:eastAsia="zh-CN"/>
        </w:rPr>
      </w:pPr>
      <w:r>
        <w:drawing>
          <wp:inline distT="0" distB="0" distL="114300" distR="114300">
            <wp:extent cx="5495925" cy="5738495"/>
            <wp:effectExtent l="0" t="0" r="9525" b="14605"/>
            <wp:docPr id="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pic:cNvPicPr>
                      <a:picLocks noChangeAspect="1"/>
                    </pic:cNvPicPr>
                  </pic:nvPicPr>
                  <pic:blipFill>
                    <a:blip r:embed="rId5"/>
                    <a:stretch>
                      <a:fillRect/>
                    </a:stretch>
                  </pic:blipFill>
                  <pic:spPr>
                    <a:xfrm>
                      <a:off x="0" y="0"/>
                      <a:ext cx="5495925" cy="5738495"/>
                    </a:xfrm>
                    <a:prstGeom prst="rect">
                      <a:avLst/>
                    </a:prstGeom>
                    <a:noFill/>
                    <a:ln>
                      <a:noFill/>
                    </a:ln>
                  </pic:spPr>
                </pic:pic>
              </a:graphicData>
            </a:graphic>
          </wp:inline>
        </w:drawing>
      </w:r>
    </w:p>
    <w:p w14:paraId="5267BD5F">
      <w:pPr>
        <w:snapToGrid w:val="0"/>
        <w:spacing w:before="0" w:after="0" w:line="0" w:lineRule="auto"/>
        <w:jc w:val="both"/>
        <w:rPr>
          <w:lang w:val="en-US" w:eastAsia="zh-CN"/>
        </w:rPr>
      </w:pPr>
      <w:r>
        <w:rPr>
          <w:sz w:val="8"/>
          <w:lang w:val="en-US" w:eastAsia="zh-CN"/>
        </w:rPr>
        <w:t xml:space="preserve"> </w:t>
      </w:r>
    </w:p>
    <w:p w14:paraId="4D1E16DB">
      <w:pPr>
        <w:numPr>
          <w:ilvl w:val="0"/>
          <w:numId w:val="1"/>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收入决算表</w:t>
      </w:r>
    </w:p>
    <w:p w14:paraId="7DC26221">
      <w:pPr>
        <w:numPr>
          <w:ilvl w:val="0"/>
          <w:numId w:val="0"/>
        </w:numPr>
        <w:adjustRightInd w:val="0"/>
        <w:snapToGrid w:val="0"/>
        <w:spacing w:line="580" w:lineRule="atLeast"/>
        <w:jc w:val="both"/>
        <w:rPr>
          <w:rFonts w:hint="eastAsia" w:ascii="黑体" w:hAnsi="黑体" w:eastAsia="黑体" w:cs="黑体"/>
          <w:bCs/>
          <w:sz w:val="32"/>
          <w:szCs w:val="32"/>
          <w:highlight w:val="none"/>
          <w:lang w:val="en-US" w:eastAsia="zh-CN"/>
        </w:rPr>
      </w:pPr>
      <w:r>
        <w:drawing>
          <wp:inline distT="0" distB="0" distL="114300" distR="114300">
            <wp:extent cx="5400675" cy="3711575"/>
            <wp:effectExtent l="0" t="0" r="9525" b="3175"/>
            <wp:docPr id="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3"/>
                    <pic:cNvPicPr>
                      <a:picLocks noChangeAspect="1"/>
                    </pic:cNvPicPr>
                  </pic:nvPicPr>
                  <pic:blipFill>
                    <a:blip r:embed="rId6"/>
                    <a:stretch>
                      <a:fillRect/>
                    </a:stretch>
                  </pic:blipFill>
                  <pic:spPr>
                    <a:xfrm>
                      <a:off x="0" y="0"/>
                      <a:ext cx="5400675" cy="3711575"/>
                    </a:xfrm>
                    <a:prstGeom prst="rect">
                      <a:avLst/>
                    </a:prstGeom>
                    <a:noFill/>
                    <a:ln>
                      <a:noFill/>
                    </a:ln>
                  </pic:spPr>
                </pic:pic>
              </a:graphicData>
            </a:graphic>
          </wp:inline>
        </w:drawing>
      </w:r>
    </w:p>
    <w:p w14:paraId="66A14CD5">
      <w:pPr>
        <w:snapToGrid w:val="0"/>
        <w:spacing w:before="0" w:after="0" w:line="0" w:lineRule="auto"/>
        <w:jc w:val="both"/>
        <w:rPr>
          <w:lang w:val="en-US" w:eastAsia="zh-CN"/>
        </w:rPr>
      </w:pPr>
      <w:r>
        <w:rPr>
          <w:sz w:val="8"/>
          <w:lang w:val="en-US" w:eastAsia="zh-CN"/>
        </w:rPr>
        <w:t xml:space="preserve"> </w:t>
      </w:r>
    </w:p>
    <w:p w14:paraId="7160FC4A">
      <w:pPr>
        <w:numPr>
          <w:ilvl w:val="0"/>
          <w:numId w:val="1"/>
        </w:numPr>
        <w:adjustRightInd w:val="0"/>
        <w:snapToGrid w:val="0"/>
        <w:spacing w:line="580" w:lineRule="atLeast"/>
        <w:ind w:left="0" w:leftChars="0" w:right="-781" w:rightChars="-244" w:firstLine="640" w:firstLineChars="200"/>
        <w:jc w:val="left"/>
        <w:rPr>
          <w:rFonts w:hint="eastAsia" w:ascii="黑体" w:hAnsi="黑体" w:eastAsia="黑体" w:cs="黑体"/>
          <w:bCs/>
          <w:szCs w:val="32"/>
          <w:lang w:val="en-US" w:eastAsia="zh-CN"/>
        </w:rPr>
      </w:pPr>
      <w:r>
        <w:rPr>
          <w:rFonts w:hint="eastAsia" w:ascii="黑体" w:hAnsi="黑体" w:eastAsia="黑体" w:cs="黑体"/>
          <w:bCs/>
          <w:sz w:val="32"/>
          <w:szCs w:val="32"/>
          <w:highlight w:val="none"/>
          <w:lang w:val="en-US" w:eastAsia="zh-CN"/>
        </w:rPr>
        <w:t xml:space="preserve">支出决算表 </w:t>
      </w:r>
      <w:r>
        <w:rPr>
          <w:rFonts w:hint="eastAsia" w:ascii="黑体" w:hAnsi="黑体" w:eastAsia="黑体" w:cs="黑体"/>
          <w:bCs/>
          <w:sz w:val="32"/>
          <w:szCs w:val="32"/>
          <w:highlight w:val="none"/>
          <w:lang w:val="en-US" w:eastAsia="zh-CN"/>
        </w:rPr>
        <w:br w:type="textWrapping"/>
      </w:r>
      <w:r>
        <w:rPr>
          <w:rFonts w:hint="eastAsia" w:ascii="黑体" w:hAnsi="黑体" w:eastAsia="黑体" w:cs="黑体"/>
          <w:bCs/>
          <w:sz w:val="32"/>
          <w:szCs w:val="32"/>
          <w:highlight w:val="none"/>
          <w:lang w:val="en-US" w:eastAsia="zh-CN"/>
        </w:rPr>
        <w:t xml:space="preserve"> </w:t>
      </w:r>
      <w:r>
        <w:drawing>
          <wp:inline distT="0" distB="0" distL="114300" distR="114300">
            <wp:extent cx="5377180" cy="3835400"/>
            <wp:effectExtent l="0" t="0" r="13970" b="12700"/>
            <wp:docPr id="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4"/>
                    <pic:cNvPicPr>
                      <a:picLocks noChangeAspect="1"/>
                    </pic:cNvPicPr>
                  </pic:nvPicPr>
                  <pic:blipFill>
                    <a:blip r:embed="rId7">
                      <a:lum bright="-6000"/>
                    </a:blip>
                    <a:stretch>
                      <a:fillRect/>
                    </a:stretch>
                  </pic:blipFill>
                  <pic:spPr>
                    <a:xfrm>
                      <a:off x="0" y="0"/>
                      <a:ext cx="5377180" cy="3835400"/>
                    </a:xfrm>
                    <a:prstGeom prst="rect">
                      <a:avLst/>
                    </a:prstGeom>
                    <a:noFill/>
                    <a:ln>
                      <a:noFill/>
                    </a:ln>
                  </pic:spPr>
                </pic:pic>
              </a:graphicData>
            </a:graphic>
          </wp:inline>
        </w:drawing>
      </w:r>
      <w:r>
        <w:rPr>
          <w:rFonts w:hint="eastAsia" w:ascii="黑体" w:hAnsi="黑体" w:eastAsia="黑体" w:cs="黑体"/>
          <w:bCs/>
          <w:sz w:val="32"/>
          <w:szCs w:val="32"/>
          <w:highlight w:val="none"/>
          <w:lang w:val="en-US" w:eastAsia="zh-CN"/>
        </w:rPr>
        <w:t xml:space="preserve">                                 </w:t>
      </w:r>
    </w:p>
    <w:p w14:paraId="4ED3B838">
      <w:pPr>
        <w:snapToGrid w:val="0"/>
        <w:spacing w:before="0" w:after="0" w:line="0" w:lineRule="auto"/>
        <w:jc w:val="both"/>
        <w:rPr>
          <w:lang w:val="en-US" w:eastAsia="zh-CN"/>
        </w:rPr>
      </w:pPr>
      <w:r>
        <w:rPr>
          <w:sz w:val="8"/>
          <w:lang w:val="en-US" w:eastAsia="zh-CN"/>
        </w:rPr>
        <w:t xml:space="preserve"> </w:t>
      </w:r>
    </w:p>
    <w:p w14:paraId="46EE45E6">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财政拨款收入支出决算总表</w:t>
      </w:r>
      <w:r>
        <w:rPr>
          <w:rFonts w:hint="eastAsia" w:ascii="黑体" w:hAnsi="黑体" w:eastAsia="黑体" w:cs="黑体"/>
          <w:bCs/>
          <w:sz w:val="32"/>
          <w:szCs w:val="32"/>
          <w:highlight w:val="none"/>
          <w:lang w:val="en-US" w:eastAsia="zh-CN"/>
        </w:rPr>
        <w:br w:type="textWrapping"/>
      </w:r>
      <w:r>
        <w:drawing>
          <wp:inline distT="0" distB="0" distL="114300" distR="114300">
            <wp:extent cx="5266055" cy="4558665"/>
            <wp:effectExtent l="0" t="0" r="10795" b="13335"/>
            <wp:docPr id="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5"/>
                    <pic:cNvPicPr>
                      <a:picLocks noChangeAspect="1"/>
                    </pic:cNvPicPr>
                  </pic:nvPicPr>
                  <pic:blipFill>
                    <a:blip r:embed="rId8"/>
                    <a:stretch>
                      <a:fillRect/>
                    </a:stretch>
                  </pic:blipFill>
                  <pic:spPr>
                    <a:xfrm>
                      <a:off x="0" y="0"/>
                      <a:ext cx="5266055" cy="4558665"/>
                    </a:xfrm>
                    <a:prstGeom prst="rect">
                      <a:avLst/>
                    </a:prstGeom>
                    <a:noFill/>
                    <a:ln>
                      <a:noFill/>
                    </a:ln>
                  </pic:spPr>
                </pic:pic>
              </a:graphicData>
            </a:graphic>
          </wp:inline>
        </w:drawing>
      </w:r>
    </w:p>
    <w:p w14:paraId="06A619E8">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一般公共预算财政拨款支出决算表</w:t>
      </w:r>
      <w:r>
        <w:rPr>
          <w:rFonts w:hint="eastAsia" w:ascii="黑体" w:hAnsi="黑体" w:eastAsia="黑体" w:cs="黑体"/>
          <w:bCs/>
          <w:sz w:val="32"/>
          <w:szCs w:val="32"/>
          <w:highlight w:val="none"/>
          <w:lang w:val="en-US" w:eastAsia="zh-CN"/>
        </w:rPr>
        <w:br w:type="textWrapping"/>
      </w:r>
      <w:r>
        <w:drawing>
          <wp:inline distT="0" distB="0" distL="114300" distR="114300">
            <wp:extent cx="5268595" cy="3738245"/>
            <wp:effectExtent l="0" t="0" r="8255" b="14605"/>
            <wp:docPr id="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6"/>
                    <pic:cNvPicPr>
                      <a:picLocks noChangeAspect="1"/>
                    </pic:cNvPicPr>
                  </pic:nvPicPr>
                  <pic:blipFill>
                    <a:blip r:embed="rId9"/>
                    <a:stretch>
                      <a:fillRect/>
                    </a:stretch>
                  </pic:blipFill>
                  <pic:spPr>
                    <a:xfrm>
                      <a:off x="0" y="0"/>
                      <a:ext cx="5268595" cy="3738245"/>
                    </a:xfrm>
                    <a:prstGeom prst="rect">
                      <a:avLst/>
                    </a:prstGeom>
                    <a:noFill/>
                    <a:ln>
                      <a:noFill/>
                    </a:ln>
                  </pic:spPr>
                </pic:pic>
              </a:graphicData>
            </a:graphic>
          </wp:inline>
        </w:drawing>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306"/>
      </w:tblGrid>
      <w:tr w14:paraId="3C9270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0" w:hRule="exact"/>
          <w:jc w:val="center"/>
        </w:trPr>
        <w:tc>
          <w:tcPr>
            <w:tcW w:w="8306" w:type="dxa"/>
            <w:tcBorders>
              <w:left w:val="single" w:color="FFFFFF" w:sz="4" w:space="0"/>
              <w:bottom w:val="single" w:color="FFFFFF" w:sz="4" w:space="0"/>
              <w:right w:val="single" w:color="FFFFFF" w:sz="4" w:space="0"/>
              <w:tl2br w:val="nil"/>
              <w:tr2bl w:val="nil"/>
            </w:tcBorders>
            <w:noWrap w:val="0"/>
            <w:vAlign w:val="center"/>
          </w:tcPr>
          <w:p w14:paraId="20F29293">
            <w:pPr>
              <w:jc w:val="left"/>
              <w:rPr>
                <w:lang w:val="en-US" w:eastAsia="zh-CN"/>
              </w:rPr>
            </w:pPr>
          </w:p>
        </w:tc>
      </w:tr>
    </w:tbl>
    <w:p w14:paraId="22D5F503">
      <w:pPr>
        <w:snapToGrid w:val="0"/>
        <w:spacing w:before="0" w:after="0" w:line="0" w:lineRule="auto"/>
        <w:jc w:val="both"/>
        <w:rPr>
          <w:lang w:val="en-US" w:eastAsia="zh-CN"/>
        </w:rPr>
      </w:pPr>
      <w:r>
        <w:rPr>
          <w:sz w:val="8"/>
          <w:lang w:val="en-US" w:eastAsia="zh-CN"/>
        </w:rPr>
        <w:t xml:space="preserve"> </w:t>
      </w:r>
    </w:p>
    <w:p w14:paraId="7DFF6731">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一般公共预算财政拨款基本支出决算明细表</w:t>
      </w:r>
      <w:r>
        <w:rPr>
          <w:rFonts w:hint="eastAsia" w:ascii="黑体" w:hAnsi="黑体" w:eastAsia="黑体" w:cs="黑体"/>
          <w:bCs/>
          <w:sz w:val="32"/>
          <w:szCs w:val="32"/>
          <w:highlight w:val="none"/>
          <w:lang w:val="en-US" w:eastAsia="zh-CN"/>
        </w:rPr>
        <w:br w:type="textWrapping"/>
      </w:r>
      <w:r>
        <w:drawing>
          <wp:inline distT="0" distB="0" distL="114300" distR="114300">
            <wp:extent cx="5415915" cy="4470400"/>
            <wp:effectExtent l="0" t="0" r="13335" b="6350"/>
            <wp:docPr id="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8"/>
                    <pic:cNvPicPr>
                      <a:picLocks noChangeAspect="1"/>
                    </pic:cNvPicPr>
                  </pic:nvPicPr>
                  <pic:blipFill>
                    <a:blip r:embed="rId10"/>
                    <a:stretch>
                      <a:fillRect/>
                    </a:stretch>
                  </pic:blipFill>
                  <pic:spPr>
                    <a:xfrm>
                      <a:off x="0" y="0"/>
                      <a:ext cx="5415915" cy="4470400"/>
                    </a:xfrm>
                    <a:prstGeom prst="rect">
                      <a:avLst/>
                    </a:prstGeom>
                    <a:noFill/>
                    <a:ln>
                      <a:noFill/>
                    </a:ln>
                  </pic:spPr>
                </pic:pic>
              </a:graphicData>
            </a:graphic>
          </wp:inline>
        </w:drawing>
      </w:r>
    </w:p>
    <w:p w14:paraId="1280A410">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政府性基金预算财政拨款收入支出决算表</w:t>
      </w:r>
      <w:r>
        <w:rPr>
          <w:rFonts w:hint="eastAsia" w:ascii="黑体" w:hAnsi="黑体" w:eastAsia="黑体" w:cs="黑体"/>
          <w:bCs/>
          <w:sz w:val="32"/>
          <w:szCs w:val="32"/>
          <w:highlight w:val="none"/>
          <w:lang w:val="en-US" w:eastAsia="zh-CN"/>
        </w:rPr>
        <w:br w:type="textWrapping"/>
      </w:r>
      <w:r>
        <w:drawing>
          <wp:inline distT="0" distB="0" distL="114300" distR="114300">
            <wp:extent cx="5358130" cy="2015490"/>
            <wp:effectExtent l="0" t="0" r="13970" b="3810"/>
            <wp:docPr id="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9"/>
                    <pic:cNvPicPr>
                      <a:picLocks noChangeAspect="1"/>
                    </pic:cNvPicPr>
                  </pic:nvPicPr>
                  <pic:blipFill>
                    <a:blip r:embed="rId11"/>
                    <a:stretch>
                      <a:fillRect/>
                    </a:stretch>
                  </pic:blipFill>
                  <pic:spPr>
                    <a:xfrm>
                      <a:off x="0" y="0"/>
                      <a:ext cx="5358130" cy="2015490"/>
                    </a:xfrm>
                    <a:prstGeom prst="rect">
                      <a:avLst/>
                    </a:prstGeom>
                    <a:noFill/>
                    <a:ln>
                      <a:noFill/>
                    </a:ln>
                  </pic:spPr>
                </pic:pic>
              </a:graphicData>
            </a:graphic>
          </wp:inline>
        </w:drawing>
      </w:r>
      <w:r>
        <w:rPr>
          <w:rFonts w:hint="eastAsia"/>
        </w:rPr>
        <w:t>本单位本年度无政府性基金预算财政拨款收入支出</w:t>
      </w:r>
    </w:p>
    <w:p w14:paraId="0241DA33">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国有资本经营预算财政拨款支出决算表</w:t>
      </w:r>
      <w:r>
        <w:rPr>
          <w:rFonts w:hint="eastAsia" w:ascii="黑体" w:hAnsi="黑体" w:eastAsia="黑体" w:cs="黑体"/>
          <w:bCs/>
          <w:sz w:val="32"/>
          <w:szCs w:val="32"/>
          <w:highlight w:val="none"/>
          <w:lang w:val="en-US" w:eastAsia="zh-CN"/>
        </w:rPr>
        <w:br w:type="textWrapping"/>
      </w:r>
      <w:r>
        <w:drawing>
          <wp:inline distT="0" distB="0" distL="114300" distR="114300">
            <wp:extent cx="5451475" cy="2380615"/>
            <wp:effectExtent l="0" t="0" r="15875" b="635"/>
            <wp:docPr id="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2"/>
                    <pic:cNvPicPr>
                      <a:picLocks noChangeAspect="1"/>
                    </pic:cNvPicPr>
                  </pic:nvPicPr>
                  <pic:blipFill>
                    <a:blip r:embed="rId12"/>
                    <a:stretch>
                      <a:fillRect/>
                    </a:stretch>
                  </pic:blipFill>
                  <pic:spPr>
                    <a:xfrm>
                      <a:off x="0" y="0"/>
                      <a:ext cx="5451475" cy="2380615"/>
                    </a:xfrm>
                    <a:prstGeom prst="rect">
                      <a:avLst/>
                    </a:prstGeom>
                    <a:noFill/>
                    <a:ln>
                      <a:noFill/>
                    </a:ln>
                  </pic:spPr>
                </pic:pic>
              </a:graphicData>
            </a:graphic>
          </wp:inline>
        </w:drawing>
      </w:r>
    </w:p>
    <w:tbl>
      <w:tblPr>
        <w:tblStyle w:val="5"/>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8306"/>
      </w:tblGrid>
      <w:tr w14:paraId="291CFF9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8306" w:type="dxa"/>
            <w:noWrap w:val="0"/>
            <w:vAlign w:val="top"/>
          </w:tcPr>
          <w:p w14:paraId="741AE456">
            <w:pPr>
              <w:jc w:val="left"/>
              <w:rPr>
                <w:lang w:val="en-US" w:eastAsia="zh-CN"/>
              </w:rPr>
            </w:pPr>
            <w:r>
              <w:rPr>
                <w:rFonts w:hint="eastAsia"/>
              </w:rPr>
              <w:t>本单位本年度无政府性基金预算财政拨款收入支出</w:t>
            </w:r>
          </w:p>
        </w:tc>
      </w:tr>
      <w:tr w14:paraId="434F0D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5" w:hRule="exact"/>
          <w:jc w:val="center"/>
        </w:trPr>
        <w:tc>
          <w:tcPr>
            <w:tcW w:w="8306" w:type="dxa"/>
            <w:tcBorders>
              <w:top w:val="single" w:color="FFFFFF" w:sz="4" w:space="0"/>
              <w:left w:val="single" w:color="FFFFFF" w:sz="4" w:space="0"/>
              <w:bottom w:val="single" w:color="FFFFFF" w:sz="4" w:space="0"/>
              <w:right w:val="single" w:color="FFFFFF" w:sz="4" w:space="0"/>
              <w:tl2br w:val="nil"/>
              <w:tr2bl w:val="nil"/>
            </w:tcBorders>
            <w:noWrap w:val="0"/>
            <w:vAlign w:val="center"/>
          </w:tcPr>
          <w:p w14:paraId="047784C4">
            <w:pPr>
              <w:jc w:val="left"/>
              <w:rPr>
                <w:lang w:val="en-US" w:eastAsia="zh-CN"/>
              </w:rPr>
            </w:pPr>
          </w:p>
        </w:tc>
      </w:tr>
    </w:tbl>
    <w:p w14:paraId="04C794B7">
      <w:pPr>
        <w:snapToGrid w:val="0"/>
        <w:spacing w:before="0" w:after="0" w:line="0" w:lineRule="auto"/>
        <w:jc w:val="both"/>
        <w:rPr>
          <w:lang w:val="en-US" w:eastAsia="zh-CN"/>
        </w:rPr>
      </w:pPr>
      <w:r>
        <w:rPr>
          <w:sz w:val="8"/>
          <w:lang w:val="en-US" w:eastAsia="zh-CN"/>
        </w:rPr>
        <w:t xml:space="preserve"> </w:t>
      </w:r>
    </w:p>
    <w:p w14:paraId="6C0466EC">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财政拨款“三公”经费支出决算表</w:t>
      </w:r>
      <w:r>
        <w:rPr>
          <w:rFonts w:hint="eastAsia" w:ascii="黑体" w:hAnsi="黑体" w:eastAsia="黑体" w:cs="黑体"/>
          <w:bCs/>
          <w:sz w:val="32"/>
          <w:szCs w:val="32"/>
          <w:highlight w:val="none"/>
          <w:lang w:val="en-US" w:eastAsia="zh-CN"/>
        </w:rPr>
        <w:br w:type="textWrapping"/>
      </w:r>
      <w:r>
        <w:drawing>
          <wp:inline distT="0" distB="0" distL="114300" distR="114300">
            <wp:extent cx="5268595" cy="1782445"/>
            <wp:effectExtent l="0" t="0" r="8255" b="8255"/>
            <wp:docPr id="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1"/>
                    <pic:cNvPicPr>
                      <a:picLocks noChangeAspect="1"/>
                    </pic:cNvPicPr>
                  </pic:nvPicPr>
                  <pic:blipFill>
                    <a:blip r:embed="rId13"/>
                    <a:stretch>
                      <a:fillRect/>
                    </a:stretch>
                  </pic:blipFill>
                  <pic:spPr>
                    <a:xfrm>
                      <a:off x="0" y="0"/>
                      <a:ext cx="5268595" cy="1782445"/>
                    </a:xfrm>
                    <a:prstGeom prst="rect">
                      <a:avLst/>
                    </a:prstGeom>
                    <a:noFill/>
                    <a:ln>
                      <a:noFill/>
                    </a:ln>
                  </pic:spPr>
                </pic:pic>
              </a:graphicData>
            </a:graphic>
          </wp:inline>
        </w:drawing>
      </w:r>
    </w:p>
    <w:tbl>
      <w:tblPr>
        <w:tblStyle w:val="5"/>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306"/>
      </w:tblGrid>
      <w:tr w14:paraId="55681B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3" w:hRule="exact"/>
          <w:jc w:val="center"/>
        </w:trPr>
        <w:tc>
          <w:tcPr>
            <w:tcW w:w="700" w:type="dxa"/>
            <w:tcBorders>
              <w:top w:val="single" w:color="FFFFFF" w:sz="4" w:space="0"/>
              <w:left w:val="single" w:color="FFFFFF" w:sz="4" w:space="0"/>
              <w:bottom w:val="single" w:color="FFFFFF" w:sz="4" w:space="0"/>
              <w:right w:val="single" w:color="FFFFFF" w:sz="4" w:space="0"/>
              <w:tl2br w:val="nil"/>
              <w:tr2bl w:val="nil"/>
            </w:tcBorders>
            <w:noWrap w:val="0"/>
            <w:vAlign w:val="center"/>
          </w:tcPr>
          <w:p w14:paraId="41090B54">
            <w:pPr>
              <w:jc w:val="both"/>
              <w:rPr>
                <w:lang w:val="en-US" w:eastAsia="zh-CN"/>
              </w:rPr>
            </w:pPr>
          </w:p>
        </w:tc>
      </w:tr>
    </w:tbl>
    <w:p w14:paraId="18AFCE71">
      <w:pPr>
        <w:snapToGrid w:val="0"/>
        <w:spacing w:before="0" w:after="0" w:line="0" w:lineRule="auto"/>
        <w:jc w:val="both"/>
        <w:rPr>
          <w:lang w:val="en-US" w:eastAsia="zh-CN"/>
        </w:rPr>
      </w:pPr>
      <w:r>
        <w:rPr>
          <w:sz w:val="8"/>
          <w:lang w:val="en-US" w:eastAsia="zh-CN"/>
        </w:rPr>
        <w:t xml:space="preserve"> </w:t>
      </w:r>
    </w:p>
    <w:p w14:paraId="2696B221">
      <w:pPr>
        <w:jc w:val="center"/>
        <w:rPr>
          <w:rFonts w:hint="eastAsia" w:ascii="黑体" w:hAnsi="黑体" w:eastAsia="黑体" w:cs="黑体"/>
          <w:lang w:val="en-US" w:eastAsia="zh-CN"/>
        </w:rPr>
      </w:pPr>
    </w:p>
    <w:p w14:paraId="706A76C9">
      <w:pPr>
        <w:jc w:val="center"/>
        <w:rPr>
          <w:rFonts w:hint="eastAsia" w:ascii="黑体" w:hAnsi="黑体" w:eastAsia="黑体" w:cs="黑体"/>
          <w:lang w:val="en-US" w:eastAsia="zh-CN"/>
        </w:rPr>
      </w:pPr>
      <w:r>
        <w:rPr>
          <w:rFonts w:hint="eastAsia" w:ascii="黑体" w:hAnsi="黑体" w:eastAsia="黑体" w:cs="黑体"/>
          <w:lang w:val="en-US" w:eastAsia="zh-CN"/>
        </w:rPr>
        <w:t>第三部分  2024年度部门决算情况说明</w:t>
      </w:r>
    </w:p>
    <w:p w14:paraId="7509E0DD">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2B98B990">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仿宋_GB2312" w:hAnsi="宋体"/>
          <w:bCs/>
          <w:sz w:val="32"/>
          <w:szCs w:val="32"/>
          <w:highlight w:val="none"/>
          <w:lang w:val="en-US" w:eastAsia="zh-CN"/>
        </w:rPr>
        <w:t>2024年</w:t>
      </w:r>
      <w:r>
        <w:rPr>
          <w:rFonts w:hint="eastAsia" w:ascii="仿宋_GB2312" w:hAnsi="宋体" w:eastAsia="仿宋_GB2312"/>
          <w:bCs/>
          <w:sz w:val="32"/>
          <w:szCs w:val="32"/>
          <w:highlight w:val="none"/>
          <w:lang w:val="en-US" w:eastAsia="zh-CN"/>
        </w:rPr>
        <w:t>度收、支总计</w:t>
      </w:r>
      <w:r>
        <w:rPr>
          <w:rFonts w:hint="eastAsia" w:ascii="仿宋_GB2312" w:hAnsi="宋体"/>
          <w:bCs/>
          <w:sz w:val="32"/>
          <w:szCs w:val="32"/>
          <w:highlight w:val="none"/>
          <w:lang w:val="en-US" w:eastAsia="zh-CN"/>
        </w:rPr>
        <w:t>均为</w:t>
      </w:r>
      <w:r>
        <w:rPr>
          <w:rFonts w:hint="eastAsia" w:ascii="仿宋_GB2312" w:hAnsi="宋体"/>
          <w:bCs/>
          <w:sz w:val="32"/>
          <w:szCs w:val="32"/>
          <w:highlight w:val="none"/>
          <w:u w:val="none"/>
          <w:lang w:val="en-US" w:eastAsia="zh-CN"/>
        </w:rPr>
        <w:t>1128.30</w:t>
      </w:r>
      <w:r>
        <w:rPr>
          <w:rFonts w:hint="eastAsia" w:ascii="仿宋_GB2312" w:hAnsi="宋体" w:eastAsia="仿宋_GB2312"/>
          <w:bCs/>
          <w:sz w:val="32"/>
          <w:szCs w:val="32"/>
          <w:highlight w:val="none"/>
          <w:lang w:val="en-US" w:eastAsia="zh-CN"/>
        </w:rPr>
        <w:t>万元。与2023年度相比，收、支总计减少141.32万元，下降11.</w:t>
      </w:r>
      <w:r>
        <w:rPr>
          <w:rFonts w:hint="eastAsia" w:ascii="仿宋_GB2312" w:hAnsi="宋体"/>
          <w:bCs/>
          <w:sz w:val="32"/>
          <w:szCs w:val="32"/>
          <w:highlight w:val="none"/>
          <w:lang w:val="en-US" w:eastAsia="zh-CN"/>
        </w:rPr>
        <w:t>1</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项目支出减少，压缩项目支出，执行过紧日子政策。</w:t>
      </w:r>
    </w:p>
    <w:p w14:paraId="651B2918">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6C66D3F2">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30DDBAE5">
      <w:pPr>
        <w:adjustRightInd w:val="0"/>
        <w:snapToGrid w:val="0"/>
        <w:spacing w:line="580" w:lineRule="atLeast"/>
        <w:ind w:firstLine="600" w:firstLineChars="200"/>
        <w:jc w:val="center"/>
        <w:rPr>
          <w:rFonts w:hint="eastAsia" w:ascii="仿宋_GB2312" w:hAnsi="宋体" w:eastAsia="仿宋_GB2312"/>
          <w:bCs/>
          <w:sz w:val="30"/>
          <w:szCs w:val="30"/>
          <w:highlight w:val="none"/>
          <w:lang w:val="en-US" w:eastAsia="zh-CN"/>
        </w:rPr>
      </w:pPr>
    </w:p>
    <w:p w14:paraId="0507A29E">
      <w:pPr>
        <w:adjustRightInd w:val="0"/>
        <w:snapToGrid w:val="0"/>
        <w:spacing w:line="580" w:lineRule="atLeast"/>
        <w:ind w:firstLine="600" w:firstLineChars="200"/>
        <w:jc w:val="center"/>
        <w:rPr>
          <w:rFonts w:hint="eastAsia" w:ascii="仿宋_GB2312" w:hAnsi="宋体" w:eastAsia="仿宋_GB2312"/>
          <w:bCs/>
          <w:sz w:val="32"/>
          <w:szCs w:val="32"/>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0C078D81">
      <w:pPr>
        <w:adjustRightInd w:val="0"/>
        <w:snapToGrid w:val="0"/>
        <w:spacing w:line="580" w:lineRule="atLeast"/>
        <w:jc w:val="center"/>
        <w:rPr>
          <w:rFonts w:hint="eastAsia" w:ascii="仿宋_GB2312" w:hAnsi="宋体" w:eastAsia="仿宋_GB2312"/>
          <w:bCs/>
          <w:sz w:val="32"/>
          <w:szCs w:val="32"/>
          <w:highlight w:val="none"/>
          <w:lang w:val="en-US" w:eastAsia="zh-CN"/>
        </w:rPr>
      </w:pPr>
      <w:r>
        <w:drawing>
          <wp:inline distT="0" distB="0" distL="114300" distR="114300">
            <wp:extent cx="4554855" cy="2829560"/>
            <wp:effectExtent l="0" t="0" r="17145" b="8890"/>
            <wp:docPr id="1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2"/>
                    <pic:cNvPicPr>
                      <a:picLocks noChangeAspect="1"/>
                    </pic:cNvPicPr>
                  </pic:nvPicPr>
                  <pic:blipFill>
                    <a:blip r:embed="rId14"/>
                    <a:stretch>
                      <a:fillRect/>
                    </a:stretch>
                  </pic:blipFill>
                  <pic:spPr>
                    <a:xfrm>
                      <a:off x="0" y="0"/>
                      <a:ext cx="4554855" cy="2829560"/>
                    </a:xfrm>
                    <a:prstGeom prst="rect">
                      <a:avLst/>
                    </a:prstGeom>
                    <a:noFill/>
                    <a:ln>
                      <a:noFill/>
                    </a:ln>
                  </pic:spPr>
                </pic:pic>
              </a:graphicData>
            </a:graphic>
          </wp:inline>
        </w:drawing>
      </w:r>
    </w:p>
    <w:p w14:paraId="186297DD">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p>
    <w:p w14:paraId="2FC5C283">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15800B39">
      <w:pPr>
        <w:bidi w:val="0"/>
        <w:jc w:val="both"/>
        <w:rPr>
          <w:rFonts w:hint="eastAsia" w:ascii="仿宋_GB2312" w:hAnsi="仿宋_GB2312" w:eastAsia="仿宋_GB2312" w:cs="仿宋_GB2312"/>
          <w:sz w:val="30"/>
          <w:szCs w:val="30"/>
          <w:lang w:val="en-US" w:eastAsia="zh-CN"/>
        </w:rPr>
      </w:pPr>
      <w:r>
        <w:rPr>
          <w:rFonts w:hint="eastAsia" w:ascii="仿宋_GB2312" w:hAnsi="宋体"/>
          <w:bCs/>
          <w:szCs w:val="32"/>
          <w:highlight w:val="none"/>
          <w:lang w:val="en-US" w:eastAsia="zh-CN"/>
        </w:rPr>
        <w:t xml:space="preserve">    2024年度收入合计</w:t>
      </w:r>
      <w:r>
        <w:rPr>
          <w:rFonts w:hint="eastAsia" w:ascii="仿宋_GB2312" w:hAnsi="宋体"/>
          <w:bCs/>
          <w:szCs w:val="32"/>
          <w:highlight w:val="none"/>
          <w:u w:val="none"/>
          <w:lang w:val="en-US" w:eastAsia="zh-CN"/>
        </w:rPr>
        <w:t>1128.30</w:t>
      </w:r>
      <w:r>
        <w:rPr>
          <w:rFonts w:hint="eastAsia" w:ascii="仿宋_GB2312" w:hAnsi="宋体"/>
          <w:bCs/>
          <w:szCs w:val="32"/>
          <w:highlight w:val="none"/>
          <w:lang w:val="en-US" w:eastAsia="zh-CN"/>
        </w:rPr>
        <w:t>万元，与2023年度相比，收入合计减少141.32万元，下降11.1%。其中：财政拨款收入1121.33万元，占本年收入99.4%；上级补助收入0.00万元，占本年收入0.0%；事业收入0.00万元，占本年收入0.0%；经营收入0.00万元，占本年收入0.0%；附属单位上缴收入0.00万元，占本年收入0.0%；其他收入6.97万元，占本年收入0.6%。</w:t>
      </w:r>
    </w:p>
    <w:p w14:paraId="72F0A6E8">
      <w:pPr>
        <w:bidi w:val="0"/>
        <w:jc w:val="center"/>
        <w:rPr>
          <w:rFonts w:hint="eastAsia" w:ascii="仿宋_GB2312" w:hAnsi="仿宋_GB2312" w:eastAsia="仿宋_GB2312" w:cs="仿宋_GB2312"/>
          <w:sz w:val="30"/>
          <w:szCs w:val="30"/>
          <w:lang w:val="en-US" w:eastAsia="zh-CN"/>
        </w:rPr>
      </w:pPr>
    </w:p>
    <w:p w14:paraId="236EB9D9">
      <w:pPr>
        <w:bidi w:val="0"/>
        <w:jc w:val="center"/>
        <w:rPr>
          <w:rFonts w:hint="eastAsia" w:ascii="仿宋_GB2312" w:hAnsi="仿宋_GB2312" w:eastAsia="仿宋_GB2312" w:cs="仿宋_GB2312"/>
          <w:sz w:val="30"/>
          <w:szCs w:val="30"/>
          <w:lang w:val="en-US" w:eastAsia="zh-CN"/>
        </w:rPr>
      </w:pPr>
    </w:p>
    <w:p w14:paraId="512EAD76">
      <w:pPr>
        <w:bidi w:val="0"/>
        <w:jc w:val="center"/>
        <w:rPr>
          <w:rFonts w:hint="eastAsia" w:ascii="仿宋_GB2312" w:hAnsi="仿宋_GB2312" w:eastAsia="仿宋_GB2312" w:cs="仿宋_GB2312"/>
          <w:sz w:val="30"/>
          <w:szCs w:val="30"/>
          <w:lang w:val="en-US" w:eastAsia="zh-CN"/>
        </w:rPr>
      </w:pPr>
    </w:p>
    <w:p w14:paraId="79240F79">
      <w:pPr>
        <w:bidi w:val="0"/>
        <w:jc w:val="center"/>
        <w:rPr>
          <w:rFonts w:hint="eastAsia" w:ascii="仿宋_GB2312" w:hAnsi="仿宋_GB2312" w:eastAsia="仿宋_GB2312" w:cs="仿宋_GB2312"/>
          <w:sz w:val="30"/>
          <w:szCs w:val="30"/>
          <w:lang w:val="en-US" w:eastAsia="zh-CN"/>
        </w:rPr>
      </w:pPr>
    </w:p>
    <w:p w14:paraId="58C98162">
      <w:pPr>
        <w:bidi w:val="0"/>
        <w:jc w:val="center"/>
        <w:rPr>
          <w:rFonts w:hint="eastAsia" w:ascii="仿宋_GB2312" w:hAnsi="仿宋_GB2312" w:eastAsia="仿宋_GB2312" w:cs="仿宋_GB2312"/>
          <w:sz w:val="30"/>
          <w:szCs w:val="30"/>
          <w:lang w:val="en-US" w:eastAsia="zh-CN"/>
        </w:rPr>
      </w:pPr>
    </w:p>
    <w:p w14:paraId="7F40FEA8">
      <w:pPr>
        <w:bidi w:val="0"/>
        <w:jc w:val="center"/>
        <w:rPr>
          <w:rFonts w:hint="default"/>
          <w:lang w:val="en-US" w:eastAsia="zh-CN"/>
        </w:rPr>
      </w:pPr>
      <w:r>
        <w:rPr>
          <w:rFonts w:hint="eastAsia" w:ascii="仿宋_GB2312" w:hAnsi="仿宋_GB2312" w:eastAsia="仿宋_GB2312" w:cs="仿宋_GB2312"/>
          <w:sz w:val="30"/>
          <w:szCs w:val="30"/>
          <w:lang w:val="en-US" w:eastAsia="zh-CN"/>
        </w:rPr>
        <w:t>图2：收入决算结构</w:t>
      </w:r>
    </w:p>
    <w:p w14:paraId="78C42C50">
      <w:pPr>
        <w:bidi w:val="0"/>
        <w:jc w:val="center"/>
        <w:rPr>
          <w:rFonts w:hint="default"/>
          <w:lang w:val="en-US" w:eastAsia="zh-CN"/>
        </w:rPr>
      </w:pPr>
      <w:r>
        <w:drawing>
          <wp:inline distT="0" distB="0" distL="114300" distR="114300">
            <wp:extent cx="4391025" cy="3700780"/>
            <wp:effectExtent l="0" t="0" r="9525" b="13970"/>
            <wp:docPr id="1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4"/>
                    <pic:cNvPicPr>
                      <a:picLocks noChangeAspect="1"/>
                    </pic:cNvPicPr>
                  </pic:nvPicPr>
                  <pic:blipFill>
                    <a:blip r:embed="rId15"/>
                    <a:stretch>
                      <a:fillRect/>
                    </a:stretch>
                  </pic:blipFill>
                  <pic:spPr>
                    <a:xfrm>
                      <a:off x="0" y="0"/>
                      <a:ext cx="4391025" cy="3700780"/>
                    </a:xfrm>
                    <a:prstGeom prst="rect">
                      <a:avLst/>
                    </a:prstGeom>
                    <a:noFill/>
                    <a:ln>
                      <a:noFill/>
                    </a:ln>
                  </pic:spPr>
                </pic:pic>
              </a:graphicData>
            </a:graphic>
          </wp:inline>
        </w:drawing>
      </w:r>
    </w:p>
    <w:p w14:paraId="42796B8D">
      <w:pPr>
        <w:bidi w:val="0"/>
        <w:ind w:firstLine="640" w:firstLineChars="200"/>
        <w:jc w:val="both"/>
        <w:rPr>
          <w:rFonts w:hint="eastAsia" w:ascii="黑体" w:hAnsi="黑体" w:eastAsia="黑体" w:cs="黑体"/>
          <w:lang w:val="en-US" w:eastAsia="zh-CN"/>
        </w:rPr>
      </w:pPr>
    </w:p>
    <w:p w14:paraId="1AA524AA">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三、支出决算情况说明</w:t>
      </w:r>
    </w:p>
    <w:p w14:paraId="24D8C48B">
      <w:pPr>
        <w:bidi w:val="0"/>
        <w:ind w:firstLine="640" w:firstLineChars="200"/>
        <w:jc w:val="both"/>
        <w:rPr>
          <w:rFonts w:hint="eastAsia" w:ascii="仿宋_GB2312" w:hAnsi="仿宋_GB2312" w:eastAsia="仿宋_GB2312" w:cs="仿宋_GB2312"/>
          <w:sz w:val="30"/>
          <w:szCs w:val="30"/>
          <w:lang w:val="en-US" w:eastAsia="zh-CN"/>
        </w:rPr>
      </w:pPr>
      <w:r>
        <w:rPr>
          <w:rFonts w:hint="eastAsia"/>
          <w:lang w:val="en-US" w:eastAsia="zh-CN"/>
        </w:rPr>
        <w:t>2024年度支出合计</w:t>
      </w:r>
      <w:r>
        <w:rPr>
          <w:rFonts w:hint="eastAsia" w:ascii="仿宋_GB2312" w:hAnsi="宋体" w:eastAsia="仿宋_GB2312"/>
          <w:bCs/>
          <w:sz w:val="32"/>
          <w:szCs w:val="32"/>
          <w:highlight w:val="none"/>
          <w:u w:val="none"/>
          <w:lang w:val="en-US" w:eastAsia="zh-CN"/>
        </w:rPr>
        <w:t>1128.30</w:t>
      </w:r>
      <w:r>
        <w:rPr>
          <w:rFonts w:hint="eastAsia"/>
          <w:lang w:val="en-US" w:eastAsia="zh-CN"/>
        </w:rPr>
        <w:t>万元，与2023年度相比，</w:t>
      </w:r>
      <w:r>
        <w:rPr>
          <w:rFonts w:hint="eastAsia" w:ascii="仿宋_GB2312" w:hAnsi="宋体"/>
          <w:szCs w:val="32"/>
          <w:lang w:val="en-US" w:eastAsia="zh-CN"/>
        </w:rPr>
        <w:t>支出合计减少141.32万元，下降11.1%。其中：基本支出773.18</w:t>
      </w:r>
      <w:r>
        <w:rPr>
          <w:rFonts w:hint="eastAsia" w:ascii="仿宋_GB2312"/>
          <w:kern w:val="44"/>
          <w:szCs w:val="32"/>
          <w:lang w:val="en-US" w:eastAsia="zh-CN"/>
        </w:rPr>
        <w:t>万元，占本年支出</w:t>
      </w:r>
      <w:r>
        <w:rPr>
          <w:rFonts w:hint="eastAsia" w:ascii="仿宋_GB2312" w:cs="仿宋_GB2312"/>
          <w:szCs w:val="32"/>
          <w:lang w:val="en-US" w:eastAsia="zh-CN" w:bidi="ar"/>
        </w:rPr>
        <w:t>68.5</w:t>
      </w:r>
      <w:r>
        <w:rPr>
          <w:rFonts w:hint="eastAsia" w:ascii="仿宋_GB2312"/>
          <w:kern w:val="44"/>
          <w:szCs w:val="32"/>
          <w:lang w:val="en-US" w:eastAsia="zh-CN"/>
        </w:rPr>
        <w:t>%；项目支出</w:t>
      </w:r>
      <w:r>
        <w:rPr>
          <w:rFonts w:hint="eastAsia" w:ascii="仿宋_GB2312" w:cs="仿宋_GB2312"/>
          <w:szCs w:val="32"/>
          <w:lang w:val="en-US" w:eastAsia="zh-CN" w:bidi="ar"/>
        </w:rPr>
        <w:t>355.12</w:t>
      </w:r>
      <w:r>
        <w:rPr>
          <w:rFonts w:hint="eastAsia" w:ascii="仿宋_GB2312"/>
          <w:kern w:val="44"/>
          <w:szCs w:val="32"/>
          <w:lang w:val="en-US" w:eastAsia="zh-CN"/>
        </w:rPr>
        <w:t>万元，占本年支出</w:t>
      </w:r>
      <w:r>
        <w:rPr>
          <w:rFonts w:hint="eastAsia" w:ascii="仿宋_GB2312" w:cs="仿宋_GB2312"/>
          <w:szCs w:val="32"/>
          <w:lang w:val="en-US" w:eastAsia="zh-CN" w:bidi="ar"/>
        </w:rPr>
        <w:t>31.5</w:t>
      </w:r>
      <w:r>
        <w:rPr>
          <w:rFonts w:hint="eastAsia" w:ascii="仿宋_GB2312"/>
          <w:kern w:val="44"/>
          <w:szCs w:val="32"/>
          <w:lang w:val="en-US" w:eastAsia="zh-CN"/>
        </w:rPr>
        <w:t>%；上缴上级支出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%；经营支出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%；对附属单位补助支出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w:t>
      </w:r>
    </w:p>
    <w:p w14:paraId="5DB7ABCE">
      <w:pPr>
        <w:bidi w:val="0"/>
        <w:jc w:val="center"/>
        <w:rPr>
          <w:rFonts w:hint="eastAsia" w:ascii="仿宋_GB2312" w:hAnsi="仿宋_GB2312" w:eastAsia="仿宋_GB2312" w:cs="仿宋_GB2312"/>
          <w:sz w:val="30"/>
          <w:szCs w:val="30"/>
          <w:lang w:val="en-US" w:eastAsia="zh-CN"/>
        </w:rPr>
      </w:pPr>
    </w:p>
    <w:p w14:paraId="259FC45E">
      <w:pPr>
        <w:bidi w:val="0"/>
        <w:jc w:val="center"/>
        <w:rPr>
          <w:rFonts w:hint="eastAsia" w:ascii="仿宋_GB2312" w:hAnsi="仿宋_GB2312" w:eastAsia="仿宋_GB2312" w:cs="仿宋_GB2312"/>
          <w:sz w:val="30"/>
          <w:szCs w:val="30"/>
          <w:lang w:val="en-US" w:eastAsia="zh-CN"/>
        </w:rPr>
      </w:pPr>
    </w:p>
    <w:p w14:paraId="20852A4A">
      <w:pPr>
        <w:bidi w:val="0"/>
        <w:jc w:val="center"/>
        <w:rPr>
          <w:rFonts w:hint="eastAsia" w:ascii="仿宋_GB2312" w:hAnsi="仿宋_GB2312" w:eastAsia="仿宋_GB2312" w:cs="仿宋_GB2312"/>
          <w:sz w:val="30"/>
          <w:szCs w:val="30"/>
          <w:lang w:val="en-US" w:eastAsia="zh-CN"/>
        </w:rPr>
      </w:pPr>
    </w:p>
    <w:p w14:paraId="641AEAD8">
      <w:pPr>
        <w:bidi w:val="0"/>
        <w:jc w:val="center"/>
        <w:rPr>
          <w:rFonts w:hint="eastAsia" w:ascii="仿宋_GB2312" w:hAnsi="仿宋_GB2312" w:eastAsia="仿宋_GB2312" w:cs="仿宋_GB2312"/>
          <w:sz w:val="30"/>
          <w:szCs w:val="30"/>
          <w:lang w:val="en-US" w:eastAsia="zh-CN"/>
        </w:rPr>
      </w:pPr>
    </w:p>
    <w:p w14:paraId="2C6AD3B3">
      <w:pPr>
        <w:bidi w:val="0"/>
        <w:jc w:val="center"/>
        <w:rPr>
          <w:rFonts w:hint="eastAsia" w:eastAsia="仿宋_GB2312"/>
          <w:lang w:val="en-US" w:eastAsia="zh-CN"/>
        </w:rPr>
      </w:pPr>
      <w:r>
        <w:rPr>
          <w:rFonts w:hint="eastAsia" w:ascii="仿宋_GB2312" w:hAnsi="仿宋_GB2312" w:eastAsia="仿宋_GB2312" w:cs="仿宋_GB2312"/>
          <w:sz w:val="30"/>
          <w:szCs w:val="30"/>
          <w:lang w:val="en-US" w:eastAsia="zh-CN"/>
        </w:rPr>
        <w:t>图3：支出决算结构</w:t>
      </w:r>
      <w:r>
        <w:drawing>
          <wp:inline distT="0" distB="0" distL="114300" distR="114300">
            <wp:extent cx="4744720" cy="3062605"/>
            <wp:effectExtent l="0" t="0" r="17780" b="4445"/>
            <wp:docPr id="1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0"/>
                    <pic:cNvPicPr>
                      <a:picLocks noChangeAspect="1"/>
                    </pic:cNvPicPr>
                  </pic:nvPicPr>
                  <pic:blipFill>
                    <a:blip r:embed="rId16"/>
                    <a:stretch>
                      <a:fillRect/>
                    </a:stretch>
                  </pic:blipFill>
                  <pic:spPr>
                    <a:xfrm>
                      <a:off x="0" y="0"/>
                      <a:ext cx="4744720" cy="3062605"/>
                    </a:xfrm>
                    <a:prstGeom prst="rect">
                      <a:avLst/>
                    </a:prstGeom>
                    <a:noFill/>
                    <a:ln>
                      <a:noFill/>
                    </a:ln>
                  </pic:spPr>
                </pic:pic>
              </a:graphicData>
            </a:graphic>
          </wp:inline>
        </w:drawing>
      </w:r>
    </w:p>
    <w:p w14:paraId="49F8EF3D">
      <w:pPr>
        <w:bidi w:val="0"/>
        <w:jc w:val="center"/>
        <w:rPr>
          <w:rFonts w:hint="eastAsia" w:eastAsia="仿宋_GB2312"/>
          <w:lang w:val="en-US" w:eastAsia="zh-CN"/>
        </w:rPr>
      </w:pPr>
    </w:p>
    <w:p w14:paraId="357AB764">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四、财政拨款收入支出决算总体情况说明</w:t>
      </w:r>
    </w:p>
    <w:p w14:paraId="065BD2A7">
      <w:pPr>
        <w:adjustRightInd w:val="0"/>
        <w:snapToGrid w:val="0"/>
        <w:spacing w:line="580" w:lineRule="atLeast"/>
        <w:ind w:firstLine="640" w:firstLineChars="200"/>
        <w:jc w:val="both"/>
        <w:rPr>
          <w:rFonts w:hint="eastAsia"/>
          <w:color w:val="0000FF"/>
          <w:lang w:val="en-US" w:eastAsia="zh-CN"/>
        </w:rPr>
      </w:pPr>
      <w:r>
        <w:rPr>
          <w:rFonts w:hint="eastAsia" w:ascii="仿宋" w:hAnsi="仿宋" w:eastAsia="仿宋" w:cs="仿宋"/>
          <w:lang w:val="en-US" w:eastAsia="zh-CN"/>
        </w:rPr>
        <w:t>2024年度财政拨款收、支总计均为1121.33万元。与2023年度相比，财政拨款收、支总计各</w:t>
      </w:r>
      <w:r>
        <w:rPr>
          <w:rFonts w:hint="eastAsia" w:ascii="仿宋" w:hAnsi="仿宋" w:eastAsia="仿宋" w:cs="仿宋"/>
          <w:szCs w:val="32"/>
          <w:lang w:val="en-US" w:eastAsia="zh-CN"/>
        </w:rPr>
        <w:t>减少148.29万元，下降11.7%</w:t>
      </w:r>
      <w:r>
        <w:rPr>
          <w:rFonts w:hint="eastAsia" w:ascii="仿宋" w:hAnsi="仿宋" w:eastAsia="仿宋" w:cs="仿宋"/>
          <w:lang w:val="en-US" w:eastAsia="zh-CN"/>
        </w:rPr>
        <w:t>。</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项目支出减少，压缩项目支出，执行过紧日子政策。</w:t>
      </w:r>
    </w:p>
    <w:p w14:paraId="7B27AF2B">
      <w:pPr>
        <w:adjustRightInd w:val="0"/>
        <w:snapToGrid w:val="0"/>
        <w:spacing w:line="580" w:lineRule="atLeast"/>
        <w:ind w:firstLine="640" w:firstLineChars="200"/>
        <w:jc w:val="both"/>
        <w:rPr>
          <w:rFonts w:hint="eastAsia" w:ascii="仿宋_GB2312" w:hAnsi="宋体"/>
          <w:szCs w:val="32"/>
          <w:lang w:val="en-US" w:eastAsia="zh-CN"/>
        </w:rPr>
      </w:pPr>
      <w:r>
        <w:rPr>
          <w:rFonts w:hint="eastAsia"/>
          <w:lang w:val="en-US" w:eastAsia="zh-CN"/>
        </w:rPr>
        <w:t>2024年度财政拨款收入中，一般公共预算财政拨款收入</w:t>
      </w:r>
      <w:r>
        <w:rPr>
          <w:rFonts w:hint="eastAsia"/>
          <w:u w:val="single"/>
          <w:lang w:val="en-US" w:eastAsia="zh-CN"/>
        </w:rPr>
        <w:t xml:space="preserve">    </w:t>
      </w:r>
      <w:r>
        <w:rPr>
          <w:rFonts w:hint="eastAsia" w:ascii="仿宋" w:hAnsi="仿宋" w:eastAsia="仿宋" w:cs="仿宋"/>
          <w:lang w:val="en-US" w:eastAsia="zh-CN"/>
        </w:rPr>
        <w:t>1121.33</w:t>
      </w:r>
      <w:r>
        <w:rPr>
          <w:rFonts w:hint="eastAsia"/>
          <w:lang w:val="en-US" w:eastAsia="zh-CN"/>
        </w:rPr>
        <w:t>万元，比2023年度决算数</w:t>
      </w:r>
      <w:r>
        <w:rPr>
          <w:rFonts w:hint="eastAsia" w:ascii="仿宋_GB2312" w:hAnsi="宋体"/>
          <w:szCs w:val="32"/>
          <w:lang w:val="en-US" w:eastAsia="zh-CN"/>
        </w:rPr>
        <w:t>减少148.29万元,</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项目支出减少，压缩项目支出，执行过紧日子政策。</w:t>
      </w:r>
      <w:r>
        <w:rPr>
          <w:rFonts w:hint="eastAsia"/>
          <w:lang w:val="en-US" w:eastAsia="zh-CN"/>
        </w:rPr>
        <w:t>政府性基金预算财政拨款收入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无变化。</w:t>
      </w:r>
      <w:r>
        <w:rPr>
          <w:rFonts w:hint="eastAsia"/>
          <w:lang w:val="en-US" w:eastAsia="zh-CN"/>
        </w:rPr>
        <w:t>国有资本经营预算财政拨款收入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无变化。</w:t>
      </w:r>
    </w:p>
    <w:p w14:paraId="637C3CFA">
      <w:pPr>
        <w:bidi w:val="0"/>
        <w:jc w:val="center"/>
        <w:rPr>
          <w:rFonts w:hint="eastAsia" w:ascii="仿宋_GB2312" w:hAnsi="仿宋_GB2312" w:eastAsia="仿宋_GB2312" w:cs="仿宋_GB2312"/>
          <w:sz w:val="30"/>
          <w:szCs w:val="30"/>
          <w:lang w:val="en-US" w:eastAsia="zh-CN"/>
        </w:rPr>
      </w:pPr>
    </w:p>
    <w:p w14:paraId="1D3CE74E">
      <w:pPr>
        <w:bidi w:val="0"/>
        <w:jc w:val="center"/>
        <w:rPr>
          <w:rFonts w:hint="eastAsia" w:ascii="仿宋_GB2312" w:hAnsi="仿宋_GB2312" w:eastAsia="仿宋_GB2312" w:cs="仿宋_GB2312"/>
          <w:sz w:val="30"/>
          <w:szCs w:val="30"/>
          <w:lang w:val="en-US" w:eastAsia="zh-CN"/>
        </w:rPr>
      </w:pPr>
    </w:p>
    <w:p w14:paraId="75C6F9DA">
      <w:pPr>
        <w:bidi w:val="0"/>
        <w:jc w:val="center"/>
        <w:rPr>
          <w:rFonts w:hint="eastAsia" w:ascii="仿宋_GB2312" w:hAnsi="宋体" w:eastAsia="仿宋_GB2312"/>
          <w:bCs/>
          <w:sz w:val="32"/>
          <w:szCs w:val="32"/>
          <w:highlight w:val="none"/>
          <w:lang w:val="en-US" w:eastAsia="zh-CN"/>
        </w:rPr>
      </w:pPr>
      <w:r>
        <w:rPr>
          <w:rFonts w:hint="eastAsia" w:ascii="仿宋_GB2312" w:hAnsi="仿宋_GB2312" w:eastAsia="仿宋_GB2312" w:cs="仿宋_GB2312"/>
          <w:sz w:val="30"/>
          <w:szCs w:val="30"/>
          <w:lang w:val="en-US" w:eastAsia="zh-CN"/>
        </w:rPr>
        <w:t>图4：财政拨款收、支决算总计变动情况</w:t>
      </w:r>
      <w:r>
        <w:drawing>
          <wp:inline distT="0" distB="0" distL="114300" distR="114300">
            <wp:extent cx="4735830" cy="3157220"/>
            <wp:effectExtent l="0" t="0" r="7620" b="5080"/>
            <wp:docPr id="1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pic:cNvPicPr>
                      <a:picLocks noChangeAspect="1"/>
                    </pic:cNvPicPr>
                  </pic:nvPicPr>
                  <pic:blipFill>
                    <a:blip r:embed="rId17"/>
                    <a:stretch>
                      <a:fillRect/>
                    </a:stretch>
                  </pic:blipFill>
                  <pic:spPr>
                    <a:xfrm>
                      <a:off x="0" y="0"/>
                      <a:ext cx="4735830" cy="3157220"/>
                    </a:xfrm>
                    <a:prstGeom prst="rect">
                      <a:avLst/>
                    </a:prstGeom>
                    <a:noFill/>
                    <a:ln>
                      <a:noFill/>
                    </a:ln>
                  </pic:spPr>
                </pic:pic>
              </a:graphicData>
            </a:graphic>
          </wp:inline>
        </w:drawing>
      </w:r>
    </w:p>
    <w:p w14:paraId="3668C3F4">
      <w:pPr>
        <w:bidi w:val="0"/>
        <w:jc w:val="center"/>
        <w:rPr>
          <w:rFonts w:hint="eastAsia" w:ascii="仿宋_GB2312" w:hAnsi="宋体" w:eastAsia="仿宋_GB2312"/>
          <w:bCs/>
          <w:sz w:val="32"/>
          <w:szCs w:val="32"/>
          <w:highlight w:val="none"/>
          <w:lang w:val="en-US" w:eastAsia="zh-CN"/>
        </w:rPr>
      </w:pPr>
    </w:p>
    <w:p w14:paraId="658AB372">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五、一般公共预算财政拨款支出决算情况说明</w:t>
      </w:r>
    </w:p>
    <w:p w14:paraId="28D420F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楷体_GB2312" w:hAnsi="楷体_GB2312" w:eastAsia="楷体_GB2312" w:cs="楷体_GB2312"/>
          <w:b/>
          <w:bCs w:val="0"/>
          <w:kern w:val="44"/>
          <w:sz w:val="32"/>
          <w:szCs w:val="32"/>
          <w:highlight w:val="none"/>
          <w:lang w:val="en-US" w:eastAsia="zh-CN"/>
        </w:rPr>
      </w:pPr>
      <w:r>
        <w:rPr>
          <w:rFonts w:hint="eastAsia" w:ascii="楷体_GB2312" w:hAnsi="楷体_GB2312" w:eastAsia="楷体_GB2312" w:cs="楷体_GB2312"/>
          <w:b/>
          <w:bCs w:val="0"/>
          <w:kern w:val="44"/>
          <w:sz w:val="32"/>
          <w:szCs w:val="32"/>
          <w:highlight w:val="none"/>
          <w:lang w:val="en-US" w:eastAsia="zh-CN"/>
        </w:rPr>
        <w:t>（一）一般公共预算财政拨款支出决算总体情况。</w:t>
      </w:r>
    </w:p>
    <w:p w14:paraId="3AC9367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宋体" w:eastAsia="仿宋_GB2312"/>
          <w:bCs/>
          <w:sz w:val="32"/>
          <w:szCs w:val="32"/>
          <w:highlight w:val="none"/>
          <w:lang w:val="en-US" w:eastAsia="zh-CN"/>
        </w:rPr>
      </w:pPr>
      <w:r>
        <w:rPr>
          <w:rFonts w:hint="eastAsia" w:ascii="仿宋_GB2312"/>
          <w:bCs/>
          <w:kern w:val="44"/>
          <w:sz w:val="32"/>
          <w:szCs w:val="32"/>
          <w:highlight w:val="none"/>
          <w:lang w:val="en-US" w:eastAsia="zh-CN"/>
        </w:rPr>
        <w:t>2024</w:t>
      </w:r>
      <w:r>
        <w:rPr>
          <w:rFonts w:hint="eastAsia" w:ascii="仿宋_GB2312" w:hAnsi="仿宋_GB2312" w:eastAsia="仿宋_GB2312" w:cs="仿宋_GB2312"/>
          <w:bCs/>
          <w:kern w:val="44"/>
          <w:sz w:val="32"/>
          <w:szCs w:val="32"/>
          <w:highlight w:val="none"/>
          <w:lang w:val="en-US" w:eastAsia="zh-CN"/>
        </w:rPr>
        <w:t>年度一般公共预算财政拨</w:t>
      </w:r>
      <w:r>
        <w:rPr>
          <w:rFonts w:hint="eastAsia" w:ascii="仿宋_GB2312" w:eastAsia="仿宋_GB2312"/>
          <w:bCs/>
          <w:kern w:val="44"/>
          <w:sz w:val="32"/>
          <w:szCs w:val="32"/>
          <w:highlight w:val="none"/>
          <w:lang w:val="en-US" w:eastAsia="zh-CN"/>
        </w:rPr>
        <w:t>款支出</w:t>
      </w:r>
      <w:r>
        <w:rPr>
          <w:rFonts w:hint="eastAsia" w:ascii="仿宋_GB2312" w:eastAsia="仿宋_GB2312"/>
          <w:bCs/>
          <w:kern w:val="44"/>
          <w:sz w:val="32"/>
          <w:szCs w:val="32"/>
          <w:highlight w:val="none"/>
          <w:u w:val="none"/>
          <w:lang w:val="en-US" w:eastAsia="zh-CN"/>
        </w:rPr>
        <w:t>1121.33万元</w:t>
      </w:r>
      <w:r>
        <w:rPr>
          <w:rFonts w:hint="eastAsia" w:ascii="仿宋_GB2312" w:eastAsia="仿宋_GB2312"/>
          <w:bCs/>
          <w:kern w:val="44"/>
          <w:sz w:val="32"/>
          <w:szCs w:val="32"/>
          <w:highlight w:val="none"/>
          <w:lang w:val="en-US" w:eastAsia="zh-CN"/>
        </w:rPr>
        <w:t>，占本年支出合计的</w:t>
      </w:r>
      <w:r>
        <w:rPr>
          <w:rFonts w:hint="eastAsia" w:ascii="仿宋_GB2312" w:eastAsia="仿宋_GB2312"/>
          <w:bCs/>
          <w:kern w:val="44"/>
          <w:sz w:val="32"/>
          <w:szCs w:val="32"/>
          <w:highlight w:val="none"/>
          <w:u w:val="none"/>
          <w:lang w:val="en-US" w:eastAsia="zh-CN"/>
        </w:rPr>
        <w:t>99.</w:t>
      </w:r>
      <w:r>
        <w:rPr>
          <w:rFonts w:hint="eastAsia" w:ascii="仿宋_GB2312"/>
          <w:bCs/>
          <w:kern w:val="44"/>
          <w:sz w:val="32"/>
          <w:szCs w:val="32"/>
          <w:highlight w:val="none"/>
          <w:u w:val="none"/>
          <w:lang w:val="en-US" w:eastAsia="zh-CN"/>
        </w:rPr>
        <w:t>4</w:t>
      </w:r>
      <w:r>
        <w:rPr>
          <w:rFonts w:hint="eastAsia" w:ascii="仿宋_GB2312" w:eastAsia="仿宋_GB2312"/>
          <w:bCs/>
          <w:kern w:val="44"/>
          <w:sz w:val="32"/>
          <w:szCs w:val="32"/>
          <w:highlight w:val="none"/>
          <w:u w:val="none"/>
          <w:lang w:val="en-US" w:eastAsia="zh-CN"/>
        </w:rPr>
        <w:t>%</w:t>
      </w:r>
      <w:r>
        <w:rPr>
          <w:rFonts w:hint="eastAsia" w:ascii="仿宋_GB2312" w:eastAsia="仿宋_GB2312"/>
          <w:bCs/>
          <w:kern w:val="44"/>
          <w:sz w:val="32"/>
          <w:szCs w:val="32"/>
          <w:highlight w:val="none"/>
          <w:lang w:val="en-US" w:eastAsia="zh-CN"/>
        </w:rPr>
        <w:t>。与2023年度相比，一般公共预算财政拨款支出减少148.29万元，下降11.</w:t>
      </w:r>
      <w:r>
        <w:rPr>
          <w:rFonts w:hint="eastAsia" w:ascii="仿宋_GB2312"/>
          <w:bCs/>
          <w:kern w:val="44"/>
          <w:sz w:val="32"/>
          <w:szCs w:val="32"/>
          <w:highlight w:val="none"/>
          <w:lang w:val="en-US" w:eastAsia="zh-CN"/>
        </w:rPr>
        <w:t>7</w:t>
      </w:r>
      <w:r>
        <w:rPr>
          <w:rFonts w:hint="eastAsia" w:ascii="仿宋_GB2312" w:eastAsia="仿宋_GB2312"/>
          <w:bCs/>
          <w:kern w:val="44"/>
          <w:sz w:val="32"/>
          <w:szCs w:val="32"/>
          <w:highlight w:val="none"/>
          <w:lang w:val="en-US" w:eastAsia="zh-CN"/>
        </w:rPr>
        <w:t>%,</w:t>
      </w:r>
      <w:r>
        <w:rPr>
          <w:rFonts w:hint="eastAsia" w:ascii="仿宋_GB2312" w:hAnsi="宋体" w:eastAsia="仿宋_GB2312"/>
          <w:bCs/>
          <w:sz w:val="32"/>
          <w:szCs w:val="32"/>
          <w:highlight w:val="none"/>
          <w:lang w:val="en-US" w:eastAsia="zh-CN"/>
        </w:rPr>
        <w:t>主要原因是</w:t>
      </w:r>
      <w:r>
        <w:rPr>
          <w:rFonts w:hint="eastAsia" w:ascii="仿宋_GB2312" w:hAnsi="宋体"/>
          <w:bCs/>
          <w:sz w:val="32"/>
          <w:szCs w:val="32"/>
          <w:highlight w:val="none"/>
          <w:lang w:val="en-US" w:eastAsia="zh-CN"/>
        </w:rPr>
        <w:t>项目支出减少，压缩项目支出，执行过紧日子政策。</w:t>
      </w:r>
    </w:p>
    <w:p w14:paraId="23F983A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楷体_GB2312" w:hAnsi="楷体_GB2312" w:eastAsia="楷体_GB2312" w:cs="楷体_GB2312"/>
          <w:b/>
          <w:bCs w:val="0"/>
          <w:kern w:val="44"/>
          <w:sz w:val="32"/>
          <w:szCs w:val="32"/>
          <w:highlight w:val="none"/>
          <w:lang w:val="en-US" w:eastAsia="zh-CN"/>
        </w:rPr>
      </w:pPr>
      <w:r>
        <w:rPr>
          <w:rFonts w:hint="eastAsia" w:ascii="楷体_GB2312" w:hAnsi="楷体_GB2312" w:eastAsia="楷体_GB2312" w:cs="楷体_GB2312"/>
          <w:b/>
          <w:bCs w:val="0"/>
          <w:kern w:val="44"/>
          <w:sz w:val="32"/>
          <w:szCs w:val="32"/>
          <w:highlight w:val="none"/>
          <w:lang w:val="en-US" w:eastAsia="zh-CN"/>
        </w:rPr>
        <w:t>（二）一般公共预算财政拨款支出决算结构情况。</w:t>
      </w:r>
    </w:p>
    <w:p w14:paraId="672507CF">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2024年</w:t>
      </w:r>
      <w:r>
        <w:rPr>
          <w:rFonts w:hint="eastAsia" w:ascii="仿宋_GB2312" w:eastAsia="仿宋_GB2312"/>
          <w:bCs/>
          <w:kern w:val="44"/>
          <w:sz w:val="32"/>
          <w:szCs w:val="32"/>
          <w:highlight w:val="none"/>
          <w:lang w:val="en-US" w:eastAsia="zh-CN"/>
        </w:rPr>
        <w:t>度</w:t>
      </w:r>
      <w:r>
        <w:rPr>
          <w:rFonts w:hint="eastAsia" w:ascii="仿宋_GB2312" w:hAnsi="仿宋_GB2312" w:eastAsia="仿宋_GB2312" w:cs="仿宋_GB2312"/>
          <w:bCs/>
          <w:kern w:val="44"/>
          <w:sz w:val="32"/>
          <w:szCs w:val="32"/>
          <w:highlight w:val="none"/>
          <w:lang w:val="en-US" w:eastAsia="zh-CN"/>
        </w:rPr>
        <w:t>一般公共预算</w:t>
      </w:r>
      <w:r>
        <w:rPr>
          <w:rFonts w:hint="eastAsia" w:ascii="仿宋_GB2312" w:eastAsia="仿宋_GB2312"/>
          <w:bCs/>
          <w:kern w:val="44"/>
          <w:sz w:val="32"/>
          <w:szCs w:val="32"/>
          <w:highlight w:val="none"/>
          <w:lang w:val="en-US" w:eastAsia="zh-CN"/>
        </w:rPr>
        <w:t>财政拨款支出</w:t>
      </w:r>
      <w:r>
        <w:rPr>
          <w:rFonts w:hint="eastAsia" w:ascii="仿宋_GB2312" w:eastAsia="仿宋_GB2312"/>
          <w:bCs/>
          <w:kern w:val="44"/>
          <w:sz w:val="32"/>
          <w:szCs w:val="32"/>
          <w:highlight w:val="none"/>
          <w:u w:val="none"/>
          <w:lang w:val="en-US" w:eastAsia="zh-CN"/>
        </w:rPr>
        <w:t>1121.33</w:t>
      </w:r>
      <w:r>
        <w:rPr>
          <w:rFonts w:hint="eastAsia" w:ascii="仿宋_GB2312" w:eastAsia="仿宋_GB2312"/>
          <w:bCs/>
          <w:kern w:val="44"/>
          <w:sz w:val="32"/>
          <w:szCs w:val="32"/>
          <w:highlight w:val="none"/>
          <w:lang w:val="en-US" w:eastAsia="zh-CN"/>
        </w:rPr>
        <w:t>万元，主要用于以下方面：</w:t>
      </w:r>
    </w:p>
    <w:p w14:paraId="6D33DAB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1.一般公共服务支出类支出797.96万元，占71.2%。主要是用于人员日常支出。</w:t>
      </w:r>
    </w:p>
    <w:p w14:paraId="2CA21824">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2.社会保障和就业支出类支出220.82万元，占19.7%。主要是用于养老保险和职业年金。</w:t>
      </w:r>
    </w:p>
    <w:p w14:paraId="70B7F4F3">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3.卫生健康支出类支出39.97万元，占3.6%。主要是用于医疗保险。</w:t>
      </w:r>
    </w:p>
    <w:p w14:paraId="012CBC9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4.住房保障支出类支出62.58万元，占5.5%。主要是用于住房公积金。</w:t>
      </w:r>
    </w:p>
    <w:p w14:paraId="785005D8">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
          <w:bCs w:val="0"/>
          <w:kern w:val="44"/>
          <w:sz w:val="32"/>
          <w:szCs w:val="32"/>
          <w:highlight w:val="none"/>
          <w:lang w:val="en-US" w:eastAsia="zh-CN"/>
        </w:rPr>
        <w:t>（三）一般公共预算财政拨款支出决算具体情况。</w:t>
      </w:r>
    </w:p>
    <w:p w14:paraId="2D1C4A6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cs="仿宋_GB2312"/>
          <w:bCs/>
          <w:kern w:val="44"/>
          <w:sz w:val="32"/>
          <w:szCs w:val="32"/>
          <w:highlight w:val="none"/>
          <w:lang w:val="en-US" w:eastAsia="zh-CN"/>
        </w:rPr>
        <w:t xml:space="preserve">2024年度一般公共预算财政拨款支出年初预算为1121.33万元，支出决算为1121.33万元，完成年初预算的100%。其中： </w:t>
      </w:r>
    </w:p>
    <w:p w14:paraId="6BC7EBBE">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bCs w:val="0"/>
          <w:kern w:val="44"/>
          <w:sz w:val="32"/>
          <w:szCs w:val="32"/>
          <w:highlight w:val="none"/>
          <w:lang w:val="en-US" w:eastAsia="zh-CN"/>
        </w:rPr>
      </w:pPr>
      <w:r>
        <w:rPr>
          <w:rFonts w:hint="eastAsia" w:ascii="仿宋_GB2312" w:hAnsi="仿宋_GB2312" w:eastAsia="仿宋_GB2312" w:cs="仿宋_GB2312"/>
          <w:b/>
          <w:bCs w:val="0"/>
          <w:kern w:val="44"/>
          <w:sz w:val="32"/>
          <w:szCs w:val="32"/>
          <w:highlight w:val="none"/>
          <w:lang w:val="en-US" w:eastAsia="zh-CN"/>
        </w:rPr>
        <w:t>1.一般公共服务支出具体包括：</w:t>
      </w:r>
    </w:p>
    <w:p w14:paraId="69D6B7B8">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（1）一般公共服务支出（类）组织事务（款）行政运行（项）年初预算为</w:t>
      </w:r>
      <w:r>
        <w:rPr>
          <w:rFonts w:hint="eastAsia" w:ascii="仿宋_GB2312" w:hAnsi="仿宋_GB2312" w:cs="仿宋_GB2312"/>
          <w:bCs/>
          <w:kern w:val="44"/>
          <w:sz w:val="32"/>
          <w:szCs w:val="32"/>
          <w:highlight w:val="none"/>
          <w:u w:val="single"/>
          <w:lang w:val="en-US" w:eastAsia="zh-CN"/>
        </w:rPr>
        <w:t>568.03</w:t>
      </w:r>
      <w:r>
        <w:rPr>
          <w:rFonts w:hint="eastAsia" w:ascii="仿宋_GB2312" w:hAnsi="仿宋_GB2312" w:eastAsia="仿宋_GB2312" w:cs="仿宋_GB2312"/>
          <w:bCs/>
          <w:kern w:val="44"/>
          <w:sz w:val="32"/>
          <w:szCs w:val="32"/>
          <w:highlight w:val="none"/>
          <w:lang w:val="en-US" w:eastAsia="zh-CN"/>
        </w:rPr>
        <w:t>万元，支出决算为</w:t>
      </w:r>
      <w:r>
        <w:rPr>
          <w:rFonts w:hint="eastAsia" w:ascii="仿宋_GB2312" w:hAnsi="仿宋_GB2312" w:eastAsia="仿宋_GB2312" w:cs="仿宋_GB2312"/>
          <w:bCs/>
          <w:kern w:val="44"/>
          <w:sz w:val="32"/>
          <w:szCs w:val="32"/>
          <w:highlight w:val="none"/>
          <w:u w:val="single"/>
          <w:lang w:val="en-US" w:eastAsia="zh-CN"/>
        </w:rPr>
        <w:t>568.03</w:t>
      </w:r>
      <w:r>
        <w:rPr>
          <w:rFonts w:hint="eastAsia" w:ascii="仿宋_GB2312" w:hAnsi="仿宋_GB2312" w:eastAsia="仿宋_GB2312" w:cs="仿宋_GB2312"/>
          <w:bCs/>
          <w:kern w:val="44"/>
          <w:sz w:val="32"/>
          <w:szCs w:val="32"/>
          <w:highlight w:val="none"/>
          <w:lang w:val="en-US" w:eastAsia="zh-CN"/>
        </w:rPr>
        <w:t>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p>
    <w:p w14:paraId="099B962E">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（2）一般公共服务支出（类）组织事务（款）一般行政管理事务（项）年初预算为 </w:t>
      </w:r>
      <w:r>
        <w:rPr>
          <w:rFonts w:hint="eastAsia" w:ascii="仿宋_GB2312" w:hAnsi="仿宋_GB2312" w:cs="仿宋_GB2312"/>
          <w:bCs/>
          <w:kern w:val="44"/>
          <w:sz w:val="32"/>
          <w:szCs w:val="32"/>
          <w:highlight w:val="none"/>
          <w:u w:val="single"/>
          <w:lang w:val="en-US" w:eastAsia="zh-CN"/>
        </w:rPr>
        <w:t>147.44</w:t>
      </w:r>
      <w:r>
        <w:rPr>
          <w:rFonts w:hint="eastAsia" w:ascii="仿宋_GB2312" w:hAnsi="仿宋_GB2312" w:eastAsia="仿宋_GB2312" w:cs="仿宋_GB2312"/>
          <w:bCs/>
          <w:kern w:val="44"/>
          <w:sz w:val="32"/>
          <w:szCs w:val="32"/>
          <w:highlight w:val="none"/>
          <w:lang w:val="en-US" w:eastAsia="zh-CN"/>
        </w:rPr>
        <w:t>万元，支出决算为</w:t>
      </w:r>
      <w:r>
        <w:rPr>
          <w:rFonts w:hint="eastAsia" w:ascii="仿宋_GB2312" w:hAnsi="仿宋_GB2312" w:eastAsia="仿宋_GB2312" w:cs="仿宋_GB2312"/>
          <w:bCs/>
          <w:kern w:val="44"/>
          <w:sz w:val="32"/>
          <w:szCs w:val="32"/>
          <w:highlight w:val="none"/>
          <w:u w:val="single"/>
          <w:lang w:val="en-US" w:eastAsia="zh-CN"/>
        </w:rPr>
        <w:t>147.44</w:t>
      </w:r>
      <w:r>
        <w:rPr>
          <w:rFonts w:hint="eastAsia" w:ascii="仿宋_GB2312" w:hAnsi="仿宋_GB2312" w:eastAsia="仿宋_GB2312" w:cs="仿宋_GB2312"/>
          <w:bCs/>
          <w:kern w:val="44"/>
          <w:sz w:val="32"/>
          <w:szCs w:val="32"/>
          <w:highlight w:val="none"/>
          <w:lang w:val="en-US" w:eastAsia="zh-CN"/>
        </w:rPr>
        <w:t>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6411DE0B">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（3）一般公共服务支出（类）组织事务（款）其他组织事务支出（项）年初预算为 </w:t>
      </w:r>
      <w:r>
        <w:rPr>
          <w:rFonts w:hint="eastAsia" w:ascii="仿宋_GB2312" w:hAnsi="仿宋_GB2312" w:cs="仿宋_GB2312"/>
          <w:bCs/>
          <w:kern w:val="44"/>
          <w:sz w:val="32"/>
          <w:szCs w:val="32"/>
          <w:highlight w:val="none"/>
          <w:u w:val="single"/>
          <w:lang w:val="en-US" w:eastAsia="zh-CN"/>
        </w:rPr>
        <w:t>82.49</w:t>
      </w:r>
      <w:r>
        <w:rPr>
          <w:rFonts w:hint="eastAsia" w:ascii="仿宋_GB2312" w:hAnsi="仿宋_GB2312" w:eastAsia="仿宋_GB2312" w:cs="仿宋_GB2312"/>
          <w:bCs/>
          <w:kern w:val="44"/>
          <w:sz w:val="32"/>
          <w:szCs w:val="32"/>
          <w:highlight w:val="none"/>
          <w:lang w:val="en-US" w:eastAsia="zh-CN"/>
        </w:rPr>
        <w:t>万元，支出决算为</w:t>
      </w:r>
      <w:r>
        <w:rPr>
          <w:rFonts w:hint="eastAsia" w:ascii="仿宋_GB2312" w:hAnsi="仿宋_GB2312" w:eastAsia="仿宋_GB2312" w:cs="仿宋_GB2312"/>
          <w:bCs/>
          <w:kern w:val="44"/>
          <w:sz w:val="32"/>
          <w:szCs w:val="32"/>
          <w:highlight w:val="none"/>
          <w:u w:val="single"/>
          <w:lang w:val="en-US" w:eastAsia="zh-CN"/>
        </w:rPr>
        <w:t>82.49</w:t>
      </w:r>
      <w:r>
        <w:rPr>
          <w:rFonts w:hint="eastAsia" w:ascii="仿宋_GB2312" w:hAnsi="仿宋_GB2312" w:eastAsia="仿宋_GB2312" w:cs="仿宋_GB2312"/>
          <w:bCs/>
          <w:kern w:val="44"/>
          <w:sz w:val="32"/>
          <w:szCs w:val="32"/>
          <w:highlight w:val="none"/>
          <w:lang w:val="en-US" w:eastAsia="zh-CN"/>
        </w:rPr>
        <w:t>万元，完成年初预算的</w:t>
      </w:r>
      <w:r>
        <w:rPr>
          <w:rFonts w:hint="eastAsia" w:ascii="仿宋_GB2312" w:hAnsi="仿宋_GB2312" w:cs="仿宋_GB2312"/>
          <w:bCs/>
          <w:kern w:val="44"/>
          <w:sz w:val="32"/>
          <w:szCs w:val="32"/>
          <w:highlight w:val="none"/>
          <w:u w:val="single"/>
          <w:lang w:val="en-US" w:eastAsia="zh-CN"/>
        </w:rPr>
        <w:t>100</w:t>
      </w:r>
      <w:r>
        <w:rPr>
          <w:rFonts w:hint="eastAsia" w:ascii="仿宋_GB2312" w:hAnsi="仿宋_GB2312" w:eastAsia="仿宋_GB2312" w:cs="仿宋_GB2312"/>
          <w:bCs/>
          <w:kern w:val="44"/>
          <w:sz w:val="32"/>
          <w:szCs w:val="32"/>
          <w:highlight w:val="none"/>
          <w:u w:val="single"/>
          <w:lang w:val="en-US" w:eastAsia="zh-CN"/>
        </w:rPr>
        <w:t>%</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0716A9EF">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
          <w:bCs w:val="0"/>
          <w:kern w:val="44"/>
          <w:sz w:val="32"/>
          <w:szCs w:val="32"/>
          <w:highlight w:val="none"/>
          <w:lang w:val="en-US" w:eastAsia="zh-CN"/>
        </w:rPr>
      </w:pPr>
      <w:r>
        <w:rPr>
          <w:rFonts w:hint="eastAsia" w:ascii="仿宋_GB2312" w:hAnsi="仿宋_GB2312" w:eastAsia="仿宋_GB2312" w:cs="仿宋_GB2312"/>
          <w:b/>
          <w:bCs w:val="0"/>
          <w:kern w:val="44"/>
          <w:sz w:val="32"/>
          <w:szCs w:val="32"/>
          <w:highlight w:val="none"/>
          <w:lang w:val="en-US" w:eastAsia="zh-CN"/>
        </w:rPr>
        <w:t>2.社会保障和就业支出具体包括：</w:t>
      </w:r>
    </w:p>
    <w:p w14:paraId="408FE2AB">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（1）社会保障和就业支出（类）人力资源和社会保障管理事务（款）引进人才费用（项）年初预算为 </w:t>
      </w:r>
      <w:r>
        <w:rPr>
          <w:rFonts w:hint="eastAsia" w:ascii="仿宋_GB2312" w:hAnsi="仿宋_GB2312" w:cs="仿宋_GB2312"/>
          <w:bCs/>
          <w:kern w:val="44"/>
          <w:sz w:val="32"/>
          <w:szCs w:val="32"/>
          <w:highlight w:val="none"/>
          <w:lang w:val="en-US" w:eastAsia="zh-CN"/>
        </w:rPr>
        <w:t>125.19</w:t>
      </w:r>
      <w:r>
        <w:rPr>
          <w:rFonts w:hint="eastAsia" w:ascii="仿宋_GB2312" w:hAnsi="仿宋_GB2312" w:eastAsia="仿宋_GB2312" w:cs="仿宋_GB2312"/>
          <w:bCs/>
          <w:kern w:val="44"/>
          <w:sz w:val="32"/>
          <w:szCs w:val="32"/>
          <w:highlight w:val="none"/>
          <w:lang w:val="en-US" w:eastAsia="zh-CN"/>
        </w:rPr>
        <w:t>万元，支出决算为125.19万元，完成年初预算的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p>
    <w:p w14:paraId="086E8CC4">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（2）社会保障和就业支出（类）行政事业单位养老支出（款）行政单位离退休（项）年初预算为 </w:t>
      </w:r>
      <w:r>
        <w:rPr>
          <w:rFonts w:hint="eastAsia" w:ascii="仿宋_GB2312" w:hAnsi="仿宋_GB2312" w:cs="仿宋_GB2312"/>
          <w:bCs/>
          <w:kern w:val="44"/>
          <w:sz w:val="32"/>
          <w:szCs w:val="32"/>
          <w:highlight w:val="none"/>
          <w:lang w:val="en-US" w:eastAsia="zh-CN"/>
        </w:rPr>
        <w:t>8.07</w:t>
      </w:r>
      <w:r>
        <w:rPr>
          <w:rFonts w:hint="eastAsia" w:ascii="仿宋_GB2312" w:hAnsi="仿宋_GB2312" w:eastAsia="仿宋_GB2312" w:cs="仿宋_GB2312"/>
          <w:bCs/>
          <w:kern w:val="44"/>
          <w:sz w:val="32"/>
          <w:szCs w:val="32"/>
          <w:highlight w:val="none"/>
          <w:lang w:val="en-US" w:eastAsia="zh-CN"/>
        </w:rPr>
        <w:t>万元，支出决算为8.07万元，完成年初预算的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p>
    <w:p w14:paraId="768D7DE3">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（3）社会保障和就业支出（类）行政事业单位养老支出（款）机关事业单位基本养老保险缴费支出（项）年初预算为 </w:t>
      </w:r>
      <w:r>
        <w:rPr>
          <w:rFonts w:hint="eastAsia" w:ascii="仿宋_GB2312" w:hAnsi="仿宋_GB2312" w:cs="仿宋_GB2312"/>
          <w:bCs/>
          <w:kern w:val="44"/>
          <w:sz w:val="32"/>
          <w:szCs w:val="32"/>
          <w:highlight w:val="none"/>
          <w:lang w:val="en-US" w:eastAsia="zh-CN"/>
        </w:rPr>
        <w:t>57.88</w:t>
      </w:r>
      <w:r>
        <w:rPr>
          <w:rFonts w:hint="eastAsia" w:ascii="仿宋_GB2312" w:hAnsi="仿宋_GB2312" w:eastAsia="仿宋_GB2312" w:cs="仿宋_GB2312"/>
          <w:bCs/>
          <w:kern w:val="44"/>
          <w:sz w:val="32"/>
          <w:szCs w:val="32"/>
          <w:highlight w:val="none"/>
          <w:lang w:val="en-US" w:eastAsia="zh-CN"/>
        </w:rPr>
        <w:t>万元，支出决算为57.88万元，完成年初预算的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7101F5F8">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（4）社会保障和就业支出（类）行政事业单位养老支出（款）机关事业单位职业年金缴费支出（项）年初预算为 </w:t>
      </w:r>
      <w:r>
        <w:rPr>
          <w:rFonts w:hint="eastAsia" w:ascii="仿宋_GB2312" w:hAnsi="仿宋_GB2312" w:cs="仿宋_GB2312"/>
          <w:bCs/>
          <w:kern w:val="44"/>
          <w:sz w:val="32"/>
          <w:szCs w:val="32"/>
          <w:highlight w:val="none"/>
          <w:lang w:val="en-US" w:eastAsia="zh-CN"/>
        </w:rPr>
        <w:t>28.94</w:t>
      </w:r>
      <w:r>
        <w:rPr>
          <w:rFonts w:hint="eastAsia" w:ascii="仿宋_GB2312" w:hAnsi="仿宋_GB2312" w:eastAsia="仿宋_GB2312" w:cs="仿宋_GB2312"/>
          <w:bCs/>
          <w:kern w:val="44"/>
          <w:sz w:val="32"/>
          <w:szCs w:val="32"/>
          <w:highlight w:val="none"/>
          <w:lang w:val="en-US" w:eastAsia="zh-CN"/>
        </w:rPr>
        <w:t>万元，支出决算为28.94万元，完成年初预算的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7F4E78AA">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（5）社会保障和就业支出（类）其他社会保障和就业支出（款）其他社会保障和就业支出（项）年初预算为</w:t>
      </w:r>
      <w:r>
        <w:rPr>
          <w:rFonts w:hint="eastAsia" w:ascii="仿宋_GB2312" w:hAnsi="仿宋_GB2312" w:cs="仿宋_GB2312"/>
          <w:bCs/>
          <w:kern w:val="44"/>
          <w:sz w:val="32"/>
          <w:szCs w:val="32"/>
          <w:highlight w:val="none"/>
          <w:lang w:val="en-US" w:eastAsia="zh-CN"/>
        </w:rPr>
        <w:t>0.74</w:t>
      </w:r>
      <w:r>
        <w:rPr>
          <w:rFonts w:hint="eastAsia" w:ascii="仿宋_GB2312" w:hAnsi="仿宋_GB2312" w:eastAsia="仿宋_GB2312" w:cs="仿宋_GB2312"/>
          <w:bCs/>
          <w:kern w:val="44"/>
          <w:sz w:val="32"/>
          <w:szCs w:val="32"/>
          <w:highlight w:val="none"/>
          <w:lang w:val="en-US" w:eastAsia="zh-CN"/>
        </w:rPr>
        <w:t>万元，支出决算为0.74万元，完成年初预算的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0F00C17E">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
          <w:bCs w:val="0"/>
          <w:kern w:val="44"/>
          <w:sz w:val="32"/>
          <w:szCs w:val="32"/>
          <w:highlight w:val="none"/>
          <w:lang w:val="en-US" w:eastAsia="zh-CN"/>
        </w:rPr>
        <w:t>3.卫生健康支出具体包括：</w:t>
      </w:r>
    </w:p>
    <w:p w14:paraId="037D3E6E">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（1）卫生健康支出（类）行政事业单位医疗（款）行政单位医疗（项）年初预算为 </w:t>
      </w:r>
      <w:r>
        <w:rPr>
          <w:rFonts w:hint="eastAsia" w:ascii="仿宋_GB2312" w:hAnsi="仿宋_GB2312" w:cs="仿宋_GB2312"/>
          <w:bCs/>
          <w:kern w:val="44"/>
          <w:sz w:val="32"/>
          <w:szCs w:val="32"/>
          <w:highlight w:val="none"/>
          <w:lang w:val="en-US" w:eastAsia="zh-CN"/>
        </w:rPr>
        <w:t>24.7</w:t>
      </w:r>
      <w:r>
        <w:rPr>
          <w:rFonts w:hint="eastAsia" w:ascii="仿宋_GB2312" w:hAnsi="仿宋_GB2312" w:eastAsia="仿宋_GB2312" w:cs="仿宋_GB2312"/>
          <w:bCs/>
          <w:kern w:val="44"/>
          <w:sz w:val="32"/>
          <w:szCs w:val="32"/>
          <w:highlight w:val="none"/>
          <w:lang w:val="en-US" w:eastAsia="zh-CN"/>
        </w:rPr>
        <w:t>万元，支出决算为24.70万元，完成年初预算的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711168A4">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（2）卫生健康支出（类）行政事业单位医疗（款）公务员医疗补助（项）年初预算为</w:t>
      </w:r>
      <w:r>
        <w:rPr>
          <w:rFonts w:hint="eastAsia" w:ascii="仿宋_GB2312" w:hAnsi="仿宋_GB2312" w:cs="仿宋_GB2312"/>
          <w:bCs/>
          <w:kern w:val="44"/>
          <w:sz w:val="32"/>
          <w:szCs w:val="32"/>
          <w:highlight w:val="none"/>
          <w:lang w:val="en-US" w:eastAsia="zh-CN"/>
        </w:rPr>
        <w:t>15.27</w:t>
      </w:r>
      <w:r>
        <w:rPr>
          <w:rFonts w:hint="eastAsia" w:ascii="仿宋_GB2312" w:hAnsi="仿宋_GB2312" w:eastAsia="仿宋_GB2312" w:cs="仿宋_GB2312"/>
          <w:bCs/>
          <w:kern w:val="44"/>
          <w:sz w:val="32"/>
          <w:szCs w:val="32"/>
          <w:highlight w:val="none"/>
          <w:lang w:val="en-US" w:eastAsia="zh-CN"/>
        </w:rPr>
        <w:t>万元，支出决算为15.27万元，完成年初预算的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7FDBE0DE">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
          <w:bCs w:val="0"/>
          <w:kern w:val="44"/>
          <w:sz w:val="32"/>
          <w:szCs w:val="32"/>
          <w:highlight w:val="none"/>
          <w:lang w:val="en-US" w:eastAsia="zh-CN"/>
        </w:rPr>
        <w:t>4.住房保障支出具体包括：</w:t>
      </w:r>
    </w:p>
    <w:p w14:paraId="60FE61B3">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（1）住房保障支出（类）住房改革支出（款）住房公积金（项）年初预算为 </w:t>
      </w:r>
      <w:r>
        <w:rPr>
          <w:rFonts w:hint="eastAsia" w:ascii="仿宋_GB2312" w:hAnsi="仿宋_GB2312" w:cs="仿宋_GB2312"/>
          <w:bCs/>
          <w:kern w:val="44"/>
          <w:sz w:val="32"/>
          <w:szCs w:val="32"/>
          <w:highlight w:val="none"/>
          <w:lang w:val="en-US" w:eastAsia="zh-CN"/>
        </w:rPr>
        <w:t>55.72</w:t>
      </w:r>
      <w:r>
        <w:rPr>
          <w:rFonts w:hint="eastAsia" w:ascii="仿宋_GB2312" w:hAnsi="仿宋_GB2312" w:eastAsia="仿宋_GB2312" w:cs="仿宋_GB2312"/>
          <w:bCs/>
          <w:kern w:val="44"/>
          <w:sz w:val="32"/>
          <w:szCs w:val="32"/>
          <w:highlight w:val="none"/>
          <w:lang w:val="en-US" w:eastAsia="zh-CN"/>
        </w:rPr>
        <w:t>万元，支出决算为55.72万元，完成年初预算的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190EBE8A">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（2）住房保障支出（类）住房改革支出（款）提租补贴（项）年初预算为 </w:t>
      </w:r>
      <w:r>
        <w:rPr>
          <w:rFonts w:hint="eastAsia" w:ascii="仿宋_GB2312" w:hAnsi="仿宋_GB2312" w:cs="仿宋_GB2312"/>
          <w:bCs/>
          <w:kern w:val="44"/>
          <w:sz w:val="32"/>
          <w:szCs w:val="32"/>
          <w:highlight w:val="none"/>
          <w:lang w:val="en-US" w:eastAsia="zh-CN"/>
        </w:rPr>
        <w:t>6.86</w:t>
      </w:r>
      <w:r>
        <w:rPr>
          <w:rFonts w:hint="eastAsia" w:ascii="仿宋_GB2312" w:hAnsi="仿宋_GB2312" w:eastAsia="仿宋_GB2312" w:cs="仿宋_GB2312"/>
          <w:bCs/>
          <w:kern w:val="44"/>
          <w:sz w:val="32"/>
          <w:szCs w:val="32"/>
          <w:highlight w:val="none"/>
          <w:lang w:val="en-US" w:eastAsia="zh-CN"/>
        </w:rPr>
        <w:t>万元，支出决算为6.86万元，完成年初预算的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w:t>
      </w:r>
      <w:r>
        <w:rPr>
          <w:rFonts w:hint="eastAsia" w:ascii="仿宋_GB2312" w:hAnsi="仿宋_GB2312" w:cs="仿宋_GB2312"/>
          <w:bCs/>
          <w:kern w:val="44"/>
          <w:sz w:val="32"/>
          <w:szCs w:val="32"/>
          <w:highlight w:val="none"/>
          <w:lang w:val="en-US" w:eastAsia="zh-CN"/>
        </w:rPr>
        <w:t>支出决算和年初预算一致</w:t>
      </w:r>
      <w:r>
        <w:rPr>
          <w:rFonts w:hint="eastAsia" w:ascii="仿宋_GB2312" w:hAnsi="仿宋_GB2312" w:eastAsia="仿宋_GB2312" w:cs="仿宋_GB2312"/>
          <w:bCs/>
          <w:kern w:val="44"/>
          <w:sz w:val="32"/>
          <w:szCs w:val="32"/>
          <w:highlight w:val="none"/>
          <w:lang w:val="en-US" w:eastAsia="zh-CN"/>
        </w:rPr>
        <w:t>。</w:t>
      </w:r>
    </w:p>
    <w:p w14:paraId="3EB36DE9">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lang w:val="en-US" w:eastAsia="zh-CN"/>
        </w:rPr>
      </w:pPr>
      <w:r>
        <w:rPr>
          <w:rFonts w:hint="eastAsia" w:ascii="黑体" w:hAnsi="黑体" w:eastAsia="黑体" w:cs="黑体"/>
          <w:lang w:val="en-US" w:eastAsia="zh-CN"/>
        </w:rPr>
        <w:t>六、一般公共预算财政拨款基本支出决算情况说明</w:t>
      </w:r>
    </w:p>
    <w:p w14:paraId="1B32FCC5">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cs="仿宋_GB2312"/>
          <w:lang w:val="en-US" w:eastAsia="zh-CN"/>
        </w:rPr>
        <w:t>2024</w:t>
      </w:r>
      <w:r>
        <w:rPr>
          <w:rFonts w:hint="eastAsia" w:ascii="仿宋_GB2312" w:hAnsi="仿宋_GB2312" w:eastAsia="仿宋_GB2312" w:cs="仿宋_GB2312"/>
          <w:lang w:val="en-US" w:eastAsia="zh-CN"/>
        </w:rPr>
        <w:t>年度一般公共预算财政拨款基本支出</w:t>
      </w:r>
      <w:r>
        <w:rPr>
          <w:rFonts w:hint="eastAsia" w:ascii="仿宋_GB2312" w:hAnsi="仿宋_GB2312" w:eastAsia="仿宋_GB2312" w:cs="仿宋_GB2312"/>
          <w:u w:val="none"/>
          <w:lang w:val="en-US" w:eastAsia="zh-CN"/>
        </w:rPr>
        <w:t>766.22</w:t>
      </w:r>
      <w:r>
        <w:rPr>
          <w:rFonts w:hint="eastAsia" w:ascii="仿宋_GB2312" w:hAnsi="仿宋_GB2312" w:eastAsia="仿宋_GB2312" w:cs="仿宋_GB2312"/>
          <w:lang w:val="en-US" w:eastAsia="zh-CN"/>
        </w:rPr>
        <w:t>万元，其中：</w:t>
      </w:r>
    </w:p>
    <w:p w14:paraId="7BFAE44D">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人员经费</w:t>
      </w:r>
      <w:r>
        <w:rPr>
          <w:rFonts w:hint="eastAsia" w:ascii="仿宋_GB2312" w:hAnsi="仿宋_GB2312" w:eastAsia="仿宋_GB2312" w:cs="仿宋_GB2312"/>
          <w:u w:val="none"/>
          <w:lang w:val="en-US" w:eastAsia="zh-CN"/>
        </w:rPr>
        <w:t>685.99</w:t>
      </w:r>
      <w:r>
        <w:rPr>
          <w:rFonts w:hint="eastAsia" w:ascii="仿宋_GB2312" w:hAnsi="仿宋_GB2312" w:eastAsia="仿宋_GB2312" w:cs="仿宋_GB2312"/>
          <w:lang w:val="en-US" w:eastAsia="zh-CN"/>
        </w:rPr>
        <w:t>万元，主要包括：基本工资</w:t>
      </w:r>
      <w:r>
        <w:rPr>
          <w:rFonts w:hint="eastAsia" w:ascii="仿宋_GB2312" w:hAnsi="仿宋_GB2312" w:cs="仿宋_GB2312"/>
          <w:lang w:val="en-US" w:eastAsia="zh-CN"/>
        </w:rPr>
        <w:t>171.92万元</w:t>
      </w:r>
      <w:r>
        <w:rPr>
          <w:rFonts w:hint="eastAsia" w:ascii="仿宋_GB2312" w:hAnsi="仿宋_GB2312" w:eastAsia="仿宋_GB2312" w:cs="仿宋_GB2312"/>
          <w:lang w:val="en-US" w:eastAsia="zh-CN"/>
        </w:rPr>
        <w:t>、津贴补贴</w:t>
      </w:r>
      <w:r>
        <w:rPr>
          <w:rFonts w:hint="eastAsia" w:ascii="仿宋_GB2312" w:hAnsi="仿宋_GB2312" w:cs="仿宋_GB2312"/>
          <w:lang w:val="en-US" w:eastAsia="zh-CN"/>
        </w:rPr>
        <w:t>99.29万元</w:t>
      </w:r>
      <w:r>
        <w:rPr>
          <w:rFonts w:hint="eastAsia" w:ascii="仿宋_GB2312" w:hAnsi="仿宋_GB2312" w:eastAsia="仿宋_GB2312" w:cs="仿宋_GB2312"/>
          <w:lang w:val="en-US" w:eastAsia="zh-CN"/>
        </w:rPr>
        <w:t>、奖金</w:t>
      </w:r>
      <w:r>
        <w:rPr>
          <w:rFonts w:hint="eastAsia" w:ascii="仿宋_GB2312" w:hAnsi="仿宋_GB2312" w:cs="仿宋_GB2312"/>
          <w:lang w:val="en-US" w:eastAsia="zh-CN"/>
        </w:rPr>
        <w:t>201.51万元</w:t>
      </w:r>
      <w:r>
        <w:rPr>
          <w:rFonts w:hint="eastAsia" w:ascii="仿宋_GB2312" w:hAnsi="仿宋_GB2312" w:eastAsia="仿宋_GB2312" w:cs="仿宋_GB2312"/>
          <w:lang w:val="en-US" w:eastAsia="zh-CN"/>
        </w:rPr>
        <w:t>、绩效工资</w:t>
      </w:r>
      <w:r>
        <w:rPr>
          <w:rFonts w:hint="eastAsia" w:ascii="仿宋_GB2312" w:hAnsi="仿宋_GB2312" w:cs="仿宋_GB2312"/>
          <w:lang w:val="en-US" w:eastAsia="zh-CN"/>
        </w:rPr>
        <w:t>4.9万元</w:t>
      </w:r>
      <w:r>
        <w:rPr>
          <w:rFonts w:hint="eastAsia" w:ascii="仿宋_GB2312" w:hAnsi="仿宋_GB2312" w:eastAsia="仿宋_GB2312" w:cs="仿宋_GB2312"/>
          <w:lang w:val="en-US" w:eastAsia="zh-CN"/>
        </w:rPr>
        <w:t>、机关事业单位基本养老保险缴费</w:t>
      </w:r>
      <w:r>
        <w:rPr>
          <w:rFonts w:hint="eastAsia" w:ascii="仿宋_GB2312" w:hAnsi="仿宋_GB2312" w:cs="仿宋_GB2312"/>
          <w:lang w:val="en-US" w:eastAsia="zh-CN"/>
        </w:rPr>
        <w:t>57.94万元</w:t>
      </w:r>
      <w:r>
        <w:rPr>
          <w:rFonts w:hint="eastAsia" w:ascii="仿宋_GB2312" w:hAnsi="仿宋_GB2312" w:eastAsia="仿宋_GB2312" w:cs="仿宋_GB2312"/>
          <w:lang w:val="en-US" w:eastAsia="zh-CN"/>
        </w:rPr>
        <w:t>、职业年金缴费</w:t>
      </w:r>
      <w:r>
        <w:rPr>
          <w:rFonts w:hint="eastAsia" w:ascii="仿宋_GB2312" w:hAnsi="仿宋_GB2312" w:cs="仿宋_GB2312"/>
          <w:lang w:val="en-US" w:eastAsia="zh-CN"/>
        </w:rPr>
        <w:t>41.17万元</w:t>
      </w:r>
      <w:r>
        <w:rPr>
          <w:rFonts w:hint="eastAsia" w:ascii="仿宋_GB2312" w:hAnsi="仿宋_GB2312" w:eastAsia="仿宋_GB2312" w:cs="仿宋_GB2312"/>
          <w:lang w:val="en-US" w:eastAsia="zh-CN"/>
        </w:rPr>
        <w:t>、职工基本医疗保险缴费</w:t>
      </w:r>
      <w:r>
        <w:rPr>
          <w:rFonts w:hint="eastAsia" w:ascii="仿宋_GB2312" w:hAnsi="仿宋_GB2312" w:cs="仿宋_GB2312"/>
          <w:lang w:val="en-US" w:eastAsia="zh-CN"/>
        </w:rPr>
        <w:t>27.59万元</w:t>
      </w:r>
      <w:r>
        <w:rPr>
          <w:rFonts w:hint="eastAsia" w:ascii="仿宋_GB2312" w:hAnsi="仿宋_GB2312" w:eastAsia="仿宋_GB2312" w:cs="仿宋_GB2312"/>
          <w:lang w:val="en-US" w:eastAsia="zh-CN"/>
        </w:rPr>
        <w:t>、公务员医疗补助缴费</w:t>
      </w:r>
      <w:r>
        <w:rPr>
          <w:rFonts w:hint="eastAsia" w:ascii="仿宋_GB2312" w:hAnsi="仿宋_GB2312" w:cs="仿宋_GB2312"/>
          <w:lang w:val="en-US" w:eastAsia="zh-CN"/>
        </w:rPr>
        <w:t>17.06万元</w:t>
      </w:r>
      <w:r>
        <w:rPr>
          <w:rFonts w:hint="eastAsia" w:ascii="仿宋_GB2312" w:hAnsi="仿宋_GB2312" w:eastAsia="仿宋_GB2312" w:cs="仿宋_GB2312"/>
          <w:lang w:val="en-US" w:eastAsia="zh-CN"/>
        </w:rPr>
        <w:t>、其他社会保障缴费</w:t>
      </w:r>
      <w:r>
        <w:rPr>
          <w:rFonts w:hint="eastAsia" w:ascii="仿宋_GB2312" w:hAnsi="仿宋_GB2312" w:cs="仿宋_GB2312"/>
          <w:lang w:val="en-US" w:eastAsia="zh-CN"/>
        </w:rPr>
        <w:t>0.82万元</w:t>
      </w:r>
      <w:r>
        <w:rPr>
          <w:rFonts w:hint="eastAsia" w:ascii="仿宋_GB2312" w:hAnsi="仿宋_GB2312" w:eastAsia="仿宋_GB2312" w:cs="仿宋_GB2312"/>
          <w:lang w:val="en-US" w:eastAsia="zh-CN"/>
        </w:rPr>
        <w:t>、住房公积金</w:t>
      </w:r>
      <w:r>
        <w:rPr>
          <w:rFonts w:hint="eastAsia" w:ascii="仿宋_GB2312" w:hAnsi="仿宋_GB2312" w:cs="仿宋_GB2312"/>
          <w:lang w:val="en-US" w:eastAsia="zh-CN"/>
        </w:rPr>
        <w:t>55.72万元</w:t>
      </w:r>
      <w:r>
        <w:rPr>
          <w:rFonts w:hint="eastAsia" w:ascii="仿宋_GB2312" w:hAnsi="仿宋_GB2312" w:eastAsia="仿宋_GB2312" w:cs="仿宋_GB2312"/>
          <w:lang w:val="en-US" w:eastAsia="zh-CN"/>
        </w:rPr>
        <w:t>、医疗费补助</w:t>
      </w:r>
      <w:r>
        <w:rPr>
          <w:rFonts w:hint="eastAsia" w:ascii="仿宋_GB2312" w:hAnsi="仿宋_GB2312" w:cs="仿宋_GB2312"/>
          <w:lang w:val="en-US" w:eastAsia="zh-CN"/>
        </w:rPr>
        <w:t>8.07万元</w:t>
      </w:r>
      <w:r>
        <w:rPr>
          <w:rFonts w:hint="eastAsia" w:ascii="仿宋_GB2312" w:hAnsi="仿宋_GB2312" w:eastAsia="仿宋_GB2312" w:cs="仿宋_GB2312"/>
          <w:lang w:val="en-US" w:eastAsia="zh-CN"/>
        </w:rPr>
        <w:t>。</w:t>
      </w:r>
    </w:p>
    <w:p w14:paraId="77EABAFD">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公用经费</w:t>
      </w:r>
      <w:r>
        <w:rPr>
          <w:rFonts w:hint="eastAsia" w:ascii="仿宋_GB2312" w:hAnsi="仿宋_GB2312" w:eastAsia="仿宋_GB2312" w:cs="仿宋_GB2312"/>
          <w:u w:val="none"/>
          <w:lang w:val="en-US" w:eastAsia="zh-CN"/>
        </w:rPr>
        <w:t>80.23</w:t>
      </w:r>
      <w:r>
        <w:rPr>
          <w:rFonts w:hint="eastAsia" w:ascii="仿宋_GB2312" w:hAnsi="仿宋_GB2312" w:eastAsia="仿宋_GB2312" w:cs="仿宋_GB2312"/>
          <w:lang w:val="en-US" w:eastAsia="zh-CN"/>
        </w:rPr>
        <w:t>万元，主要包括：办公费</w:t>
      </w:r>
      <w:r>
        <w:rPr>
          <w:rFonts w:hint="eastAsia" w:ascii="仿宋_GB2312" w:hAnsi="仿宋_GB2312" w:cs="仿宋_GB2312"/>
          <w:lang w:val="en-US" w:eastAsia="zh-CN"/>
        </w:rPr>
        <w:t>0.36万元</w:t>
      </w:r>
      <w:r>
        <w:rPr>
          <w:rFonts w:hint="eastAsia" w:ascii="仿宋_GB2312" w:hAnsi="仿宋_GB2312" w:eastAsia="仿宋_GB2312" w:cs="仿宋_GB2312"/>
          <w:lang w:val="en-US" w:eastAsia="zh-CN"/>
        </w:rPr>
        <w:t>、电费</w:t>
      </w:r>
      <w:r>
        <w:rPr>
          <w:rFonts w:hint="eastAsia" w:ascii="仿宋_GB2312" w:hAnsi="仿宋_GB2312" w:cs="仿宋_GB2312"/>
          <w:lang w:val="en-US" w:eastAsia="zh-CN"/>
        </w:rPr>
        <w:t>6.45万元</w:t>
      </w:r>
      <w:r>
        <w:rPr>
          <w:rFonts w:hint="eastAsia" w:ascii="仿宋_GB2312" w:hAnsi="仿宋_GB2312" w:eastAsia="仿宋_GB2312" w:cs="仿宋_GB2312"/>
          <w:lang w:val="en-US" w:eastAsia="zh-CN"/>
        </w:rPr>
        <w:t>、邮电费</w:t>
      </w:r>
      <w:r>
        <w:rPr>
          <w:rFonts w:hint="eastAsia" w:ascii="仿宋_GB2312" w:hAnsi="仿宋_GB2312" w:cs="仿宋_GB2312"/>
          <w:lang w:val="en-US" w:eastAsia="zh-CN"/>
        </w:rPr>
        <w:t>0.72万元</w:t>
      </w:r>
      <w:r>
        <w:rPr>
          <w:rFonts w:hint="eastAsia" w:ascii="仿宋_GB2312" w:hAnsi="仿宋_GB2312" w:eastAsia="仿宋_GB2312" w:cs="仿宋_GB2312"/>
          <w:lang w:val="en-US" w:eastAsia="zh-CN"/>
        </w:rPr>
        <w:t>、物业管理费</w:t>
      </w:r>
      <w:r>
        <w:rPr>
          <w:rFonts w:hint="eastAsia" w:ascii="仿宋_GB2312" w:hAnsi="仿宋_GB2312" w:cs="仿宋_GB2312"/>
          <w:lang w:val="en-US" w:eastAsia="zh-CN"/>
        </w:rPr>
        <w:t>1.1万元</w:t>
      </w:r>
      <w:r>
        <w:rPr>
          <w:rFonts w:hint="eastAsia" w:ascii="仿宋_GB2312" w:hAnsi="仿宋_GB2312" w:eastAsia="仿宋_GB2312" w:cs="仿宋_GB2312"/>
          <w:lang w:val="en-US" w:eastAsia="zh-CN"/>
        </w:rPr>
        <w:t>、差旅费</w:t>
      </w:r>
      <w:r>
        <w:rPr>
          <w:rFonts w:hint="eastAsia" w:ascii="仿宋_GB2312" w:hAnsi="仿宋_GB2312" w:cs="仿宋_GB2312"/>
          <w:lang w:val="en-US" w:eastAsia="zh-CN"/>
        </w:rPr>
        <w:t>3.83万元</w:t>
      </w:r>
      <w:r>
        <w:rPr>
          <w:rFonts w:hint="eastAsia" w:ascii="仿宋_GB2312" w:hAnsi="仿宋_GB2312" w:eastAsia="仿宋_GB2312" w:cs="仿宋_GB2312"/>
          <w:lang w:val="en-US" w:eastAsia="zh-CN"/>
        </w:rPr>
        <w:t>、维修(护)费</w:t>
      </w:r>
      <w:r>
        <w:rPr>
          <w:rFonts w:hint="eastAsia" w:ascii="仿宋_GB2312" w:hAnsi="仿宋_GB2312" w:cs="仿宋_GB2312"/>
          <w:lang w:val="en-US" w:eastAsia="zh-CN"/>
        </w:rPr>
        <w:t>0.27万元</w:t>
      </w:r>
      <w:r>
        <w:rPr>
          <w:rFonts w:hint="eastAsia" w:ascii="仿宋_GB2312" w:hAnsi="仿宋_GB2312" w:eastAsia="仿宋_GB2312" w:cs="仿宋_GB2312"/>
          <w:lang w:val="en-US" w:eastAsia="zh-CN"/>
        </w:rPr>
        <w:t>、会议费</w:t>
      </w:r>
      <w:r>
        <w:rPr>
          <w:rFonts w:hint="eastAsia" w:ascii="仿宋_GB2312" w:hAnsi="仿宋_GB2312" w:cs="仿宋_GB2312"/>
          <w:lang w:val="en-US" w:eastAsia="zh-CN"/>
        </w:rPr>
        <w:t>3.4万元</w:t>
      </w:r>
      <w:r>
        <w:rPr>
          <w:rFonts w:hint="eastAsia" w:ascii="仿宋_GB2312" w:hAnsi="仿宋_GB2312" w:eastAsia="仿宋_GB2312" w:cs="仿宋_GB2312"/>
          <w:lang w:val="en-US" w:eastAsia="zh-CN"/>
        </w:rPr>
        <w:t>、公务接待费</w:t>
      </w:r>
      <w:r>
        <w:rPr>
          <w:rFonts w:hint="eastAsia" w:ascii="仿宋_GB2312" w:hAnsi="仿宋_GB2312" w:cs="仿宋_GB2312"/>
          <w:lang w:val="en-US" w:eastAsia="zh-CN"/>
        </w:rPr>
        <w:t>1.74万元</w:t>
      </w:r>
      <w:r>
        <w:rPr>
          <w:rFonts w:hint="eastAsia" w:ascii="仿宋_GB2312" w:hAnsi="仿宋_GB2312" w:eastAsia="仿宋_GB2312" w:cs="仿宋_GB2312"/>
          <w:lang w:val="en-US" w:eastAsia="zh-CN"/>
        </w:rPr>
        <w:t>、劳务费</w:t>
      </w:r>
      <w:r>
        <w:rPr>
          <w:rFonts w:hint="eastAsia" w:ascii="仿宋_GB2312" w:hAnsi="仿宋_GB2312" w:cs="仿宋_GB2312"/>
          <w:lang w:val="en-US" w:eastAsia="zh-CN"/>
        </w:rPr>
        <w:t>2.42万元</w:t>
      </w:r>
      <w:r>
        <w:rPr>
          <w:rFonts w:hint="eastAsia" w:ascii="仿宋_GB2312" w:hAnsi="仿宋_GB2312" w:eastAsia="仿宋_GB2312" w:cs="仿宋_GB2312"/>
          <w:lang w:val="en-US" w:eastAsia="zh-CN"/>
        </w:rPr>
        <w:t>、委托业务费</w:t>
      </w:r>
      <w:r>
        <w:rPr>
          <w:rFonts w:hint="eastAsia" w:ascii="仿宋_GB2312" w:hAnsi="仿宋_GB2312" w:cs="仿宋_GB2312"/>
          <w:lang w:val="en-US" w:eastAsia="zh-CN"/>
        </w:rPr>
        <w:t>0.12万元</w:t>
      </w:r>
      <w:r>
        <w:rPr>
          <w:rFonts w:hint="eastAsia" w:ascii="仿宋_GB2312" w:hAnsi="仿宋_GB2312" w:eastAsia="仿宋_GB2312" w:cs="仿宋_GB2312"/>
          <w:lang w:val="en-US" w:eastAsia="zh-CN"/>
        </w:rPr>
        <w:t>、工会经费</w:t>
      </w:r>
      <w:r>
        <w:rPr>
          <w:rFonts w:hint="eastAsia" w:ascii="仿宋_GB2312" w:hAnsi="仿宋_GB2312" w:cs="仿宋_GB2312"/>
          <w:lang w:val="en-US" w:eastAsia="zh-CN"/>
        </w:rPr>
        <w:t>10.26万元</w:t>
      </w:r>
      <w:r>
        <w:rPr>
          <w:rFonts w:hint="eastAsia" w:ascii="仿宋_GB2312" w:hAnsi="仿宋_GB2312" w:eastAsia="仿宋_GB2312" w:cs="仿宋_GB2312"/>
          <w:lang w:val="en-US" w:eastAsia="zh-CN"/>
        </w:rPr>
        <w:t>、福利费</w:t>
      </w:r>
      <w:r>
        <w:rPr>
          <w:rFonts w:hint="eastAsia" w:ascii="仿宋_GB2312" w:hAnsi="仿宋_GB2312" w:cs="仿宋_GB2312"/>
          <w:lang w:val="en-US" w:eastAsia="zh-CN"/>
        </w:rPr>
        <w:t>16.42万元</w:t>
      </w:r>
      <w:r>
        <w:rPr>
          <w:rFonts w:hint="eastAsia" w:ascii="仿宋_GB2312" w:hAnsi="仿宋_GB2312" w:eastAsia="仿宋_GB2312" w:cs="仿宋_GB2312"/>
          <w:lang w:val="en-US" w:eastAsia="zh-CN"/>
        </w:rPr>
        <w:t>、公务用车运行维护费</w:t>
      </w:r>
      <w:r>
        <w:rPr>
          <w:rFonts w:hint="eastAsia" w:ascii="仿宋_GB2312" w:hAnsi="仿宋_GB2312" w:cs="仿宋_GB2312"/>
          <w:lang w:val="en-US" w:eastAsia="zh-CN"/>
        </w:rPr>
        <w:t>4.75万元</w:t>
      </w:r>
      <w:r>
        <w:rPr>
          <w:rFonts w:hint="eastAsia" w:ascii="仿宋_GB2312" w:hAnsi="仿宋_GB2312" w:eastAsia="仿宋_GB2312" w:cs="仿宋_GB2312"/>
          <w:lang w:val="en-US" w:eastAsia="zh-CN"/>
        </w:rPr>
        <w:t>、其他交通费用</w:t>
      </w:r>
      <w:r>
        <w:rPr>
          <w:rFonts w:hint="eastAsia" w:ascii="仿宋_GB2312" w:hAnsi="仿宋_GB2312" w:cs="仿宋_GB2312"/>
          <w:lang w:val="en-US" w:eastAsia="zh-CN"/>
        </w:rPr>
        <w:t>23.03万元</w:t>
      </w:r>
      <w:r>
        <w:rPr>
          <w:rFonts w:hint="eastAsia" w:ascii="仿宋_GB2312" w:hAnsi="仿宋_GB2312" w:eastAsia="仿宋_GB2312" w:cs="仿宋_GB2312"/>
          <w:lang w:val="en-US" w:eastAsia="zh-CN"/>
        </w:rPr>
        <w:t>、</w:t>
      </w:r>
      <w:r>
        <w:rPr>
          <w:rFonts w:hint="eastAsia" w:ascii="仿宋_GB2312" w:hAnsi="仿宋_GB2312" w:cs="仿宋_GB2312"/>
          <w:lang w:val="en-US" w:eastAsia="zh-CN"/>
        </w:rPr>
        <w:t>其他商品和服务支出5.21、</w:t>
      </w:r>
      <w:r>
        <w:rPr>
          <w:rFonts w:hint="eastAsia" w:ascii="仿宋_GB2312" w:hAnsi="仿宋_GB2312" w:eastAsia="仿宋_GB2312" w:cs="仿宋_GB2312"/>
          <w:lang w:val="en-US" w:eastAsia="zh-CN"/>
        </w:rPr>
        <w:t>专用设备购置</w:t>
      </w:r>
      <w:r>
        <w:rPr>
          <w:rFonts w:hint="eastAsia" w:ascii="仿宋_GB2312" w:hAnsi="仿宋_GB2312" w:cs="仿宋_GB2312"/>
          <w:lang w:val="en-US" w:eastAsia="zh-CN"/>
        </w:rPr>
        <w:t>0.12万元</w:t>
      </w:r>
      <w:r>
        <w:rPr>
          <w:rFonts w:hint="eastAsia" w:ascii="仿宋_GB2312" w:hAnsi="仿宋_GB2312" w:eastAsia="仿宋_GB2312" w:cs="仿宋_GB2312"/>
          <w:lang w:val="en-US" w:eastAsia="zh-CN"/>
        </w:rPr>
        <w:t>。</w:t>
      </w:r>
    </w:p>
    <w:p w14:paraId="3AD6A93A">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lang w:val="en-US" w:eastAsia="zh-CN"/>
        </w:rPr>
        <w:t xml:space="preserve">七、政府性基金预算财政拨款收入支出决算情况说明 </w:t>
      </w:r>
    </w:p>
    <w:p w14:paraId="32E5575F">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default"/>
          <w:b/>
          <w:bCs/>
          <w:lang w:val="en-US" w:eastAsia="zh-CN"/>
        </w:rPr>
      </w:pPr>
      <w:r>
        <w:rPr>
          <w:rFonts w:hint="eastAsia" w:ascii="仿宋_GB2312" w:hAnsi="仿宋_GB2312" w:cs="仿宋_GB2312"/>
          <w:sz w:val="32"/>
          <w:szCs w:val="32"/>
          <w:lang w:val="en-US" w:eastAsia="zh-CN"/>
        </w:rPr>
        <w:t xml:space="preserve"> 2023年度政府性基金预算财政拨款年初结转和结余0 万元,本年收入0万元,本年支出0万元,年末结转和结余0万元。具体支出情况为:本单位当年无政府性基金预算财政拨款收入支出。</w:t>
      </w:r>
    </w:p>
    <w:p w14:paraId="16553988">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八、国有资本经营预算财政拨款支出决算情况说明</w:t>
      </w:r>
    </w:p>
    <w:p w14:paraId="66943F8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2023 年度国有资本经营预算财政拨款本年支出0万元。具体支出情况为:本单位当年无国有资本经营预算财政拨款支出。</w:t>
      </w:r>
    </w:p>
    <w:p w14:paraId="687F2A03">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 xml:space="preserve">九、财政拨款“三公”经费支出决算情况说明 </w:t>
      </w:r>
    </w:p>
    <w:p w14:paraId="4165708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（一）“三公”经费财政拨款支出决算总体情况说明</w:t>
      </w:r>
    </w:p>
    <w:p w14:paraId="3F91B384">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hAnsi="仿宋_GB2312" w:cs="仿宋_GB2312"/>
          <w:sz w:val="32"/>
          <w:szCs w:val="32"/>
          <w:highlight w:val="yellow"/>
          <w:lang w:val="en-US" w:eastAsia="zh-CN"/>
        </w:rPr>
      </w:pPr>
      <w:r>
        <w:rPr>
          <w:rFonts w:hint="eastAsia" w:ascii="仿宋_GB2312" w:eastAsia="仿宋_GB2312"/>
          <w:color w:val="000000"/>
          <w:szCs w:val="32"/>
          <w:highlight w:val="none"/>
          <w:lang w:val="en-US" w:eastAsia="zh-CN"/>
        </w:rPr>
        <w:t>2024年度“三公”经费财政拨款支出全年预算为13.44万元，支出决算为13.44万元，完成全年预算的100.0%。较上年增加5.48万元，增长68.8%,决算数持平全年预算数的主要原因：</w:t>
      </w:r>
      <w:r>
        <w:rPr>
          <w:rFonts w:hint="eastAsia" w:ascii="仿宋_GB2312"/>
          <w:color w:val="000000"/>
          <w:szCs w:val="32"/>
          <w:highlight w:val="none"/>
          <w:lang w:val="en-US" w:eastAsia="zh-CN"/>
        </w:rPr>
        <w:t>严格按照预算执行</w:t>
      </w:r>
      <w:r>
        <w:rPr>
          <w:rFonts w:hint="eastAsia" w:ascii="仿宋_GB2312" w:eastAsia="仿宋_GB2312"/>
          <w:color w:val="000000"/>
          <w:szCs w:val="32"/>
          <w:highlight w:val="none"/>
          <w:lang w:val="en-US" w:eastAsia="zh-CN"/>
        </w:rPr>
        <w:t>。决算数较上年增加的主要原因：主要是跟随省委组织部组织的出境考察活动</w:t>
      </w:r>
      <w:r>
        <w:rPr>
          <w:rFonts w:hint="eastAsia" w:ascii="仿宋_GB2312" w:hAnsi="仿宋_GB2312" w:cs="仿宋_GB2312"/>
          <w:sz w:val="32"/>
          <w:szCs w:val="32"/>
          <w:highlight w:val="none"/>
          <w:lang w:val="en-US" w:eastAsia="zh-CN"/>
        </w:rPr>
        <w:t>。</w:t>
      </w:r>
    </w:p>
    <w:p w14:paraId="542FF16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（二）“三公”经费财政拨款支出决算具体情况说明。</w:t>
      </w:r>
    </w:p>
    <w:p w14:paraId="25D2F1D9">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default" w:ascii="仿宋_GB2312" w:eastAsia="仿宋_GB2312"/>
          <w:color w:val="000000"/>
          <w:szCs w:val="32"/>
          <w:highlight w:val="none"/>
          <w:u w:val="none"/>
          <w:lang w:val="en-US" w:eastAsia="zh-CN"/>
        </w:rPr>
      </w:pPr>
      <w:r>
        <w:rPr>
          <w:rFonts w:hint="eastAsia" w:ascii="仿宋_GB2312" w:eastAsia="仿宋_GB2312"/>
          <w:color w:val="000000"/>
          <w:szCs w:val="32"/>
          <w:highlight w:val="none"/>
          <w:lang w:val="en-US" w:eastAsia="zh-CN"/>
        </w:rPr>
        <w:t>1.因公出国(境)费</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预算为</w:t>
      </w:r>
      <w:r>
        <w:rPr>
          <w:rFonts w:hint="eastAsia" w:ascii="仿宋_GB2312" w:eastAsia="仿宋_GB2312"/>
          <w:color w:val="000000"/>
          <w:szCs w:val="32"/>
          <w:highlight w:val="none"/>
          <w:u w:val="none"/>
          <w:lang w:val="en-US" w:eastAsia="zh-CN"/>
        </w:rPr>
        <w:t>6.95万元，</w:t>
      </w:r>
      <w:r>
        <w:rPr>
          <w:rFonts w:hint="eastAsia" w:ascii="仿宋_GB2312" w:eastAsia="仿宋_GB2312"/>
          <w:color w:val="000000"/>
          <w:szCs w:val="32"/>
          <w:highlight w:val="none"/>
          <w:lang w:val="en-US" w:eastAsia="zh-CN"/>
        </w:rPr>
        <w:t>支出决算为</w:t>
      </w:r>
      <w:r>
        <w:rPr>
          <w:rFonts w:hint="eastAsia" w:ascii="仿宋_GB2312" w:eastAsia="仿宋_GB2312"/>
          <w:color w:val="000000"/>
          <w:szCs w:val="32"/>
          <w:highlight w:val="none"/>
          <w:u w:val="none"/>
          <w:lang w:val="en-US" w:eastAsia="zh-CN"/>
        </w:rPr>
        <w:t>6.95</w:t>
      </w:r>
      <w:r>
        <w:rPr>
          <w:rFonts w:hint="eastAsia" w:ascii="仿宋_GB2312" w:eastAsia="仿宋_GB2312"/>
          <w:color w:val="000000"/>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预算的</w:t>
      </w:r>
      <w:r>
        <w:rPr>
          <w:rFonts w:hint="eastAsia" w:ascii="仿宋_GB2312" w:eastAsia="仿宋_GB2312"/>
          <w:color w:val="000000"/>
          <w:szCs w:val="32"/>
          <w:highlight w:val="none"/>
          <w:u w:val="none"/>
          <w:lang w:val="en-US" w:eastAsia="zh-CN"/>
        </w:rPr>
        <w:t>100.0</w:t>
      </w:r>
      <w:r>
        <w:rPr>
          <w:rFonts w:hint="eastAsia" w:ascii="仿宋_GB2312" w:eastAsia="仿宋_GB2312"/>
          <w:color w:val="000000"/>
          <w:szCs w:val="32"/>
          <w:highlight w:val="none"/>
          <w:lang w:val="en-US" w:eastAsia="zh-CN"/>
        </w:rPr>
        <w:t>%</w:t>
      </w:r>
      <w:r>
        <w:rPr>
          <w:rFonts w:hint="eastAsia" w:ascii="仿宋_GB2312"/>
          <w:color w:val="000000"/>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增加6.95万元，增长0.00%</w:t>
      </w:r>
      <w:r>
        <w:rPr>
          <w:rFonts w:hint="eastAsia"/>
          <w:lang w:val="en-US" w:eastAsia="zh-CN"/>
        </w:rPr>
        <w:t>。</w:t>
      </w:r>
      <w:r>
        <w:rPr>
          <w:rFonts w:hint="eastAsia" w:ascii="仿宋_GB2312" w:eastAsia="仿宋_GB2312"/>
          <w:color w:val="000000"/>
          <w:szCs w:val="32"/>
          <w:highlight w:val="none"/>
          <w:lang w:val="en-US" w:eastAsia="zh-CN"/>
        </w:rPr>
        <w:t>决算数持平全年预算数的主要原因：</w:t>
      </w:r>
      <w:r>
        <w:rPr>
          <w:rFonts w:hint="eastAsia" w:ascii="仿宋_GB2312"/>
          <w:color w:val="000000"/>
          <w:szCs w:val="32"/>
          <w:highlight w:val="none"/>
          <w:lang w:val="en-US" w:eastAsia="zh-CN"/>
        </w:rPr>
        <w:t>严格按照预算执行</w:t>
      </w:r>
      <w:r>
        <w:rPr>
          <w:rFonts w:hint="eastAsia" w:ascii="仿宋_GB2312" w:eastAsia="仿宋_GB2312"/>
          <w:color w:val="000000"/>
          <w:szCs w:val="32"/>
          <w:highlight w:val="none"/>
          <w:lang w:val="en-US" w:eastAsia="zh-CN"/>
        </w:rPr>
        <w:t>。决算数较上年增加的主要原因：主要是跟随</w:t>
      </w:r>
      <w:r>
        <w:rPr>
          <w:rFonts w:hint="eastAsia" w:ascii="仿宋_GB2312"/>
          <w:color w:val="000000"/>
          <w:szCs w:val="32"/>
          <w:highlight w:val="none"/>
          <w:lang w:val="en-US" w:eastAsia="zh-CN"/>
        </w:rPr>
        <w:t>市委市政府领导同志</w:t>
      </w:r>
      <w:r>
        <w:rPr>
          <w:rFonts w:hint="eastAsia" w:ascii="仿宋_GB2312" w:eastAsia="仿宋_GB2312"/>
          <w:color w:val="000000"/>
          <w:szCs w:val="32"/>
          <w:highlight w:val="none"/>
          <w:lang w:val="en-US" w:eastAsia="zh-CN"/>
        </w:rPr>
        <w:t>出境</w:t>
      </w:r>
      <w:r>
        <w:rPr>
          <w:rFonts w:hint="eastAsia" w:ascii="仿宋_GB2312"/>
          <w:color w:val="000000"/>
          <w:szCs w:val="32"/>
          <w:highlight w:val="none"/>
          <w:lang w:val="en-US" w:eastAsia="zh-CN"/>
        </w:rPr>
        <w:t>开展招商和人才引进</w:t>
      </w:r>
      <w:r>
        <w:rPr>
          <w:rFonts w:hint="eastAsia" w:ascii="仿宋_GB2312" w:eastAsia="仿宋_GB2312"/>
          <w:color w:val="000000"/>
          <w:szCs w:val="32"/>
          <w:highlight w:val="none"/>
          <w:lang w:val="en-US" w:eastAsia="zh-CN"/>
        </w:rPr>
        <w:t>考察活动</w:t>
      </w:r>
      <w:r>
        <w:rPr>
          <w:rFonts w:hint="eastAsia" w:ascii="仿宋_GB2312" w:hAnsi="仿宋_GB2312" w:cs="仿宋_GB2312"/>
          <w:sz w:val="32"/>
          <w:szCs w:val="32"/>
          <w:lang w:val="en-US" w:eastAsia="zh-CN"/>
        </w:rPr>
        <w:t>。</w:t>
      </w:r>
      <w:r>
        <w:rPr>
          <w:rFonts w:hint="eastAsia"/>
          <w:lang w:val="en-US" w:eastAsia="zh-CN"/>
        </w:rPr>
        <w:t>全年支出涉及出国（境）团组1个，累计</w:t>
      </w:r>
      <w:r>
        <w:rPr>
          <w:rFonts w:hint="eastAsia" w:ascii="仿宋_GB2312" w:cs="仿宋_GB2312"/>
          <w:szCs w:val="32"/>
          <w:lang w:val="en-US" w:eastAsia="zh-CN" w:bidi="ar"/>
        </w:rPr>
        <w:t>1</w:t>
      </w:r>
      <w:r>
        <w:rPr>
          <w:rFonts w:hint="eastAsia" w:ascii="仿宋_GB2312" w:eastAsia="仿宋_GB2312"/>
          <w:color w:val="000000"/>
          <w:szCs w:val="32"/>
          <w:highlight w:val="none"/>
          <w:u w:val="none"/>
          <w:lang w:val="en-US" w:eastAsia="zh-CN"/>
        </w:rPr>
        <w:t>人次，主要用于</w:t>
      </w:r>
      <w:r>
        <w:rPr>
          <w:rFonts w:hint="eastAsia" w:ascii="仿宋_GB2312"/>
          <w:color w:val="000000"/>
          <w:szCs w:val="32"/>
          <w:highlight w:val="none"/>
          <w:u w:val="none"/>
          <w:lang w:val="en-US" w:eastAsia="zh-CN"/>
        </w:rPr>
        <w:t>出国访问（南非、埃及土耳其）</w:t>
      </w:r>
      <w:r>
        <w:rPr>
          <w:rFonts w:hint="eastAsia" w:ascii="仿宋_GB2312" w:eastAsia="仿宋_GB2312"/>
          <w:color w:val="000000"/>
          <w:szCs w:val="32"/>
          <w:highlight w:val="none"/>
          <w:u w:val="none"/>
          <w:lang w:val="en-US" w:eastAsia="zh-CN"/>
        </w:rPr>
        <w:t>。</w:t>
      </w:r>
    </w:p>
    <w:p w14:paraId="20389CA9">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2.公务用车购置及运行费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r>
        <w:rPr>
          <w:rFonts w:hint="eastAsia" w:ascii="仿宋_GB2312" w:cs="仿宋_GB2312"/>
          <w:szCs w:val="32"/>
          <w:lang w:val="en-US" w:eastAsia="zh-CN" w:bidi="ar"/>
        </w:rPr>
        <w:t>4.75</w:t>
      </w:r>
      <w:r>
        <w:rPr>
          <w:rFonts w:hint="eastAsia" w:ascii="仿宋_GB2312"/>
          <w:color w:val="000000"/>
          <w:sz w:val="32"/>
          <w:szCs w:val="32"/>
          <w:highlight w:val="none"/>
          <w:u w:val="none"/>
          <w:lang w:val="en-US" w:eastAsia="zh-CN"/>
        </w:rPr>
        <w:t>万元，</w:t>
      </w:r>
      <w:r>
        <w:rPr>
          <w:rFonts w:hint="eastAsia" w:ascii="仿宋_GB2312" w:eastAsia="仿宋_GB2312"/>
          <w:color w:val="000000"/>
          <w:sz w:val="32"/>
          <w:szCs w:val="32"/>
          <w:highlight w:val="none"/>
          <w:lang w:val="en-US" w:eastAsia="zh-CN"/>
        </w:rPr>
        <w:t>支出决算为</w:t>
      </w:r>
      <w:r>
        <w:rPr>
          <w:rFonts w:hint="eastAsia" w:ascii="仿宋_GB2312" w:cs="仿宋_GB2312"/>
          <w:szCs w:val="32"/>
          <w:lang w:val="en-US" w:eastAsia="zh-CN" w:bidi="ar"/>
        </w:rPr>
        <w:t>4.75</w:t>
      </w:r>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r>
        <w:rPr>
          <w:rFonts w:hint="eastAsia" w:ascii="仿宋_GB2312" w:cs="仿宋_GB2312"/>
          <w:szCs w:val="32"/>
          <w:lang w:val="en-US" w:eastAsia="zh-CN" w:bidi="ar"/>
        </w:rPr>
        <w:t>100.0</w:t>
      </w:r>
      <w:r>
        <w:rPr>
          <w:rFonts w:hint="eastAsia" w:ascii="仿宋_GB2312" w:eastAsia="仿宋_GB2312"/>
          <w:color w:val="000000"/>
          <w:sz w:val="32"/>
          <w:szCs w:val="32"/>
          <w:highlight w:val="none"/>
          <w:lang w:val="en-US" w:eastAsia="zh-CN"/>
        </w:rPr>
        <w:t>%；</w:t>
      </w:r>
      <w:r>
        <w:rPr>
          <w:rFonts w:hint="eastAsia" w:ascii="仿宋_GB2312" w:hAnsi="仿宋_GB2312" w:cs="仿宋_GB2312"/>
          <w:lang w:val="en-US" w:eastAsia="zh-CN"/>
        </w:rPr>
        <w:t>较上年减少1.25万元，下降20.8%</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决算数与全年预算数一致的主要原因:严格按照预算执行。</w:t>
      </w:r>
      <w:r>
        <w:rPr>
          <w:rFonts w:hint="eastAsia" w:ascii="仿宋_GB2312" w:hAnsi="仿宋_GB2312" w:cs="仿宋_GB2312"/>
          <w:lang w:val="en-US" w:eastAsia="zh-CN"/>
        </w:rPr>
        <w:t>决算数较上年减少的主要原因</w:t>
      </w:r>
      <w:r>
        <w:rPr>
          <w:rFonts w:hint="eastAsia" w:ascii="仿宋_GB2312" w:hAnsi="仿宋_GB2312" w:cs="仿宋_GB2312"/>
          <w:highlight w:val="none"/>
          <w:lang w:val="en-US" w:eastAsia="zh-CN"/>
        </w:rPr>
        <w:t>：</w:t>
      </w:r>
      <w:r>
        <w:rPr>
          <w:rFonts w:hint="eastAsia" w:ascii="仿宋_GB2312" w:eastAsia="仿宋_GB2312"/>
          <w:color w:val="000000"/>
          <w:sz w:val="32"/>
          <w:szCs w:val="32"/>
          <w:highlight w:val="none"/>
          <w:lang w:val="en-US" w:eastAsia="zh-CN"/>
        </w:rPr>
        <w:t>压缩三公经费支出，执行过紧日子政策</w:t>
      </w:r>
      <w:r>
        <w:rPr>
          <w:rFonts w:hint="eastAsia" w:ascii="仿宋_GB2312"/>
          <w:color w:val="000000"/>
          <w:sz w:val="32"/>
          <w:szCs w:val="32"/>
          <w:highlight w:val="none"/>
          <w:lang w:val="en-US" w:eastAsia="zh-CN"/>
        </w:rPr>
        <w:t>。</w:t>
      </w:r>
      <w:r>
        <w:rPr>
          <w:rFonts w:hint="eastAsia" w:ascii="仿宋_GB2312" w:eastAsia="仿宋_GB2312"/>
          <w:color w:val="000000"/>
          <w:sz w:val="32"/>
          <w:szCs w:val="32"/>
          <w:highlight w:val="none"/>
          <w:lang w:val="en-US" w:eastAsia="zh-CN"/>
        </w:rPr>
        <w:t>其中：</w:t>
      </w:r>
    </w:p>
    <w:p w14:paraId="246FBEA0">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(1)公务用车购置费</w:t>
      </w:r>
      <w:r>
        <w:rPr>
          <w:rFonts w:hint="eastAsia" w:ascii="仿宋_GB2312"/>
          <w:color w:val="000000"/>
          <w:sz w:val="32"/>
          <w:szCs w:val="32"/>
          <w:highlight w:val="none"/>
          <w:lang w:val="en-US" w:eastAsia="zh-CN"/>
        </w:rPr>
        <w:t>支出</w:t>
      </w:r>
      <w:bookmarkStart w:id="0" w:name="_Hlk174352831"/>
      <w:r>
        <w:rPr>
          <w:rFonts w:hint="eastAsia" w:ascii="仿宋_GB2312" w:cs="仿宋_GB2312"/>
          <w:szCs w:val="32"/>
          <w:lang w:val="en-US" w:eastAsia="zh-CN" w:bidi="ar"/>
        </w:rPr>
        <w:t>0.00</w:t>
      </w:r>
      <w:bookmarkEnd w:id="0"/>
      <w:r>
        <w:rPr>
          <w:rFonts w:hint="eastAsia" w:ascii="仿宋_GB2312" w:eastAsia="仿宋_GB2312"/>
          <w:color w:val="000000"/>
          <w:sz w:val="32"/>
          <w:szCs w:val="32"/>
          <w:highlight w:val="none"/>
          <w:lang w:val="en-US" w:eastAsia="zh-CN"/>
        </w:rPr>
        <w:t>万元，主本年度购置(更新)公务用车</w:t>
      </w:r>
      <w:bookmarkStart w:id="1" w:name="_Hlk174352867"/>
      <w:r>
        <w:rPr>
          <w:rFonts w:hint="eastAsia" w:ascii="仿宋_GB2312" w:cs="仿宋_GB2312"/>
          <w:szCs w:val="32"/>
          <w:lang w:val="en-US" w:eastAsia="zh-CN" w:bidi="ar"/>
        </w:rPr>
        <w:t>0</w:t>
      </w:r>
      <w:bookmarkEnd w:id="1"/>
      <w:r>
        <w:rPr>
          <w:rFonts w:hint="eastAsia" w:ascii="仿宋_GB2312" w:eastAsia="仿宋_GB2312"/>
          <w:color w:val="000000"/>
          <w:sz w:val="32"/>
          <w:szCs w:val="32"/>
          <w:highlight w:val="none"/>
          <w:lang w:val="en-US" w:eastAsia="zh-CN"/>
        </w:rPr>
        <w:t>辆。</w:t>
      </w:r>
    </w:p>
    <w:p w14:paraId="46FF4F7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(2)公务用车运行费</w:t>
      </w:r>
      <w:r>
        <w:rPr>
          <w:rFonts w:hint="eastAsia" w:ascii="仿宋_GB2312"/>
          <w:color w:val="000000"/>
          <w:sz w:val="32"/>
          <w:szCs w:val="32"/>
          <w:highlight w:val="none"/>
          <w:lang w:val="en-US" w:eastAsia="zh-CN"/>
        </w:rPr>
        <w:t>支出</w:t>
      </w:r>
      <w:bookmarkStart w:id="2" w:name="_Hlk174352879"/>
      <w:r>
        <w:rPr>
          <w:rFonts w:hint="eastAsia" w:ascii="仿宋_GB2312" w:cs="仿宋_GB2312"/>
          <w:szCs w:val="32"/>
          <w:lang w:val="en-US" w:eastAsia="zh-CN" w:bidi="ar"/>
        </w:rPr>
        <w:t>4.75</w:t>
      </w:r>
      <w:bookmarkEnd w:id="2"/>
      <w:r>
        <w:rPr>
          <w:rFonts w:hint="eastAsia" w:ascii="仿宋_GB2312" w:eastAsia="仿宋_GB2312"/>
          <w:color w:val="000000"/>
          <w:sz w:val="32"/>
          <w:szCs w:val="32"/>
          <w:highlight w:val="none"/>
          <w:lang w:val="en-US" w:eastAsia="zh-CN"/>
        </w:rPr>
        <w:t>万元，主要用于</w:t>
      </w:r>
      <w:r>
        <w:rPr>
          <w:rFonts w:hint="eastAsia" w:ascii="仿宋_GB2312"/>
          <w:color w:val="000000"/>
          <w:sz w:val="32"/>
          <w:szCs w:val="32"/>
          <w:highlight w:val="none"/>
          <w:lang w:val="en-US" w:eastAsia="zh-CN"/>
        </w:rPr>
        <w:t>公务车日常养护</w:t>
      </w:r>
      <w:r>
        <w:rPr>
          <w:rFonts w:hint="eastAsia" w:ascii="仿宋_GB2312" w:hAnsi="？？" w:eastAsia="仿宋_GB2312" w:cs="宋体"/>
          <w:color w:val="000000"/>
          <w:kern w:val="0"/>
          <w:sz w:val="32"/>
          <w:szCs w:val="32"/>
          <w:highlight w:val="none"/>
          <w:lang w:val="en-US" w:eastAsia="zh-CN"/>
        </w:rPr>
        <w:t>。</w:t>
      </w:r>
      <w:r>
        <w:rPr>
          <w:rFonts w:hint="eastAsia" w:ascii="仿宋_GB2312" w:eastAsia="仿宋_GB2312"/>
          <w:color w:val="000000"/>
          <w:sz w:val="32"/>
          <w:szCs w:val="32"/>
          <w:highlight w:val="none"/>
          <w:lang w:val="en-US" w:eastAsia="zh-CN"/>
        </w:rPr>
        <w:t>截</w:t>
      </w:r>
      <w:r>
        <w:rPr>
          <w:rFonts w:hint="eastAsia" w:ascii="仿宋_GB2312"/>
          <w:color w:val="000000"/>
          <w:sz w:val="32"/>
          <w:szCs w:val="32"/>
          <w:highlight w:val="none"/>
          <w:lang w:val="en-US" w:eastAsia="zh-CN"/>
        </w:rPr>
        <w:t>至2024年</w:t>
      </w:r>
      <w:r>
        <w:rPr>
          <w:rFonts w:hint="eastAsia" w:ascii="仿宋_GB2312" w:eastAsia="仿宋_GB2312"/>
          <w:color w:val="000000"/>
          <w:sz w:val="32"/>
          <w:szCs w:val="32"/>
          <w:highlight w:val="none"/>
          <w:lang w:val="en-US" w:eastAsia="zh-CN"/>
        </w:rPr>
        <w:t>12月31日，开支财政拨款的公务用车保有量</w:t>
      </w:r>
      <w:r>
        <w:rPr>
          <w:rFonts w:hint="eastAsia" w:ascii="仿宋_GB2312"/>
          <w:color w:val="000000"/>
          <w:sz w:val="32"/>
          <w:szCs w:val="32"/>
          <w:highlight w:val="none"/>
          <w:u w:val="none"/>
          <w:lang w:val="en-US" w:eastAsia="zh-CN"/>
        </w:rPr>
        <w:t>为</w:t>
      </w:r>
      <w:bookmarkStart w:id="3" w:name="_Hlk174352937"/>
      <w:r>
        <w:rPr>
          <w:rFonts w:hint="eastAsia" w:ascii="仿宋_GB2312" w:cs="仿宋_GB2312"/>
          <w:szCs w:val="32"/>
          <w:lang w:val="en-US" w:eastAsia="zh-CN" w:bidi="ar"/>
        </w:rPr>
        <w:t>2</w:t>
      </w:r>
      <w:bookmarkEnd w:id="3"/>
      <w:r>
        <w:rPr>
          <w:rFonts w:hint="eastAsia" w:ascii="仿宋_GB2312" w:eastAsia="仿宋_GB2312"/>
          <w:color w:val="000000"/>
          <w:sz w:val="32"/>
          <w:szCs w:val="32"/>
          <w:highlight w:val="none"/>
          <w:lang w:val="en-US" w:eastAsia="zh-CN"/>
        </w:rPr>
        <w:t>辆。</w:t>
      </w:r>
    </w:p>
    <w:p w14:paraId="27668328">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3.公务接待费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bookmarkStart w:id="4" w:name="_Hlk174352948"/>
      <w:r>
        <w:rPr>
          <w:rFonts w:hint="eastAsia" w:ascii="仿宋_GB2312" w:cs="仿宋_GB2312"/>
          <w:szCs w:val="32"/>
          <w:lang w:val="en-US" w:eastAsia="zh-CN" w:bidi="ar"/>
        </w:rPr>
        <w:t>1.74</w:t>
      </w:r>
      <w:bookmarkEnd w:id="4"/>
      <w:r>
        <w:rPr>
          <w:rFonts w:hint="eastAsia" w:ascii="仿宋_GB2312" w:eastAsia="仿宋_GB2312"/>
          <w:color w:val="000000"/>
          <w:sz w:val="32"/>
          <w:szCs w:val="32"/>
          <w:highlight w:val="none"/>
          <w:lang w:val="en-US" w:eastAsia="zh-CN"/>
        </w:rPr>
        <w:t>万元</w:t>
      </w:r>
      <w:r>
        <w:rPr>
          <w:rFonts w:hint="eastAsia" w:ascii="仿宋_GB2312"/>
          <w:color w:val="000000"/>
          <w:sz w:val="32"/>
          <w:szCs w:val="32"/>
          <w:highlight w:val="none"/>
          <w:lang w:val="en-US" w:eastAsia="zh-CN"/>
        </w:rPr>
        <w:t>，</w:t>
      </w:r>
      <w:r>
        <w:rPr>
          <w:rFonts w:hint="eastAsia" w:ascii="仿宋_GB2312" w:eastAsia="仿宋_GB2312"/>
          <w:color w:val="000000"/>
          <w:sz w:val="32"/>
          <w:szCs w:val="32"/>
          <w:highlight w:val="none"/>
          <w:lang w:val="en-US" w:eastAsia="zh-CN"/>
        </w:rPr>
        <w:t>支出决算为</w:t>
      </w:r>
      <w:bookmarkStart w:id="5" w:name="_Hlk174352957"/>
      <w:r>
        <w:rPr>
          <w:rFonts w:hint="eastAsia" w:ascii="仿宋_GB2312" w:cs="仿宋_GB2312"/>
          <w:szCs w:val="32"/>
          <w:lang w:val="en-US" w:eastAsia="zh-CN" w:bidi="ar"/>
        </w:rPr>
        <w:t>1.74</w:t>
      </w:r>
      <w:bookmarkEnd w:id="5"/>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bookmarkStart w:id="6" w:name="_Hlk174352968"/>
      <w:r>
        <w:rPr>
          <w:rFonts w:hint="eastAsia" w:ascii="仿宋_GB2312" w:cs="仿宋_GB2312"/>
          <w:szCs w:val="32"/>
          <w:lang w:val="en-US" w:eastAsia="zh-CN" w:bidi="ar"/>
        </w:rPr>
        <w:t>100.0</w:t>
      </w:r>
      <w:bookmarkEnd w:id="6"/>
      <w:r>
        <w:rPr>
          <w:rFonts w:hint="eastAsia" w:ascii="仿宋_GB2312" w:eastAsia="仿宋_GB2312"/>
          <w:color w:val="000000"/>
          <w:sz w:val="32"/>
          <w:szCs w:val="32"/>
          <w:highlight w:val="none"/>
          <w:lang w:val="en-US" w:eastAsia="zh-CN"/>
        </w:rPr>
        <w:t>%</w:t>
      </w:r>
      <w:r>
        <w:rPr>
          <w:rFonts w:hint="eastAsia" w:ascii="仿宋_GB2312"/>
          <w:color w:val="000000"/>
          <w:sz w:val="32"/>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减少0.22万元，下降11.2%</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仿宋_GB2312" w:cs="仿宋_GB2312"/>
          <w:lang w:val="en-US" w:eastAsia="zh-CN"/>
        </w:rPr>
        <w:t>较上年减少</w:t>
      </w:r>
      <w:r>
        <w:rPr>
          <w:rFonts w:hint="eastAsia" w:ascii="仿宋_GB2312" w:hAnsi="仿宋_GB2312" w:eastAsia="仿宋_GB2312" w:cs="仿宋_GB2312"/>
          <w:lang w:val="en-US" w:eastAsia="zh-CN"/>
        </w:rPr>
        <w:t>的主要原因：</w:t>
      </w:r>
      <w:r>
        <w:rPr>
          <w:rFonts w:hint="eastAsia" w:ascii="仿宋_GB2312"/>
          <w:color w:val="000000"/>
          <w:sz w:val="32"/>
          <w:szCs w:val="32"/>
          <w:highlight w:val="none"/>
          <w:lang w:val="en-US" w:eastAsia="zh-CN"/>
        </w:rPr>
        <w:t>压缩三公经费支出，执行过紧日子政策。</w:t>
      </w:r>
      <w:r>
        <w:rPr>
          <w:rFonts w:hint="eastAsia" w:ascii="仿宋_GB2312" w:eastAsia="仿宋_GB2312"/>
          <w:color w:val="000000"/>
          <w:sz w:val="32"/>
          <w:szCs w:val="32"/>
          <w:highlight w:val="none"/>
          <w:lang w:val="en-US" w:eastAsia="zh-CN"/>
        </w:rPr>
        <w:t>其中：</w:t>
      </w:r>
    </w:p>
    <w:p w14:paraId="5194DF0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lang w:val="en-US" w:eastAsia="zh-CN"/>
        </w:rPr>
        <w:t>外宾接待支出</w:t>
      </w:r>
      <w:r>
        <w:rPr>
          <w:rFonts w:hint="eastAsia" w:ascii="仿宋_GB2312" w:cs="仿宋_GB2312"/>
          <w:szCs w:val="32"/>
          <w:lang w:val="en-US" w:eastAsia="zh-CN" w:bidi="ar"/>
        </w:rPr>
        <w:t>0.00</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共接待来访团组</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个，</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人次（不包括陪同人员）。</w:t>
      </w:r>
    </w:p>
    <w:p w14:paraId="27D9BC8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default"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u w:val="none"/>
          <w:lang w:val="en-US" w:eastAsia="zh-CN"/>
        </w:rPr>
        <w:t>国内公务接待支出</w:t>
      </w:r>
      <w:r>
        <w:rPr>
          <w:rFonts w:hint="eastAsia" w:ascii="仿宋_GB2312" w:cs="仿宋_GB2312"/>
          <w:szCs w:val="32"/>
          <w:lang w:val="en-US" w:eastAsia="zh-CN" w:bidi="ar"/>
        </w:rPr>
        <w:t>1.74</w:t>
      </w:r>
      <w:r>
        <w:rPr>
          <w:rFonts w:hint="eastAsia" w:ascii="仿宋_GB2312" w:eastAsia="仿宋_GB2312"/>
          <w:color w:val="000000"/>
          <w:sz w:val="32"/>
          <w:szCs w:val="32"/>
          <w:highlight w:val="none"/>
          <w:u w:val="none"/>
          <w:lang w:val="en-US" w:eastAsia="zh-CN"/>
        </w:rPr>
        <w:t>万元，接待对象主要是</w:t>
      </w:r>
      <w:r>
        <w:rPr>
          <w:rFonts w:hint="eastAsia" w:ascii="仿宋_GB2312"/>
          <w:color w:val="000000"/>
          <w:sz w:val="32"/>
          <w:szCs w:val="32"/>
          <w:highlight w:val="none"/>
          <w:lang w:val="en-US" w:eastAsia="zh-CN"/>
        </w:rPr>
        <w:t>省委组织部等有关工作组</w:t>
      </w:r>
      <w:r>
        <w:rPr>
          <w:rFonts w:hint="eastAsia" w:ascii="仿宋_GB2312" w:eastAsia="仿宋_GB2312"/>
          <w:color w:val="000000"/>
          <w:sz w:val="32"/>
          <w:szCs w:val="32"/>
          <w:highlight w:val="none"/>
          <w:u w:val="none"/>
          <w:lang w:val="en-US" w:eastAsia="zh-CN"/>
        </w:rPr>
        <w:t>，主要是开展</w:t>
      </w:r>
      <w:r>
        <w:rPr>
          <w:rFonts w:hint="eastAsia" w:ascii="仿宋_GB2312"/>
          <w:color w:val="000000"/>
          <w:sz w:val="32"/>
          <w:szCs w:val="32"/>
          <w:highlight w:val="none"/>
          <w:lang w:val="en-US" w:eastAsia="zh-CN"/>
        </w:rPr>
        <w:t>干部考察和干部调研</w:t>
      </w:r>
      <w:r>
        <w:rPr>
          <w:rFonts w:hint="eastAsia" w:ascii="仿宋_GB2312" w:eastAsia="仿宋_GB2312"/>
          <w:color w:val="000000"/>
          <w:sz w:val="32"/>
          <w:szCs w:val="32"/>
          <w:highlight w:val="none"/>
          <w:u w:val="none"/>
          <w:lang w:val="en-US" w:eastAsia="zh-CN"/>
        </w:rPr>
        <w:t>工作。</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共接待国内来访团组</w:t>
      </w:r>
      <w:r>
        <w:rPr>
          <w:rFonts w:hint="eastAsia" w:ascii="仿宋_GB2312" w:cs="仿宋_GB2312"/>
          <w:szCs w:val="32"/>
          <w:lang w:val="en-US" w:eastAsia="zh-CN" w:bidi="ar"/>
        </w:rPr>
        <w:t>32</w:t>
      </w:r>
      <w:r>
        <w:rPr>
          <w:rFonts w:hint="eastAsia" w:ascii="仿宋_GB2312" w:eastAsia="仿宋_GB2312"/>
          <w:color w:val="000000"/>
          <w:sz w:val="32"/>
          <w:szCs w:val="32"/>
          <w:highlight w:val="none"/>
          <w:u w:val="none"/>
          <w:lang w:val="en-US" w:eastAsia="zh-CN"/>
        </w:rPr>
        <w:t>个</w:t>
      </w:r>
      <w:r>
        <w:rPr>
          <w:rFonts w:hint="eastAsia" w:ascii="仿宋_GB2312"/>
          <w:color w:val="000000"/>
          <w:sz w:val="32"/>
          <w:szCs w:val="32"/>
          <w:highlight w:val="none"/>
          <w:u w:val="none"/>
          <w:lang w:val="en-US" w:eastAsia="zh-CN"/>
        </w:rPr>
        <w:t>，</w:t>
      </w:r>
      <w:r>
        <w:rPr>
          <w:rFonts w:hint="eastAsia" w:ascii="仿宋_GB2312" w:cs="仿宋_GB2312"/>
          <w:szCs w:val="32"/>
          <w:lang w:val="en-US" w:eastAsia="zh-CN" w:bidi="ar"/>
        </w:rPr>
        <w:t>221</w:t>
      </w:r>
      <w:r>
        <w:rPr>
          <w:rFonts w:hint="eastAsia" w:ascii="仿宋_GB2312" w:eastAsia="仿宋_GB2312"/>
          <w:color w:val="000000"/>
          <w:sz w:val="32"/>
          <w:szCs w:val="32"/>
          <w:highlight w:val="none"/>
          <w:u w:val="none"/>
          <w:lang w:val="en-US" w:eastAsia="zh-CN"/>
        </w:rPr>
        <w:t>人次（不包括陪同人员）。</w:t>
      </w:r>
    </w:p>
    <w:p w14:paraId="0C4D7D67">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十、机关运行经费支出说明</w:t>
      </w:r>
    </w:p>
    <w:p w14:paraId="5D037D1E">
      <w:pPr>
        <w:pStyle w:val="7"/>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eastAsia="仿宋_GB2312"/>
          <w:szCs w:val="32"/>
          <w:lang w:val="en-US" w:eastAsia="zh-CN"/>
        </w:rPr>
        <w:t>本部门2024年度机关运行经费支出80.23万元（与部门决算中行政单位和参照公务员法管理事业单位财政拨款基本支出中公用经费之和一致），比年初预算数</w:t>
      </w:r>
      <w:r>
        <w:rPr>
          <w:rFonts w:hint="eastAsia" w:ascii="仿宋_GB2312" w:hAnsi="宋体" w:eastAsia="仿宋_GB2312"/>
          <w:szCs w:val="32"/>
          <w:lang w:val="en-US" w:eastAsia="zh-CN"/>
        </w:rPr>
        <w:t>减少4.30万元，下降5.1%；</w:t>
      </w:r>
      <w:r>
        <w:rPr>
          <w:rFonts w:hint="eastAsia" w:ascii="仿宋_GB2312" w:eastAsia="仿宋_GB2312"/>
          <w:szCs w:val="32"/>
          <w:lang w:val="en-US" w:eastAsia="zh-CN"/>
        </w:rPr>
        <w:t>比上年决算数</w:t>
      </w:r>
      <w:r>
        <w:rPr>
          <w:rFonts w:hint="eastAsia" w:ascii="仿宋_GB2312" w:hAnsi="宋体" w:eastAsia="仿宋_GB2312"/>
          <w:szCs w:val="32"/>
          <w:lang w:val="en-US" w:eastAsia="zh-CN"/>
        </w:rPr>
        <w:t>减少0.15万元，下降0.2%，主要原因：</w:t>
      </w:r>
      <w:r>
        <w:rPr>
          <w:rFonts w:hint="eastAsia" w:ascii="仿宋_GB2312" w:hAnsi="宋体" w:eastAsia="仿宋_GB2312"/>
          <w:szCs w:val="32"/>
          <w:highlight w:val="none"/>
          <w:lang w:val="en-US" w:eastAsia="zh-CN"/>
        </w:rPr>
        <w:t>执行过紧日子政策</w:t>
      </w:r>
      <w:r>
        <w:rPr>
          <w:rFonts w:hint="eastAsia" w:ascii="仿宋_GB2312" w:eastAsia="仿宋_GB2312"/>
          <w:szCs w:val="32"/>
          <w:highlight w:val="none"/>
          <w:lang w:val="en-US" w:eastAsia="zh-CN"/>
        </w:rPr>
        <w:t>。</w:t>
      </w:r>
    </w:p>
    <w:p w14:paraId="4C4CD35A">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十一、政府采购支出说明</w:t>
      </w:r>
    </w:p>
    <w:p w14:paraId="14A8EFB5">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highlight w:val="yellow"/>
          <w:lang w:val="en-US" w:eastAsia="zh-CN"/>
        </w:rPr>
      </w:pPr>
      <w:r>
        <w:rPr>
          <w:rFonts w:hint="eastAsia" w:ascii="仿宋_GB2312" w:hAnsi="仿宋_GB2312" w:eastAsia="仿宋_GB2312" w:cs="仿宋_GB2312"/>
          <w:sz w:val="32"/>
          <w:szCs w:val="32"/>
          <w:lang w:val="en-US" w:eastAsia="zh-CN"/>
        </w:rPr>
        <w:t xml:space="preserve">本部门 </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年度政府采购支出总额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万元，其中：政府采购货物支出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万元、政府采购工程支出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万元、政府采购服务支出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万元。授予中小企业合同金额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万元，占政府采购支出总额的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%，其中：授予小微企业合同金额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万元，占授予中小企业合同金额的</w:t>
      </w:r>
      <w:r>
        <w:rPr>
          <w:rFonts w:hint="eastAsia" w:ascii="仿宋_GB2312" w:cs="仿宋_GB2312"/>
          <w:szCs w:val="32"/>
          <w:lang w:val="en-US" w:eastAsia="zh-CN" w:bidi="ar"/>
        </w:rPr>
        <w:t>0</w:t>
      </w:r>
      <w:r>
        <w:rPr>
          <w:rFonts w:hint="eastAsia" w:ascii="仿宋_GB2312" w:hAnsi="仿宋_GB2312" w:eastAsia="仿宋_GB2312" w:cs="仿宋_GB2312"/>
          <w:sz w:val="32"/>
          <w:szCs w:val="32"/>
          <w:lang w:val="en-US" w:eastAsia="zh-CN"/>
        </w:rPr>
        <w:t>%；货物采购授予中小企业合同金额占货物支出金额的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%，工程采购授予中小企业合同金额占工程支出金额的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%，服务采购授予中小企业合同金额占服务支出金额的</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lang w:val="en-US" w:eastAsia="zh-CN"/>
        </w:rPr>
        <w:t>%。</w:t>
      </w:r>
    </w:p>
    <w:p w14:paraId="17437D37">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十二、国有资产占用情况说明</w:t>
      </w:r>
    </w:p>
    <w:p w14:paraId="0F030C3E">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仿宋_GB2312" w:cs="仿宋_GB2312"/>
          <w:szCs w:val="32"/>
          <w:lang w:val="en-US" w:eastAsia="zh-CN" w:bidi="ar"/>
        </w:rPr>
      </w:pPr>
      <w:r>
        <w:rPr>
          <w:rFonts w:hint="eastAsia" w:ascii="仿宋_GB2312" w:cs="仿宋_GB2312"/>
          <w:szCs w:val="32"/>
          <w:lang w:val="en-US" w:eastAsia="zh-CN" w:bidi="ar"/>
        </w:rPr>
        <w:t>截至2024年12月31日，中共随州市委组织部本级共有车辆2辆，其中，副省级及以上领导干部用车0辆、主要负责人用车0 辆、机要通信用车0 辆、应急保障用车2辆、执法执勤用车0辆、特种专业技术用车0辆、离退休干部服务用车0辆、其他用车0辆；单位价值 100万元以上设备0 台（套）。</w:t>
      </w:r>
    </w:p>
    <w:p w14:paraId="3BE0F243">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十三、预算绩效情况说明</w:t>
      </w:r>
    </w:p>
    <w:p w14:paraId="61048BF5">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楷体_GB2312" w:hAnsi="楷体_GB2312" w:eastAsia="楷体_GB2312" w:cs="楷体_GB2312"/>
          <w:b/>
          <w:bCs/>
          <w:lang w:val="en-US" w:eastAsia="zh-CN"/>
        </w:rPr>
      </w:pPr>
      <w:r>
        <w:rPr>
          <w:rFonts w:hint="eastAsia" w:ascii="楷体_GB2312" w:hAnsi="楷体_GB2312" w:eastAsia="楷体_GB2312" w:cs="楷体_GB2312"/>
          <w:b/>
          <w:bCs/>
          <w:lang w:val="en-US" w:eastAsia="zh-CN"/>
        </w:rPr>
        <w:t>(一)预算绩效管理工作开展情况。</w:t>
      </w:r>
    </w:p>
    <w:p w14:paraId="48465415">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 w:eastAsia="仿宋_GB2312" w:cs="仿宋"/>
          <w:szCs w:val="32"/>
          <w:highlight w:val="none"/>
          <w:lang w:val="en-US" w:eastAsia="zh-CN"/>
        </w:rPr>
      </w:pPr>
      <w:r>
        <w:rPr>
          <w:rFonts w:hint="eastAsia"/>
          <w:lang w:val="en-US" w:eastAsia="zh-CN"/>
        </w:rPr>
        <w:t>根据预算绩效</w:t>
      </w:r>
      <w:r>
        <w:rPr>
          <w:rFonts w:hint="eastAsia" w:ascii="仿宋_GB2312" w:hAnsi="仿宋" w:eastAsia="仿宋_GB2312" w:cs="仿宋"/>
          <w:szCs w:val="32"/>
          <w:lang w:val="en-US" w:eastAsia="zh-CN"/>
        </w:rPr>
        <w:t>管理要求，本部门组织对</w:t>
      </w:r>
      <w:r>
        <w:rPr>
          <w:rFonts w:hint="eastAsia" w:ascii="仿宋_GB2312" w:hAnsi="仿宋" w:cs="仿宋"/>
          <w:szCs w:val="32"/>
          <w:lang w:val="en-US" w:eastAsia="zh-CN"/>
        </w:rPr>
        <w:t>2024</w:t>
      </w:r>
      <w:r>
        <w:rPr>
          <w:rFonts w:hint="eastAsia" w:ascii="仿宋_GB2312" w:hAnsi="仿宋" w:eastAsia="仿宋_GB2312" w:cs="仿宋"/>
          <w:szCs w:val="32"/>
          <w:lang w:val="en-US" w:eastAsia="zh-CN"/>
        </w:rPr>
        <w:t>年度一般公共预算项目支出全面开展绩效自评，共涉及项目</w:t>
      </w:r>
      <w:r>
        <w:rPr>
          <w:rFonts w:hint="eastAsia" w:ascii="仿宋_GB2312" w:hAnsi="仿宋_GB2312" w:cs="仿宋_GB2312"/>
          <w:szCs w:val="32"/>
          <w:lang w:val="en-US" w:eastAsia="zh-CN"/>
        </w:rPr>
        <w:t>9</w:t>
      </w:r>
      <w:r>
        <w:rPr>
          <w:rFonts w:hint="eastAsia" w:ascii="仿宋_GB2312" w:hAnsi="仿宋" w:eastAsia="仿宋_GB2312" w:cs="仿宋"/>
          <w:szCs w:val="32"/>
          <w:lang w:val="en-US" w:eastAsia="zh-CN"/>
        </w:rPr>
        <w:t>个，资金</w:t>
      </w:r>
      <w:r>
        <w:rPr>
          <w:rFonts w:hint="eastAsia" w:ascii="仿宋_GB2312" w:hAnsi="仿宋" w:cs="仿宋"/>
          <w:szCs w:val="32"/>
          <w:lang w:val="en-US" w:eastAsia="zh-CN"/>
        </w:rPr>
        <w:t>355.12</w:t>
      </w:r>
      <w:r>
        <w:rPr>
          <w:rFonts w:hint="eastAsia" w:ascii="仿宋_GB2312" w:hAnsi="仿宋" w:eastAsia="仿宋_GB2312" w:cs="仿宋"/>
          <w:szCs w:val="32"/>
          <w:lang w:val="en-US" w:eastAsia="zh-CN"/>
        </w:rPr>
        <w:t>万元，占一般公共预算项目支出总额的</w:t>
      </w:r>
      <w:r>
        <w:rPr>
          <w:rFonts w:hint="eastAsia" w:ascii="仿宋_GB2312" w:hAnsi="仿宋_GB2312" w:cs="仿宋_GB2312"/>
          <w:szCs w:val="32"/>
          <w:lang w:val="en-US" w:eastAsia="zh-CN"/>
        </w:rPr>
        <w:t>100</w:t>
      </w:r>
      <w:r>
        <w:rPr>
          <w:rFonts w:hint="eastAsia" w:ascii="仿宋_GB2312" w:hAnsi="仿宋" w:cs="仿宋"/>
          <w:szCs w:val="32"/>
          <w:lang w:val="en-US" w:eastAsia="zh-CN"/>
        </w:rPr>
        <w:t>%</w:t>
      </w:r>
      <w:r>
        <w:rPr>
          <w:rFonts w:hint="eastAsia" w:ascii="仿宋_GB2312" w:hAnsi="仿宋" w:eastAsia="仿宋_GB2312" w:cs="仿宋"/>
          <w:szCs w:val="32"/>
          <w:lang w:val="en-US" w:eastAsia="zh-CN"/>
        </w:rPr>
        <w:t>。从评价情况来看，</w:t>
      </w:r>
      <w:r>
        <w:rPr>
          <w:rFonts w:hint="default" w:ascii="仿宋_GB2312" w:hAnsi="仿宋_GB2312" w:eastAsia="仿宋_GB2312" w:cs="仿宋_GB2312"/>
          <w:szCs w:val="32"/>
          <w:highlight w:val="none"/>
        </w:rPr>
        <w:t>项目经费管理规范，资金均按规定用途使用，各项目绩效目标基本完成，项目立项程序完整、规范，绩效目标明确，社会效益较好，可持续性强，资金拨付审批程序严格，使用规范，投入有保障。</w:t>
      </w:r>
    </w:p>
    <w:p w14:paraId="29E205A4">
      <w:pPr>
        <w:pStyle w:val="7"/>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（二）部门决算中项目绩效自评结果。</w:t>
      </w:r>
    </w:p>
    <w:p w14:paraId="29FB3A12">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本部门今年在部门决算中反映所有项目绩效自评结果（涉密项目除外）。</w:t>
      </w:r>
    </w:p>
    <w:p w14:paraId="1506AE29">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en-US" w:eastAsia="zh-CN"/>
        </w:rPr>
        <w:t xml:space="preserve"> 1、</w:t>
      </w:r>
      <w:r>
        <w:rPr>
          <w:rFonts w:hint="eastAsia" w:ascii="仿宋_GB2312" w:hAnsi="仿宋_GB2312" w:cs="仿宋_GB2312"/>
          <w:b/>
          <w:bCs/>
          <w:szCs w:val="32"/>
          <w:highlight w:val="none"/>
          <w:lang w:val="en-US" w:eastAsia="zh-CN"/>
        </w:rPr>
        <w:t>干部工作经费</w:t>
      </w:r>
      <w:r>
        <w:rPr>
          <w:rFonts w:hint="default" w:ascii="仿宋_GB2312" w:hAnsi="仿宋_GB2312" w:eastAsia="仿宋_GB2312" w:cs="仿宋_GB2312"/>
          <w:b/>
          <w:bCs/>
          <w:szCs w:val="32"/>
          <w:highlight w:val="none"/>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cs="仿宋_GB2312"/>
          <w:szCs w:val="32"/>
          <w:highlight w:val="none"/>
          <w:lang w:val="en-US" w:eastAsia="zh-CN"/>
        </w:rPr>
        <w:t>69.93</w:t>
      </w:r>
      <w:r>
        <w:rPr>
          <w:rFonts w:hint="default" w:ascii="仿宋_GB2312" w:hAnsi="仿宋_GB2312" w:eastAsia="仿宋_GB2312" w:cs="仿宋_GB2312"/>
          <w:szCs w:val="32"/>
          <w:highlight w:val="none"/>
        </w:rPr>
        <w:t>万元，执行数为</w:t>
      </w:r>
      <w:r>
        <w:rPr>
          <w:rFonts w:hint="eastAsia" w:ascii="仿宋_GB2312" w:hAnsi="仿宋_GB2312" w:cs="仿宋_GB2312"/>
          <w:szCs w:val="32"/>
          <w:highlight w:val="none"/>
          <w:lang w:val="en-US" w:eastAsia="zh-CN"/>
        </w:rPr>
        <w:t>69.93</w:t>
      </w:r>
      <w:r>
        <w:rPr>
          <w:rFonts w:hint="default" w:ascii="仿宋_GB2312" w:hAnsi="仿宋_GB2312" w:eastAsia="仿宋_GB2312" w:cs="仿宋_GB2312"/>
          <w:szCs w:val="32"/>
          <w:highlight w:val="none"/>
        </w:rPr>
        <w:t>万元，完成预算</w:t>
      </w:r>
      <w:r>
        <w:rPr>
          <w:rFonts w:hint="eastAsia" w:ascii="仿宋_GB2312" w:hAnsi="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招投标阶段，未出现弄虚作假，违反法律法规情况。在项目实施阶段，项目质量管理体系有效运行，满足合同及质量方针要求率达100％，成果合格率100％。③时效指标，截至</w:t>
      </w:r>
      <w:r>
        <w:rPr>
          <w:rFonts w:hint="eastAsia" w:ascii="仿宋_GB2312" w:hAnsi="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年12月底，均达到各项计划指标。④成本指标，项目支出审批程序严谨规范，支出标准有据，对项目成本控制有效。（2）效益指标完成情况分析。①经济效益指标,由于项目的实施，为</w:t>
      </w:r>
      <w:r>
        <w:rPr>
          <w:rFonts w:hint="eastAsia" w:ascii="仿宋_GB2312" w:hAnsi="仿宋_GB2312" w:cs="仿宋_GB2312"/>
          <w:szCs w:val="32"/>
          <w:highlight w:val="none"/>
          <w:lang w:eastAsia="zh-CN"/>
        </w:rPr>
        <w:t>干部工作</w:t>
      </w:r>
      <w:r>
        <w:rPr>
          <w:rFonts w:hint="default" w:ascii="仿宋_GB2312" w:hAnsi="仿宋_GB2312" w:eastAsia="仿宋_GB2312" w:cs="仿宋_GB2312"/>
          <w:szCs w:val="32"/>
          <w:highlight w:val="none"/>
        </w:rPr>
        <w:t>打下了基础，切实提高</w:t>
      </w:r>
      <w:r>
        <w:rPr>
          <w:rFonts w:hint="eastAsia" w:ascii="仿宋_GB2312" w:hAnsi="仿宋_GB2312" w:cs="仿宋_GB2312"/>
          <w:szCs w:val="32"/>
          <w:highlight w:val="none"/>
          <w:lang w:eastAsia="zh-CN"/>
        </w:rPr>
        <w:t>了干部推动经济发展的</w:t>
      </w:r>
      <w:r>
        <w:rPr>
          <w:rFonts w:hint="default" w:ascii="仿宋_GB2312" w:hAnsi="仿宋_GB2312" w:eastAsia="仿宋_GB2312" w:cs="仿宋_GB2312"/>
          <w:szCs w:val="32"/>
          <w:highlight w:val="none"/>
        </w:rPr>
        <w:t>能力，为随州市的经济</w:t>
      </w:r>
      <w:r>
        <w:rPr>
          <w:rFonts w:hint="eastAsia" w:ascii="仿宋_GB2312" w:hAnsi="仿宋_GB2312" w:cs="仿宋_GB2312"/>
          <w:szCs w:val="32"/>
          <w:highlight w:val="none"/>
          <w:lang w:eastAsia="zh-CN"/>
        </w:rPr>
        <w:t>社会</w:t>
      </w:r>
      <w:r>
        <w:rPr>
          <w:rFonts w:hint="default" w:ascii="仿宋_GB2312" w:hAnsi="仿宋_GB2312" w:eastAsia="仿宋_GB2312" w:cs="仿宋_GB2312"/>
          <w:szCs w:val="32"/>
          <w:highlight w:val="none"/>
        </w:rPr>
        <w:t>发展提供</w:t>
      </w:r>
      <w:r>
        <w:rPr>
          <w:rFonts w:hint="eastAsia" w:ascii="仿宋_GB2312" w:hAnsi="仿宋_GB2312" w:cs="仿宋_GB2312"/>
          <w:szCs w:val="32"/>
          <w:highlight w:val="none"/>
          <w:lang w:eastAsia="zh-CN"/>
        </w:rPr>
        <w:t>了重要组织</w:t>
      </w:r>
      <w:r>
        <w:rPr>
          <w:rFonts w:hint="default" w:ascii="仿宋_GB2312" w:hAnsi="仿宋_GB2312" w:eastAsia="仿宋_GB2312" w:cs="仿宋_GB2312"/>
          <w:szCs w:val="32"/>
          <w:highlight w:val="none"/>
        </w:rPr>
        <w:t>保障。②社会效益指标,提高</w:t>
      </w:r>
      <w:r>
        <w:rPr>
          <w:rFonts w:hint="eastAsia" w:ascii="仿宋_GB2312" w:hAnsi="仿宋_GB2312" w:cs="仿宋_GB2312"/>
          <w:szCs w:val="32"/>
          <w:highlight w:val="none"/>
          <w:lang w:eastAsia="zh-CN"/>
        </w:rPr>
        <w:t>公共服务的</w:t>
      </w:r>
      <w:r>
        <w:rPr>
          <w:rFonts w:hint="default" w:ascii="仿宋_GB2312" w:hAnsi="仿宋_GB2312" w:eastAsia="仿宋_GB2312" w:cs="仿宋_GB2312"/>
          <w:szCs w:val="32"/>
          <w:highlight w:val="none"/>
        </w:rPr>
        <w:t>保障能力。③可持续影响效益,在项目实施后</w:t>
      </w:r>
      <w:r>
        <w:rPr>
          <w:rFonts w:hint="eastAsia" w:ascii="仿宋_GB2312" w:hAnsi="仿宋_GB2312" w:cs="仿宋_GB2312"/>
          <w:szCs w:val="32"/>
          <w:highlight w:val="none"/>
          <w:lang w:eastAsia="zh-CN"/>
        </w:rPr>
        <w:t>，</w:t>
      </w:r>
      <w:r>
        <w:rPr>
          <w:rFonts w:hint="default" w:ascii="仿宋_GB2312" w:hAnsi="仿宋_GB2312" w:eastAsia="仿宋_GB2312" w:cs="仿宋_GB2312"/>
          <w:szCs w:val="32"/>
          <w:highlight w:val="none"/>
        </w:rPr>
        <w:t>可为随州市的经济建设和社会协调发展提供保障。</w:t>
      </w:r>
    </w:p>
    <w:p w14:paraId="5292C2B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7AE2C31F">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下一步改进措施：一是要求强化项目管理，二是强化预算执行，提升预算执行率。</w:t>
      </w:r>
      <w:r>
        <w:rPr>
          <w:rFonts w:hint="default" w:ascii="仿宋_GB2312" w:hAnsi="仿宋_GB2312" w:eastAsia="仿宋_GB2312" w:cs="仿宋_GB2312"/>
          <w:szCs w:val="32"/>
          <w:highlight w:val="none"/>
        </w:rPr>
        <w:br w:type="textWrapping"/>
      </w:r>
      <w:r>
        <w:rPr>
          <w:rFonts w:hint="eastAsia" w:ascii="仿宋_GB2312" w:hAnsi="仿宋_GB2312" w:cs="仿宋_GB2312"/>
          <w:szCs w:val="32"/>
          <w:highlight w:val="none"/>
          <w:lang w:val="en-US" w:eastAsia="zh-CN"/>
        </w:rPr>
        <w:t xml:space="preserve">    </w:t>
      </w:r>
      <w:r>
        <w:rPr>
          <w:rFonts w:hint="eastAsia" w:ascii="仿宋_GB2312" w:hAnsi="仿宋_GB2312" w:eastAsia="仿宋_GB2312" w:cs="仿宋_GB2312"/>
          <w:b/>
          <w:bCs/>
          <w:szCs w:val="32"/>
          <w:highlight w:val="none"/>
          <w:lang w:val="en-US" w:eastAsia="zh-CN"/>
        </w:rPr>
        <w:t>2、公务员招录及遴选</w:t>
      </w:r>
      <w:r>
        <w:rPr>
          <w:rFonts w:hint="default" w:ascii="仿宋_GB2312" w:hAnsi="仿宋_GB2312" w:eastAsia="仿宋_GB2312" w:cs="仿宋_GB2312"/>
          <w:b/>
          <w:bCs/>
          <w:szCs w:val="32"/>
          <w:highlight w:val="none"/>
          <w:lang w:val="en-US" w:eastAsia="zh-CN"/>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cs="仿宋_GB2312"/>
          <w:color w:val="000000" w:themeColor="text1"/>
          <w:szCs w:val="32"/>
          <w:highlight w:val="none"/>
          <w:lang w:val="en-US" w:eastAsia="zh-CN"/>
          <w14:textFill>
            <w14:solidFill>
              <w14:schemeClr w14:val="tx1"/>
            </w14:solidFill>
          </w14:textFill>
        </w:rPr>
        <w:t>77.5</w:t>
      </w:r>
      <w:r>
        <w:rPr>
          <w:rFonts w:hint="default" w:ascii="仿宋_GB2312" w:hAnsi="仿宋_GB2312" w:eastAsia="仿宋_GB2312" w:cs="仿宋_GB2312"/>
          <w:color w:val="000000" w:themeColor="text1"/>
          <w:szCs w:val="32"/>
          <w:highlight w:val="none"/>
          <w14:textFill>
            <w14:solidFill>
              <w14:schemeClr w14:val="tx1"/>
            </w14:solidFill>
          </w14:textFill>
        </w:rPr>
        <w:t>万元，执行数为</w:t>
      </w:r>
      <w:r>
        <w:rPr>
          <w:rFonts w:hint="eastAsia" w:ascii="仿宋_GB2312" w:hAnsi="仿宋_GB2312" w:cs="仿宋_GB2312"/>
          <w:color w:val="000000" w:themeColor="text1"/>
          <w:szCs w:val="32"/>
          <w:highlight w:val="none"/>
          <w:lang w:val="en-US" w:eastAsia="zh-CN"/>
          <w14:textFill>
            <w14:solidFill>
              <w14:schemeClr w14:val="tx1"/>
            </w14:solidFill>
          </w14:textFill>
        </w:rPr>
        <w:t>77.5</w:t>
      </w:r>
      <w:r>
        <w:rPr>
          <w:rFonts w:hint="default" w:ascii="仿宋_GB2312" w:hAnsi="仿宋_GB2312" w:eastAsia="仿宋_GB2312" w:cs="仿宋_GB2312"/>
          <w:szCs w:val="32"/>
          <w:highlight w:val="none"/>
        </w:rPr>
        <w:t>万元，完成预算</w:t>
      </w:r>
      <w:r>
        <w:rPr>
          <w:rFonts w:hint="eastAsia" w:ascii="仿宋_GB2312" w:hAnsi="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w:t>
      </w:r>
      <w:r>
        <w:rPr>
          <w:rFonts w:hint="eastAsia" w:ascii="仿宋_GB2312" w:hAnsi="仿宋_GB2312" w:cs="仿宋_GB2312"/>
          <w:szCs w:val="32"/>
          <w:highlight w:val="none"/>
          <w:lang w:eastAsia="zh-CN"/>
        </w:rPr>
        <w:t>启动和</w:t>
      </w:r>
      <w:r>
        <w:rPr>
          <w:rFonts w:hint="default" w:ascii="仿宋_GB2312" w:hAnsi="仿宋_GB2312" w:eastAsia="仿宋_GB2312" w:cs="仿宋_GB2312"/>
          <w:szCs w:val="32"/>
          <w:highlight w:val="none"/>
        </w:rPr>
        <w:t>项目实施</w:t>
      </w:r>
      <w:r>
        <w:rPr>
          <w:rFonts w:hint="eastAsia" w:ascii="仿宋_GB2312" w:hAnsi="仿宋_GB2312" w:cs="仿宋_GB2312"/>
          <w:szCs w:val="32"/>
          <w:highlight w:val="none"/>
          <w:lang w:eastAsia="zh-CN"/>
        </w:rPr>
        <w:t>各阶段，</w:t>
      </w:r>
      <w:r>
        <w:rPr>
          <w:rFonts w:hint="default" w:ascii="仿宋_GB2312" w:hAnsi="仿宋_GB2312" w:eastAsia="仿宋_GB2312" w:cs="仿宋_GB2312"/>
          <w:szCs w:val="32"/>
          <w:highlight w:val="none"/>
        </w:rPr>
        <w:t>未出现弄虚作假，违反法律法规情况，项目质量管理体系有效运行，满足合同及质量方针要求率达100％，成果合格率100％。③时效指标，截至</w:t>
      </w:r>
      <w:r>
        <w:rPr>
          <w:rFonts w:hint="eastAsia" w:ascii="仿宋_GB2312" w:hAnsi="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年12月底，均达到各项计划指标。④成本指标，项目支出审批程序严谨规范，支出标准有据，对项目成本控制有效。（2）效益指标完成情况分析。①经济效益指标,由于项目的实施，为</w:t>
      </w:r>
      <w:r>
        <w:rPr>
          <w:rFonts w:hint="eastAsia" w:ascii="仿宋_GB2312" w:hAnsi="仿宋_GB2312" w:cs="仿宋_GB2312"/>
          <w:szCs w:val="32"/>
          <w:highlight w:val="none"/>
          <w:lang w:eastAsia="zh-CN"/>
        </w:rPr>
        <w:t>公务员队伍增加了新鲜血液</w:t>
      </w:r>
      <w:r>
        <w:rPr>
          <w:rFonts w:hint="default" w:ascii="仿宋_GB2312" w:hAnsi="仿宋_GB2312" w:eastAsia="仿宋_GB2312" w:cs="仿宋_GB2312"/>
          <w:szCs w:val="32"/>
          <w:highlight w:val="none"/>
        </w:rPr>
        <w:t>，切实</w:t>
      </w:r>
      <w:r>
        <w:rPr>
          <w:rFonts w:hint="eastAsia" w:ascii="仿宋_GB2312" w:hAnsi="仿宋_GB2312" w:cs="仿宋_GB2312"/>
          <w:szCs w:val="32"/>
          <w:highlight w:val="none"/>
          <w:lang w:eastAsia="zh-CN"/>
        </w:rPr>
        <w:t>为我</w:t>
      </w:r>
      <w:r>
        <w:rPr>
          <w:rFonts w:hint="default" w:ascii="仿宋_GB2312" w:hAnsi="仿宋_GB2312" w:eastAsia="仿宋_GB2312" w:cs="仿宋_GB2312"/>
          <w:szCs w:val="32"/>
          <w:highlight w:val="none"/>
        </w:rPr>
        <w:t>市经济建设和社会协调发展提供</w:t>
      </w:r>
      <w:r>
        <w:rPr>
          <w:rFonts w:hint="eastAsia" w:ascii="仿宋_GB2312" w:hAnsi="仿宋_GB2312" w:cs="仿宋_GB2312"/>
          <w:szCs w:val="32"/>
          <w:highlight w:val="none"/>
          <w:lang w:eastAsia="zh-CN"/>
        </w:rPr>
        <w:t>了有力组织</w:t>
      </w:r>
      <w:r>
        <w:rPr>
          <w:rFonts w:hint="default" w:ascii="仿宋_GB2312" w:hAnsi="仿宋_GB2312" w:eastAsia="仿宋_GB2312" w:cs="仿宋_GB2312"/>
          <w:szCs w:val="32"/>
          <w:highlight w:val="none"/>
        </w:rPr>
        <w:t>保障。②社会效益指标,提高</w:t>
      </w:r>
      <w:r>
        <w:rPr>
          <w:rFonts w:hint="eastAsia" w:ascii="仿宋_GB2312" w:hAnsi="仿宋_GB2312" w:cs="仿宋_GB2312"/>
          <w:szCs w:val="32"/>
          <w:highlight w:val="none"/>
          <w:lang w:eastAsia="zh-CN"/>
        </w:rPr>
        <w:t>公共服务和</w:t>
      </w:r>
      <w:r>
        <w:rPr>
          <w:rFonts w:hint="default" w:ascii="仿宋_GB2312" w:hAnsi="仿宋_GB2312" w:eastAsia="仿宋_GB2312" w:cs="仿宋_GB2312"/>
          <w:szCs w:val="32"/>
          <w:highlight w:val="none"/>
        </w:rPr>
        <w:t>保障能力。③可持续影响效益,</w:t>
      </w:r>
      <w:r>
        <w:rPr>
          <w:rFonts w:hint="eastAsia" w:ascii="仿宋_GB2312" w:hAnsi="仿宋_GB2312" w:cs="仿宋_GB2312"/>
          <w:szCs w:val="32"/>
          <w:highlight w:val="none"/>
          <w:lang w:eastAsia="zh-CN"/>
        </w:rPr>
        <w:t>推动随州市干部队伍结构进一步优化，为持续释放全市经济社会发展潜力奠定基础</w:t>
      </w:r>
      <w:r>
        <w:rPr>
          <w:rFonts w:hint="default" w:ascii="仿宋_GB2312" w:hAnsi="仿宋_GB2312" w:eastAsia="仿宋_GB2312" w:cs="仿宋_GB2312"/>
          <w:szCs w:val="32"/>
          <w:highlight w:val="none"/>
        </w:rPr>
        <w:t>。</w:t>
      </w:r>
    </w:p>
    <w:p w14:paraId="3B2D6628">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626C7D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下一步改进措施：一是要求强化项目管理，二是强化预算执行，提升预算执行率。</w:t>
      </w:r>
    </w:p>
    <w:p w14:paraId="2CBE08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en-US" w:eastAsia="zh-CN"/>
        </w:rPr>
        <w:t>3、市直公务员人事档案数字化</w:t>
      </w:r>
      <w:r>
        <w:rPr>
          <w:rFonts w:hint="default" w:ascii="仿宋_GB2312" w:hAnsi="仿宋_GB2312" w:eastAsia="仿宋_GB2312" w:cs="仿宋_GB2312"/>
          <w:b/>
          <w:bCs/>
          <w:szCs w:val="32"/>
          <w:highlight w:val="none"/>
          <w:lang w:val="en-US" w:eastAsia="zh-CN"/>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eastAsia="仿宋_GB2312" w:cs="仿宋_GB2312"/>
          <w:szCs w:val="32"/>
          <w:highlight w:val="none"/>
          <w:lang w:val="en-US" w:eastAsia="zh-CN"/>
        </w:rPr>
        <w:t>15.91</w:t>
      </w:r>
      <w:r>
        <w:rPr>
          <w:rFonts w:hint="default" w:ascii="仿宋_GB2312" w:hAnsi="仿宋_GB2312" w:eastAsia="仿宋_GB2312" w:cs="仿宋_GB2312"/>
          <w:szCs w:val="32"/>
          <w:highlight w:val="none"/>
        </w:rPr>
        <w:t>万元，执行数为</w:t>
      </w:r>
      <w:r>
        <w:rPr>
          <w:rFonts w:hint="eastAsia" w:ascii="仿宋_GB2312" w:hAnsi="仿宋_GB2312" w:eastAsia="仿宋_GB2312" w:cs="仿宋_GB2312"/>
          <w:szCs w:val="32"/>
          <w:highlight w:val="none"/>
          <w:lang w:val="en-US" w:eastAsia="zh-CN"/>
        </w:rPr>
        <w:t>15.91</w:t>
      </w:r>
      <w:r>
        <w:rPr>
          <w:rFonts w:hint="default" w:ascii="仿宋_GB2312" w:hAnsi="仿宋_GB2312" w:eastAsia="仿宋_GB2312" w:cs="仿宋_GB2312"/>
          <w:szCs w:val="32"/>
          <w:highlight w:val="none"/>
        </w:rPr>
        <w:t>万元，完成预算</w:t>
      </w:r>
      <w:r>
        <w:rPr>
          <w:rFonts w:hint="eastAsia" w:ascii="仿宋_GB2312" w:hAnsi="仿宋_GB2312" w:eastAsia="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w:t>
      </w:r>
      <w:r>
        <w:rPr>
          <w:rFonts w:hint="eastAsia" w:ascii="仿宋_GB2312" w:hAnsi="仿宋_GB2312" w:cs="仿宋_GB2312"/>
          <w:szCs w:val="32"/>
          <w:highlight w:val="none"/>
          <w:lang w:eastAsia="zh-CN"/>
        </w:rPr>
        <w:t>各</w:t>
      </w:r>
      <w:r>
        <w:rPr>
          <w:rFonts w:hint="default" w:ascii="仿宋_GB2312" w:hAnsi="仿宋_GB2312" w:eastAsia="仿宋_GB2312" w:cs="仿宋_GB2312"/>
          <w:szCs w:val="32"/>
          <w:highlight w:val="none"/>
        </w:rPr>
        <w:t>阶段，项目质量管理体系有效运行，满足合同及质量方针要求率达100％，成果合格率100％。③时效指标，截至</w:t>
      </w:r>
      <w:r>
        <w:rPr>
          <w:rFonts w:hint="eastAsia" w:ascii="仿宋_GB2312" w:hAnsi="仿宋_GB2312" w:eastAsia="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年12月底，均达到各项计划指标。④成本指标，项目支出审批程序严谨规范，支出标准有据，对项目成本控制有效。（2）效益指标完成情况分析。①经济效益指标,由于项目的实施，为</w:t>
      </w:r>
      <w:r>
        <w:rPr>
          <w:rFonts w:hint="eastAsia" w:ascii="仿宋_GB2312" w:hAnsi="仿宋_GB2312" w:cs="仿宋_GB2312"/>
          <w:szCs w:val="32"/>
          <w:highlight w:val="none"/>
          <w:lang w:eastAsia="zh-CN"/>
        </w:rPr>
        <w:t>提升干部管理科学化水平</w:t>
      </w:r>
      <w:r>
        <w:rPr>
          <w:rFonts w:hint="default" w:ascii="仿宋_GB2312" w:hAnsi="仿宋_GB2312" w:eastAsia="仿宋_GB2312" w:cs="仿宋_GB2312"/>
          <w:szCs w:val="32"/>
          <w:highlight w:val="none"/>
        </w:rPr>
        <w:t>打下了基础。②社会效益指标,</w:t>
      </w:r>
      <w:r>
        <w:rPr>
          <w:rFonts w:hint="eastAsia" w:ascii="仿宋_GB2312" w:hAnsi="仿宋_GB2312" w:cs="仿宋_GB2312"/>
          <w:szCs w:val="32"/>
          <w:highlight w:val="none"/>
          <w:lang w:eastAsia="zh-CN"/>
        </w:rPr>
        <w:t>进一步完善了干部管理的相关制度</w:t>
      </w:r>
      <w:r>
        <w:rPr>
          <w:rFonts w:hint="default" w:ascii="仿宋_GB2312" w:hAnsi="仿宋_GB2312" w:eastAsia="仿宋_GB2312" w:cs="仿宋_GB2312"/>
          <w:szCs w:val="32"/>
          <w:highlight w:val="none"/>
        </w:rPr>
        <w:t>。③可持续影响效益,为</w:t>
      </w:r>
      <w:r>
        <w:rPr>
          <w:rFonts w:hint="eastAsia" w:ascii="仿宋_GB2312" w:hAnsi="仿宋_GB2312" w:cs="仿宋_GB2312"/>
          <w:szCs w:val="32"/>
          <w:highlight w:val="none"/>
          <w:lang w:eastAsia="zh-CN"/>
        </w:rPr>
        <w:t>全市干部管理工作提供了技术支撑和服务</w:t>
      </w:r>
      <w:r>
        <w:rPr>
          <w:rFonts w:hint="default" w:ascii="仿宋_GB2312" w:hAnsi="仿宋_GB2312" w:eastAsia="仿宋_GB2312" w:cs="仿宋_GB2312"/>
          <w:szCs w:val="32"/>
          <w:highlight w:val="none"/>
        </w:rPr>
        <w:t>保障。</w:t>
      </w:r>
    </w:p>
    <w:p w14:paraId="613673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6A68F0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下一步改进措施：一是要求强化项目管理，二是强化预算执行，提升预算执行率。</w:t>
      </w:r>
    </w:p>
    <w:p w14:paraId="07C36DE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en-US" w:eastAsia="zh-CN"/>
        </w:rPr>
        <w:t>4、党纪学习教育经费</w:t>
      </w:r>
      <w:r>
        <w:rPr>
          <w:rFonts w:hint="default" w:ascii="仿宋_GB2312" w:hAnsi="仿宋_GB2312" w:eastAsia="仿宋_GB2312" w:cs="仿宋_GB2312"/>
          <w:b/>
          <w:bCs/>
          <w:szCs w:val="32"/>
          <w:highlight w:val="none"/>
          <w:lang w:val="en-US" w:eastAsia="zh-CN"/>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cs="仿宋_GB2312"/>
          <w:szCs w:val="32"/>
          <w:highlight w:val="none"/>
          <w:lang w:val="en-US" w:eastAsia="zh-CN"/>
        </w:rPr>
        <w:t>19.54</w:t>
      </w:r>
      <w:r>
        <w:rPr>
          <w:rFonts w:hint="default" w:ascii="仿宋_GB2312" w:hAnsi="仿宋_GB2312" w:eastAsia="仿宋_GB2312" w:cs="仿宋_GB2312"/>
          <w:szCs w:val="32"/>
          <w:highlight w:val="none"/>
        </w:rPr>
        <w:t>万元，执行数为</w:t>
      </w:r>
      <w:r>
        <w:rPr>
          <w:rFonts w:hint="eastAsia" w:ascii="仿宋_GB2312" w:hAnsi="仿宋_GB2312" w:cs="仿宋_GB2312"/>
          <w:szCs w:val="32"/>
          <w:highlight w:val="none"/>
          <w:lang w:val="en-US" w:eastAsia="zh-CN"/>
        </w:rPr>
        <w:t>19.54</w:t>
      </w:r>
      <w:r>
        <w:rPr>
          <w:rFonts w:hint="default" w:ascii="仿宋_GB2312" w:hAnsi="仿宋_GB2312" w:eastAsia="仿宋_GB2312" w:cs="仿宋_GB2312"/>
          <w:szCs w:val="32"/>
          <w:highlight w:val="none"/>
        </w:rPr>
        <w:t>万元，完成预算</w:t>
      </w:r>
      <w:r>
        <w:rPr>
          <w:rFonts w:hint="eastAsia" w:ascii="仿宋_GB2312" w:hAnsi="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。主要产出和效益：（1）产出指标完成情况分析。①数量指标，已完成整个项目。②质量指标，在项目实施</w:t>
      </w:r>
      <w:r>
        <w:rPr>
          <w:rFonts w:hint="eastAsia" w:ascii="仿宋_GB2312" w:hAnsi="仿宋_GB2312" w:cs="仿宋_GB2312"/>
          <w:szCs w:val="32"/>
          <w:highlight w:val="none"/>
          <w:lang w:eastAsia="zh-CN"/>
        </w:rPr>
        <w:t>各</w:t>
      </w:r>
      <w:r>
        <w:rPr>
          <w:rFonts w:hint="default" w:ascii="仿宋_GB2312" w:hAnsi="仿宋_GB2312" w:eastAsia="仿宋_GB2312" w:cs="仿宋_GB2312"/>
          <w:szCs w:val="32"/>
          <w:highlight w:val="none"/>
        </w:rPr>
        <w:t>阶段，项目质量管理体系有效运行，满足合同及质量方针要求率达100％，成果合格率100％。③时效指标，截至</w:t>
      </w:r>
      <w:r>
        <w:rPr>
          <w:rFonts w:hint="eastAsia" w:ascii="仿宋_GB2312" w:hAnsi="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w:t>
      </w:r>
      <w:r>
        <w:rPr>
          <w:rFonts w:hint="eastAsia" w:ascii="仿宋_GB2312" w:hAnsi="仿宋_GB2312" w:cs="仿宋_GB2312"/>
          <w:szCs w:val="32"/>
          <w:highlight w:val="none"/>
          <w:lang w:eastAsia="zh-CN"/>
        </w:rPr>
        <w:t>进一步提高了全市党员干部清正廉洁的思想认识</w:t>
      </w:r>
      <w:r>
        <w:rPr>
          <w:rFonts w:hint="default" w:ascii="仿宋_GB2312" w:hAnsi="仿宋_GB2312" w:eastAsia="仿宋_GB2312" w:cs="仿宋_GB2312"/>
          <w:szCs w:val="32"/>
          <w:highlight w:val="none"/>
        </w:rPr>
        <w:t>，从而切实</w:t>
      </w:r>
      <w:r>
        <w:rPr>
          <w:rFonts w:hint="eastAsia" w:ascii="仿宋_GB2312" w:hAnsi="仿宋_GB2312" w:cs="仿宋_GB2312"/>
          <w:szCs w:val="32"/>
          <w:highlight w:val="none"/>
          <w:lang w:eastAsia="zh-CN"/>
        </w:rPr>
        <w:t>为清廉随州建设、推动党员干部作风转变，奠定了基础</w:t>
      </w:r>
      <w:r>
        <w:rPr>
          <w:rFonts w:hint="default" w:ascii="仿宋_GB2312" w:hAnsi="仿宋_GB2312" w:eastAsia="仿宋_GB2312" w:cs="仿宋_GB2312"/>
          <w:szCs w:val="32"/>
          <w:highlight w:val="none"/>
        </w:rPr>
        <w:t>。②社会效益指标,提高</w:t>
      </w:r>
      <w:r>
        <w:rPr>
          <w:rFonts w:hint="eastAsia" w:ascii="仿宋_GB2312" w:hAnsi="仿宋_GB2312" w:cs="仿宋_GB2312"/>
          <w:szCs w:val="32"/>
          <w:highlight w:val="none"/>
          <w:lang w:eastAsia="zh-CN"/>
        </w:rPr>
        <w:t>了干部依法依规依纪办事的自觉，进一步提升公共服务</w:t>
      </w:r>
      <w:r>
        <w:rPr>
          <w:rFonts w:hint="default" w:ascii="仿宋_GB2312" w:hAnsi="仿宋_GB2312" w:eastAsia="仿宋_GB2312" w:cs="仿宋_GB2312"/>
          <w:szCs w:val="32"/>
          <w:highlight w:val="none"/>
        </w:rPr>
        <w:t>能力。③可持续影响效益,项目的实施后</w:t>
      </w:r>
      <w:r>
        <w:rPr>
          <w:rFonts w:hint="eastAsia" w:ascii="仿宋_GB2312" w:hAnsi="仿宋_GB2312" w:cs="仿宋_GB2312"/>
          <w:szCs w:val="32"/>
          <w:highlight w:val="none"/>
          <w:lang w:eastAsia="zh-CN"/>
        </w:rPr>
        <w:t>，</w:t>
      </w:r>
      <w:r>
        <w:rPr>
          <w:rFonts w:hint="default" w:ascii="仿宋_GB2312" w:hAnsi="仿宋_GB2312" w:eastAsia="仿宋_GB2312" w:cs="仿宋_GB2312"/>
          <w:szCs w:val="32"/>
          <w:highlight w:val="none"/>
        </w:rPr>
        <w:t>可</w:t>
      </w:r>
      <w:r>
        <w:rPr>
          <w:rFonts w:hint="eastAsia" w:ascii="仿宋_GB2312" w:hAnsi="仿宋_GB2312" w:cs="仿宋_GB2312"/>
          <w:szCs w:val="32"/>
          <w:highlight w:val="none"/>
          <w:lang w:eastAsia="zh-CN"/>
        </w:rPr>
        <w:t>持续释放推动全市</w:t>
      </w:r>
      <w:r>
        <w:rPr>
          <w:rFonts w:hint="default" w:ascii="仿宋_GB2312" w:hAnsi="仿宋_GB2312" w:eastAsia="仿宋_GB2312" w:cs="仿宋_GB2312"/>
          <w:szCs w:val="32"/>
          <w:highlight w:val="none"/>
        </w:rPr>
        <w:t>经济和社会</w:t>
      </w:r>
      <w:r>
        <w:rPr>
          <w:rFonts w:hint="eastAsia" w:ascii="仿宋_GB2312" w:hAnsi="仿宋_GB2312" w:cs="仿宋_GB2312"/>
          <w:szCs w:val="32"/>
          <w:highlight w:val="none"/>
          <w:lang w:eastAsia="zh-CN"/>
        </w:rPr>
        <w:t>高质量</w:t>
      </w:r>
      <w:r>
        <w:rPr>
          <w:rFonts w:hint="default" w:ascii="仿宋_GB2312" w:hAnsi="仿宋_GB2312" w:eastAsia="仿宋_GB2312" w:cs="仿宋_GB2312"/>
          <w:szCs w:val="32"/>
          <w:highlight w:val="none"/>
        </w:rPr>
        <w:t>发展</w:t>
      </w:r>
      <w:r>
        <w:rPr>
          <w:rFonts w:hint="eastAsia" w:ascii="仿宋_GB2312" w:hAnsi="仿宋_GB2312" w:cs="仿宋_GB2312"/>
          <w:szCs w:val="32"/>
          <w:highlight w:val="none"/>
          <w:lang w:eastAsia="zh-CN"/>
        </w:rPr>
        <w:t>的强大动力</w:t>
      </w:r>
      <w:r>
        <w:rPr>
          <w:rFonts w:hint="default" w:ascii="仿宋_GB2312" w:hAnsi="仿宋_GB2312" w:eastAsia="仿宋_GB2312" w:cs="仿宋_GB2312"/>
          <w:szCs w:val="32"/>
          <w:highlight w:val="none"/>
        </w:rPr>
        <w:t>。</w:t>
      </w:r>
    </w:p>
    <w:p w14:paraId="45134AC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28C0345E">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下一步改进措施：一是强化项目管理，二是强化预算执行，提升预算执行率。</w:t>
      </w:r>
    </w:p>
    <w:p w14:paraId="1622FFE9">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en-US" w:eastAsia="zh-CN"/>
        </w:rPr>
        <w:t>5、全市学习贯彻习近平新时代中国特色社会主义思想主题教育工作经费</w:t>
      </w:r>
      <w:r>
        <w:rPr>
          <w:rFonts w:hint="default" w:ascii="仿宋_GB2312" w:hAnsi="仿宋_GB2312" w:eastAsia="仿宋_GB2312" w:cs="仿宋_GB2312"/>
          <w:b/>
          <w:bCs/>
          <w:szCs w:val="32"/>
          <w:highlight w:val="none"/>
          <w:lang w:val="en-US" w:eastAsia="zh-CN"/>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cs="仿宋_GB2312"/>
          <w:szCs w:val="32"/>
          <w:highlight w:val="none"/>
          <w:lang w:val="en-US" w:eastAsia="zh-CN"/>
        </w:rPr>
        <w:t>25.04</w:t>
      </w:r>
      <w:r>
        <w:rPr>
          <w:rFonts w:hint="default" w:ascii="仿宋_GB2312" w:hAnsi="仿宋_GB2312" w:eastAsia="仿宋_GB2312" w:cs="仿宋_GB2312"/>
          <w:szCs w:val="32"/>
          <w:highlight w:val="none"/>
        </w:rPr>
        <w:t>万元，执行数为</w:t>
      </w:r>
      <w:r>
        <w:rPr>
          <w:rFonts w:hint="eastAsia" w:ascii="仿宋_GB2312" w:hAnsi="仿宋_GB2312" w:cs="仿宋_GB2312"/>
          <w:szCs w:val="32"/>
          <w:highlight w:val="none"/>
          <w:lang w:val="en-US" w:eastAsia="zh-CN"/>
        </w:rPr>
        <w:t>25.04</w:t>
      </w:r>
      <w:r>
        <w:rPr>
          <w:rFonts w:hint="default" w:ascii="仿宋_GB2312" w:hAnsi="仿宋_GB2312" w:eastAsia="仿宋_GB2312" w:cs="仿宋_GB2312"/>
          <w:szCs w:val="32"/>
          <w:highlight w:val="none"/>
        </w:rPr>
        <w:t>万元，完成预算</w:t>
      </w:r>
      <w:r>
        <w:rPr>
          <w:rFonts w:hint="eastAsia" w:ascii="仿宋_GB2312" w:hAnsi="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。主要产出和效益：（1）产出指标完成情况分析。①数量指标，已完成整个项目。②质量指标，在项目实施</w:t>
      </w:r>
      <w:r>
        <w:rPr>
          <w:rFonts w:hint="eastAsia" w:ascii="仿宋_GB2312" w:hAnsi="仿宋_GB2312" w:cs="仿宋_GB2312"/>
          <w:szCs w:val="32"/>
          <w:highlight w:val="none"/>
          <w:lang w:eastAsia="zh-CN"/>
        </w:rPr>
        <w:t>各</w:t>
      </w:r>
      <w:r>
        <w:rPr>
          <w:rFonts w:hint="default" w:ascii="仿宋_GB2312" w:hAnsi="仿宋_GB2312" w:eastAsia="仿宋_GB2312" w:cs="仿宋_GB2312"/>
          <w:szCs w:val="32"/>
          <w:highlight w:val="none"/>
        </w:rPr>
        <w:t>阶段，项目质量管理体系有效运行，满足合同及质量方针要求率达100％，成果合格率100％。③时效指标，截至</w:t>
      </w:r>
      <w:r>
        <w:rPr>
          <w:rFonts w:hint="eastAsia" w:ascii="仿宋_GB2312" w:hAnsi="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w:t>
      </w:r>
      <w:r>
        <w:rPr>
          <w:rFonts w:hint="eastAsia" w:ascii="仿宋_GB2312" w:hAnsi="仿宋_GB2312" w:cs="仿宋_GB2312"/>
          <w:szCs w:val="32"/>
          <w:highlight w:val="none"/>
          <w:lang w:eastAsia="zh-CN"/>
        </w:rPr>
        <w:t>全市党员干部进一步增强了对习近平新时代中国特色社会主义思想的学习、理解和掌握，</w:t>
      </w:r>
      <w:r>
        <w:rPr>
          <w:rFonts w:hint="default" w:ascii="仿宋_GB2312" w:hAnsi="仿宋_GB2312" w:eastAsia="仿宋_GB2312" w:cs="仿宋_GB2312"/>
          <w:szCs w:val="32"/>
          <w:highlight w:val="none"/>
        </w:rPr>
        <w:t>为</w:t>
      </w:r>
      <w:r>
        <w:rPr>
          <w:rFonts w:hint="eastAsia" w:ascii="仿宋_GB2312" w:hAnsi="仿宋_GB2312" w:cs="仿宋_GB2312"/>
          <w:szCs w:val="32"/>
          <w:highlight w:val="none"/>
          <w:lang w:eastAsia="zh-CN"/>
        </w:rPr>
        <w:t>全</w:t>
      </w:r>
      <w:r>
        <w:rPr>
          <w:rFonts w:hint="default" w:ascii="仿宋_GB2312" w:hAnsi="仿宋_GB2312" w:eastAsia="仿宋_GB2312" w:cs="仿宋_GB2312"/>
          <w:szCs w:val="32"/>
          <w:highlight w:val="none"/>
        </w:rPr>
        <w:t>市经济建设和社会</w:t>
      </w:r>
      <w:r>
        <w:rPr>
          <w:rFonts w:hint="eastAsia" w:ascii="仿宋_GB2312" w:hAnsi="仿宋_GB2312" w:cs="仿宋_GB2312"/>
          <w:szCs w:val="32"/>
          <w:highlight w:val="none"/>
          <w:lang w:eastAsia="zh-CN"/>
        </w:rPr>
        <w:t>事业高质量</w:t>
      </w:r>
      <w:r>
        <w:rPr>
          <w:rFonts w:hint="default" w:ascii="仿宋_GB2312" w:hAnsi="仿宋_GB2312" w:eastAsia="仿宋_GB2312" w:cs="仿宋_GB2312"/>
          <w:szCs w:val="32"/>
          <w:highlight w:val="none"/>
        </w:rPr>
        <w:t>发展提供</w:t>
      </w:r>
      <w:r>
        <w:rPr>
          <w:rFonts w:hint="eastAsia" w:ascii="仿宋_GB2312" w:hAnsi="仿宋_GB2312" w:cs="仿宋_GB2312"/>
          <w:szCs w:val="32"/>
          <w:highlight w:val="none"/>
          <w:lang w:eastAsia="zh-CN"/>
        </w:rPr>
        <w:t>强大的理论指引</w:t>
      </w:r>
      <w:r>
        <w:rPr>
          <w:rFonts w:hint="default" w:ascii="仿宋_GB2312" w:hAnsi="仿宋_GB2312" w:eastAsia="仿宋_GB2312" w:cs="仿宋_GB2312"/>
          <w:szCs w:val="32"/>
          <w:highlight w:val="none"/>
        </w:rPr>
        <w:t>。②社会效益指标,</w:t>
      </w:r>
      <w:r>
        <w:rPr>
          <w:rFonts w:hint="eastAsia" w:ascii="仿宋_GB2312" w:hAnsi="仿宋_GB2312" w:cs="仿宋_GB2312"/>
          <w:szCs w:val="32"/>
          <w:highlight w:val="none"/>
          <w:lang w:eastAsia="zh-CN"/>
        </w:rPr>
        <w:t>以人民为中心的发展思想进一步树牢</w:t>
      </w:r>
      <w:r>
        <w:rPr>
          <w:rFonts w:hint="default" w:ascii="仿宋_GB2312" w:hAnsi="仿宋_GB2312" w:eastAsia="仿宋_GB2312" w:cs="仿宋_GB2312"/>
          <w:szCs w:val="32"/>
          <w:highlight w:val="none"/>
        </w:rPr>
        <w:t>。③可持续影响效益,项目实施后</w:t>
      </w:r>
      <w:r>
        <w:rPr>
          <w:rFonts w:hint="eastAsia" w:ascii="仿宋_GB2312" w:hAnsi="仿宋_GB2312" w:cs="仿宋_GB2312"/>
          <w:szCs w:val="32"/>
          <w:highlight w:val="none"/>
          <w:lang w:eastAsia="zh-CN"/>
        </w:rPr>
        <w:t>，对推动全</w:t>
      </w:r>
      <w:r>
        <w:rPr>
          <w:rFonts w:hint="default" w:ascii="仿宋_GB2312" w:hAnsi="仿宋_GB2312" w:eastAsia="仿宋_GB2312" w:cs="仿宋_GB2312"/>
          <w:szCs w:val="32"/>
          <w:highlight w:val="none"/>
        </w:rPr>
        <w:t>市经济和社会</w:t>
      </w:r>
      <w:r>
        <w:rPr>
          <w:rFonts w:hint="eastAsia" w:ascii="仿宋_GB2312" w:hAnsi="仿宋_GB2312" w:cs="仿宋_GB2312"/>
          <w:szCs w:val="32"/>
          <w:highlight w:val="none"/>
          <w:lang w:eastAsia="zh-CN"/>
        </w:rPr>
        <w:t>高质量</w:t>
      </w:r>
      <w:r>
        <w:rPr>
          <w:rFonts w:hint="default" w:ascii="仿宋_GB2312" w:hAnsi="仿宋_GB2312" w:eastAsia="仿宋_GB2312" w:cs="仿宋_GB2312"/>
          <w:szCs w:val="32"/>
          <w:highlight w:val="none"/>
        </w:rPr>
        <w:t>发展提供</w:t>
      </w:r>
      <w:r>
        <w:rPr>
          <w:rFonts w:hint="eastAsia" w:ascii="仿宋_GB2312" w:hAnsi="仿宋_GB2312" w:cs="仿宋_GB2312"/>
          <w:szCs w:val="32"/>
          <w:highlight w:val="none"/>
          <w:lang w:eastAsia="zh-CN"/>
        </w:rPr>
        <w:t>强大保障和指引</w:t>
      </w:r>
      <w:r>
        <w:rPr>
          <w:rFonts w:hint="default" w:ascii="仿宋_GB2312" w:hAnsi="仿宋_GB2312" w:eastAsia="仿宋_GB2312" w:cs="仿宋_GB2312"/>
          <w:szCs w:val="32"/>
          <w:highlight w:val="none"/>
        </w:rPr>
        <w:t>。</w:t>
      </w:r>
    </w:p>
    <w:p w14:paraId="7F899EA7">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4DDC0361">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下一步改进措施：一是强化项目管理，二是强化预算执行，提升预算执行率。</w:t>
      </w:r>
    </w:p>
    <w:p w14:paraId="64CB03CA">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en-US" w:eastAsia="zh-CN"/>
        </w:rPr>
        <w:t>6、随州市委组织部视频会议室改造费</w:t>
      </w:r>
      <w:r>
        <w:rPr>
          <w:rFonts w:hint="default" w:ascii="仿宋_GB2312" w:hAnsi="仿宋_GB2312" w:eastAsia="仿宋_GB2312" w:cs="仿宋_GB2312"/>
          <w:b/>
          <w:bCs/>
          <w:szCs w:val="32"/>
          <w:highlight w:val="none"/>
          <w:lang w:val="en-US" w:eastAsia="zh-CN"/>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cs="仿宋_GB2312"/>
          <w:szCs w:val="32"/>
          <w:highlight w:val="none"/>
          <w:lang w:val="en-US" w:eastAsia="zh-CN"/>
        </w:rPr>
        <w:t>22.00</w:t>
      </w:r>
      <w:r>
        <w:rPr>
          <w:rFonts w:hint="default" w:ascii="仿宋_GB2312" w:hAnsi="仿宋_GB2312" w:eastAsia="仿宋_GB2312" w:cs="仿宋_GB2312"/>
          <w:szCs w:val="32"/>
          <w:highlight w:val="none"/>
        </w:rPr>
        <w:t>万元，执行数为</w:t>
      </w:r>
      <w:r>
        <w:rPr>
          <w:rFonts w:hint="eastAsia" w:ascii="仿宋_GB2312" w:hAnsi="仿宋_GB2312" w:cs="仿宋_GB2312"/>
          <w:szCs w:val="32"/>
          <w:highlight w:val="none"/>
          <w:lang w:val="en-US" w:eastAsia="zh-CN"/>
        </w:rPr>
        <w:t>22.00</w:t>
      </w:r>
      <w:r>
        <w:rPr>
          <w:rFonts w:hint="default" w:ascii="仿宋_GB2312" w:hAnsi="仿宋_GB2312" w:eastAsia="仿宋_GB2312" w:cs="仿宋_GB2312"/>
          <w:szCs w:val="32"/>
          <w:highlight w:val="none"/>
        </w:rPr>
        <w:t>万元，完成预算</w:t>
      </w:r>
      <w:r>
        <w:rPr>
          <w:rFonts w:hint="eastAsia" w:ascii="仿宋_GB2312" w:hAnsi="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招投标阶段，未出现弄虚作假，违反法律法规情况。在项目实施阶段，项目质量管理体系有效运行，满足合同及质量方针要求率达100％，成果合格率100％。③时效指标，截至</w:t>
      </w:r>
      <w:r>
        <w:rPr>
          <w:rFonts w:hint="eastAsia" w:ascii="仿宋_GB2312" w:hAnsi="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w:t>
      </w:r>
      <w:r>
        <w:rPr>
          <w:rFonts w:hint="eastAsia" w:ascii="仿宋_GB2312" w:hAnsi="仿宋_GB2312" w:cs="仿宋_GB2312"/>
          <w:szCs w:val="32"/>
          <w:highlight w:val="none"/>
          <w:lang w:eastAsia="zh-CN"/>
        </w:rPr>
        <w:t>提升了办公条件</w:t>
      </w:r>
      <w:r>
        <w:rPr>
          <w:rFonts w:hint="default" w:ascii="仿宋_GB2312" w:hAnsi="仿宋_GB2312" w:eastAsia="仿宋_GB2312" w:cs="仿宋_GB2312"/>
          <w:szCs w:val="32"/>
          <w:highlight w:val="none"/>
        </w:rPr>
        <w:t>，为</w:t>
      </w:r>
      <w:r>
        <w:rPr>
          <w:rFonts w:hint="eastAsia" w:ascii="仿宋_GB2312" w:hAnsi="仿宋_GB2312" w:cs="仿宋_GB2312"/>
          <w:szCs w:val="32"/>
          <w:highlight w:val="none"/>
          <w:lang w:eastAsia="zh-CN"/>
        </w:rPr>
        <w:t>市委组织部更好履职职能提供了必要的物质条件和基础。</w:t>
      </w:r>
      <w:r>
        <w:rPr>
          <w:rFonts w:hint="default" w:ascii="仿宋_GB2312" w:hAnsi="仿宋_GB2312" w:eastAsia="仿宋_GB2312" w:cs="仿宋_GB2312"/>
          <w:szCs w:val="32"/>
          <w:highlight w:val="none"/>
        </w:rPr>
        <w:t>②社会效益指标,提高</w:t>
      </w:r>
      <w:r>
        <w:rPr>
          <w:rFonts w:hint="eastAsia" w:ascii="仿宋_GB2312" w:hAnsi="仿宋_GB2312" w:cs="仿宋_GB2312"/>
          <w:szCs w:val="32"/>
          <w:highlight w:val="none"/>
          <w:lang w:eastAsia="zh-CN"/>
        </w:rPr>
        <w:t>了市委组织部履行服务和保障职能的水平</w:t>
      </w:r>
      <w:r>
        <w:rPr>
          <w:rFonts w:hint="default" w:ascii="仿宋_GB2312" w:hAnsi="仿宋_GB2312" w:eastAsia="仿宋_GB2312" w:cs="仿宋_GB2312"/>
          <w:szCs w:val="32"/>
          <w:highlight w:val="none"/>
        </w:rPr>
        <w:t>。③可持续影响效益,项目实施后</w:t>
      </w:r>
      <w:r>
        <w:rPr>
          <w:rFonts w:hint="eastAsia" w:ascii="仿宋_GB2312" w:hAnsi="仿宋_GB2312" w:cs="仿宋_GB2312"/>
          <w:szCs w:val="32"/>
          <w:highlight w:val="none"/>
          <w:lang w:eastAsia="zh-CN"/>
        </w:rPr>
        <w:t>，</w:t>
      </w:r>
      <w:r>
        <w:rPr>
          <w:rFonts w:hint="default" w:ascii="仿宋_GB2312" w:hAnsi="仿宋_GB2312" w:eastAsia="仿宋_GB2312" w:cs="仿宋_GB2312"/>
          <w:szCs w:val="32"/>
          <w:highlight w:val="none"/>
        </w:rPr>
        <w:t>可</w:t>
      </w:r>
      <w:r>
        <w:rPr>
          <w:rFonts w:hint="eastAsia" w:ascii="仿宋_GB2312" w:hAnsi="仿宋_GB2312" w:cs="仿宋_GB2312"/>
          <w:szCs w:val="32"/>
          <w:highlight w:val="none"/>
          <w:lang w:eastAsia="zh-CN"/>
        </w:rPr>
        <w:t>持续推动市委组织部更好履职尽责。</w:t>
      </w:r>
    </w:p>
    <w:p w14:paraId="4155BE5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3F4727A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下一步改进措施：一是强化项目管理，二是强化预算执行，提升预算执行率。</w:t>
      </w:r>
    </w:p>
    <w:p w14:paraId="19BA1A88">
      <w:pPr>
        <w:keepNext w:val="0"/>
        <w:keepLines w:val="0"/>
        <w:pageBreakBefore w:val="0"/>
        <w:widowControl w:val="0"/>
        <w:kinsoku/>
        <w:wordWrap/>
        <w:overflowPunct/>
        <w:topLinePunct w:val="0"/>
        <w:autoSpaceDE/>
        <w:autoSpaceDN/>
        <w:bidi w:val="0"/>
        <w:spacing w:line="600" w:lineRule="exact"/>
        <w:ind w:firstLine="643" w:firstLineChars="200"/>
        <w:textAlignment w:val="auto"/>
        <w:rPr>
          <w:rFonts w:hint="default" w:ascii="仿宋_GB2312" w:hAnsi="仿宋_GB2312" w:eastAsia="仿宋_GB2312" w:cs="仿宋_GB2312"/>
          <w:szCs w:val="32"/>
          <w:highlight w:val="none"/>
        </w:rPr>
      </w:pPr>
      <w:r>
        <w:rPr>
          <w:rFonts w:hint="eastAsia" w:ascii="仿宋_GB2312" w:hAnsi="仿宋_GB2312" w:eastAsia="仿宋_GB2312" w:cs="仿宋_GB2312"/>
          <w:b/>
          <w:bCs/>
          <w:szCs w:val="32"/>
          <w:highlight w:val="none"/>
          <w:lang w:val="en-US" w:eastAsia="zh-CN"/>
        </w:rPr>
        <w:t>7、炎帝人才支持计划经费</w:t>
      </w:r>
      <w:r>
        <w:rPr>
          <w:rFonts w:hint="default" w:ascii="仿宋_GB2312" w:hAnsi="仿宋_GB2312" w:eastAsia="仿宋_GB2312" w:cs="仿宋_GB2312"/>
          <w:b/>
          <w:bCs/>
          <w:szCs w:val="32"/>
          <w:highlight w:val="none"/>
          <w:lang w:val="en-US" w:eastAsia="zh-CN"/>
        </w:rPr>
        <w:t>项目</w:t>
      </w:r>
      <w:r>
        <w:rPr>
          <w:rFonts w:hint="default" w:ascii="仿宋_GB2312" w:hAnsi="仿宋_GB2312" w:eastAsia="仿宋_GB2312" w:cs="仿宋_GB2312"/>
          <w:szCs w:val="32"/>
          <w:highlight w:val="none"/>
        </w:rPr>
        <w:t>绩效自评综述：项目全年预算数为</w:t>
      </w:r>
      <w:r>
        <w:rPr>
          <w:rFonts w:hint="eastAsia" w:ascii="仿宋_GB2312" w:hAnsi="仿宋_GB2312" w:cs="仿宋_GB2312"/>
          <w:szCs w:val="32"/>
          <w:highlight w:val="none"/>
          <w:lang w:val="en-US" w:eastAsia="zh-CN"/>
        </w:rPr>
        <w:t>125.19</w:t>
      </w:r>
      <w:r>
        <w:rPr>
          <w:rFonts w:hint="default" w:ascii="仿宋_GB2312" w:hAnsi="仿宋_GB2312" w:eastAsia="仿宋_GB2312" w:cs="仿宋_GB2312"/>
          <w:szCs w:val="32"/>
          <w:highlight w:val="none"/>
        </w:rPr>
        <w:t>万元，执行数为</w:t>
      </w:r>
      <w:r>
        <w:rPr>
          <w:rFonts w:hint="eastAsia" w:ascii="仿宋_GB2312" w:hAnsi="仿宋_GB2312" w:cs="仿宋_GB2312"/>
          <w:szCs w:val="32"/>
          <w:highlight w:val="none"/>
          <w:lang w:val="en-US" w:eastAsia="zh-CN"/>
        </w:rPr>
        <w:t>125.19</w:t>
      </w:r>
      <w:r>
        <w:rPr>
          <w:rFonts w:hint="default" w:ascii="仿宋_GB2312" w:hAnsi="仿宋_GB2312" w:eastAsia="仿宋_GB2312" w:cs="仿宋_GB2312"/>
          <w:szCs w:val="32"/>
          <w:highlight w:val="none"/>
        </w:rPr>
        <w:t>万元，完成预算</w:t>
      </w:r>
      <w:r>
        <w:rPr>
          <w:rFonts w:hint="eastAsia" w:ascii="仿宋_GB2312" w:hAnsi="仿宋_GB2312" w:cs="仿宋_GB2312"/>
          <w:szCs w:val="32"/>
          <w:highlight w:val="none"/>
          <w:lang w:val="en-US" w:eastAsia="zh-CN"/>
        </w:rPr>
        <w:t>100%</w:t>
      </w:r>
      <w:r>
        <w:rPr>
          <w:rFonts w:hint="default" w:ascii="仿宋_GB2312" w:hAnsi="仿宋_GB2312" w:eastAsia="仿宋_GB2312" w:cs="仿宋_GB2312"/>
          <w:szCs w:val="32"/>
          <w:highlight w:val="none"/>
        </w:rPr>
        <w:t>。主要产出和效益：（1）产出指标完成情况分析。①数量指标，已完成整个项目。②质量指标，在项目实施</w:t>
      </w:r>
      <w:r>
        <w:rPr>
          <w:rFonts w:hint="eastAsia" w:ascii="仿宋_GB2312" w:hAnsi="仿宋_GB2312" w:cs="仿宋_GB2312"/>
          <w:szCs w:val="32"/>
          <w:highlight w:val="none"/>
          <w:lang w:eastAsia="zh-CN"/>
        </w:rPr>
        <w:t>各</w:t>
      </w:r>
      <w:r>
        <w:rPr>
          <w:rFonts w:hint="default" w:ascii="仿宋_GB2312" w:hAnsi="仿宋_GB2312" w:eastAsia="仿宋_GB2312" w:cs="仿宋_GB2312"/>
          <w:szCs w:val="32"/>
          <w:highlight w:val="none"/>
        </w:rPr>
        <w:t>阶段，项目质量管理体系有效运行，满足合同及质量方针要求率达100％，成果合格率100％。③时效指标，截至</w:t>
      </w:r>
      <w:r>
        <w:rPr>
          <w:rFonts w:hint="eastAsia" w:ascii="仿宋_GB2312" w:hAnsi="仿宋_GB2312" w:cs="仿宋_GB2312"/>
          <w:szCs w:val="32"/>
          <w:highlight w:val="none"/>
          <w:lang w:val="en-US" w:eastAsia="zh-CN"/>
        </w:rPr>
        <w:t>2024</w:t>
      </w:r>
      <w:r>
        <w:rPr>
          <w:rFonts w:hint="default" w:ascii="仿宋_GB2312" w:hAnsi="仿宋_GB2312" w:eastAsia="仿宋_GB2312" w:cs="仿宋_GB2312"/>
          <w:szCs w:val="32"/>
          <w:highlight w:val="none"/>
        </w:rPr>
        <w:t>年12月底，均达到各项计划指标。④成本指标，项目支出审批程序严谨规范，支出标准有据，对项目成本控制有效。（2）效益指标完成情况分析。①经济效益指标,由于项目的实施，为</w:t>
      </w:r>
      <w:r>
        <w:rPr>
          <w:rFonts w:hint="eastAsia" w:ascii="仿宋_GB2312" w:hAnsi="仿宋_GB2312" w:cs="仿宋_GB2312"/>
          <w:szCs w:val="32"/>
          <w:highlight w:val="none"/>
          <w:lang w:eastAsia="zh-CN"/>
        </w:rPr>
        <w:t>全市招才引智打下了基础</w:t>
      </w:r>
      <w:r>
        <w:rPr>
          <w:rFonts w:hint="default" w:ascii="仿宋_GB2312" w:hAnsi="仿宋_GB2312" w:eastAsia="仿宋_GB2312" w:cs="仿宋_GB2312"/>
          <w:szCs w:val="32"/>
          <w:highlight w:val="none"/>
        </w:rPr>
        <w:t>，</w:t>
      </w:r>
      <w:r>
        <w:rPr>
          <w:rFonts w:hint="eastAsia" w:ascii="仿宋_GB2312" w:hAnsi="仿宋_GB2312" w:cs="仿宋_GB2312"/>
          <w:szCs w:val="32"/>
          <w:highlight w:val="none"/>
          <w:lang w:eastAsia="zh-CN"/>
        </w:rPr>
        <w:t>有效帮助企业解决人才引进难得问题，为全市科技创新和</w:t>
      </w:r>
      <w:r>
        <w:rPr>
          <w:rFonts w:hint="default" w:ascii="仿宋_GB2312" w:hAnsi="仿宋_GB2312" w:eastAsia="仿宋_GB2312" w:cs="仿宋_GB2312"/>
          <w:szCs w:val="32"/>
          <w:highlight w:val="none"/>
        </w:rPr>
        <w:t>经济</w:t>
      </w:r>
      <w:r>
        <w:rPr>
          <w:rFonts w:hint="eastAsia" w:ascii="仿宋_GB2312" w:hAnsi="仿宋_GB2312" w:cs="仿宋_GB2312"/>
          <w:szCs w:val="32"/>
          <w:highlight w:val="none"/>
          <w:lang w:eastAsia="zh-CN"/>
        </w:rPr>
        <w:t>发展提高了人才支撑。</w:t>
      </w:r>
      <w:r>
        <w:rPr>
          <w:rFonts w:hint="default" w:ascii="仿宋_GB2312" w:hAnsi="仿宋_GB2312" w:eastAsia="仿宋_GB2312" w:cs="仿宋_GB2312"/>
          <w:szCs w:val="32"/>
          <w:highlight w:val="none"/>
        </w:rPr>
        <w:t>②社会效益指标,提高</w:t>
      </w:r>
      <w:r>
        <w:rPr>
          <w:rFonts w:hint="eastAsia" w:ascii="仿宋_GB2312" w:hAnsi="仿宋_GB2312" w:cs="仿宋_GB2312"/>
          <w:szCs w:val="32"/>
          <w:highlight w:val="none"/>
          <w:lang w:eastAsia="zh-CN"/>
        </w:rPr>
        <w:t>了全市服务和保障人才工作的能力。</w:t>
      </w:r>
      <w:r>
        <w:rPr>
          <w:rFonts w:hint="default" w:ascii="仿宋_GB2312" w:hAnsi="仿宋_GB2312" w:eastAsia="仿宋_GB2312" w:cs="仿宋_GB2312"/>
          <w:szCs w:val="32"/>
          <w:highlight w:val="none"/>
        </w:rPr>
        <w:t>③可持续影响效益,</w:t>
      </w:r>
      <w:r>
        <w:rPr>
          <w:rFonts w:hint="eastAsia" w:ascii="仿宋_GB2312" w:hAnsi="仿宋_GB2312" w:cs="仿宋_GB2312"/>
          <w:szCs w:val="32"/>
          <w:highlight w:val="none"/>
          <w:lang w:eastAsia="zh-CN"/>
        </w:rPr>
        <w:t>随州</w:t>
      </w:r>
      <w:r>
        <w:rPr>
          <w:rFonts w:hint="default" w:ascii="仿宋_GB2312" w:hAnsi="仿宋_GB2312" w:eastAsia="仿宋_GB2312" w:cs="仿宋_GB2312"/>
          <w:szCs w:val="32"/>
          <w:highlight w:val="none"/>
        </w:rPr>
        <w:t>项目的实施</w:t>
      </w:r>
      <w:r>
        <w:rPr>
          <w:rFonts w:hint="eastAsia" w:ascii="仿宋_GB2312" w:hAnsi="仿宋_GB2312" w:cs="仿宋_GB2312"/>
          <w:szCs w:val="32"/>
          <w:highlight w:val="none"/>
          <w:lang w:eastAsia="zh-CN"/>
        </w:rPr>
        <w:t>，更多优秀人才被引进和留下，为推动全市经济转型和高质量发展提供坚实的智力支撑。</w:t>
      </w:r>
    </w:p>
    <w:p w14:paraId="328FCF92">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存在的问题和原因：无</w:t>
      </w:r>
    </w:p>
    <w:p w14:paraId="35E0DBB5">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default" w:ascii="仿宋_GB2312" w:hAnsi="仿宋_GB2312" w:eastAsia="仿宋_GB2312" w:cs="仿宋_GB2312"/>
          <w:szCs w:val="32"/>
          <w:highlight w:val="none"/>
        </w:rPr>
      </w:pPr>
      <w:r>
        <w:rPr>
          <w:rFonts w:hint="default" w:ascii="仿宋_GB2312" w:hAnsi="仿宋_GB2312" w:eastAsia="仿宋_GB2312" w:cs="仿宋_GB2312"/>
          <w:szCs w:val="32"/>
          <w:highlight w:val="none"/>
        </w:rPr>
        <w:t>下一步改进措施：一是强化项目管理，二是强化预算执行，提升预算执行率。</w:t>
      </w:r>
    </w:p>
    <w:p w14:paraId="14E57D62">
      <w:pPr>
        <w:keepNext w:val="0"/>
        <w:keepLines w:val="0"/>
        <w:pageBreakBefore w:val="0"/>
        <w:widowControl w:val="0"/>
        <w:kinsoku/>
        <w:wordWrap/>
        <w:overflowPunct/>
        <w:topLinePunct w:val="0"/>
        <w:autoSpaceDE/>
        <w:autoSpaceDN/>
        <w:bidi w:val="0"/>
        <w:spacing w:line="60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（三）绩效评价结果应用情况。</w:t>
      </w:r>
    </w:p>
    <w:p w14:paraId="4197C6A9">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 w:eastAsia="仿宋_GB2312" w:cs="仿宋"/>
          <w:sz w:val="32"/>
          <w:szCs w:val="32"/>
          <w:lang w:val="en-US" w:eastAsia="zh-CN"/>
        </w:rPr>
      </w:pPr>
      <w:r>
        <w:rPr>
          <w:rFonts w:hint="eastAsia" w:ascii="仿宋_GB2312" w:hAnsi="仿宋" w:cs="仿宋"/>
          <w:sz w:val="32"/>
          <w:szCs w:val="32"/>
          <w:lang w:val="en-US" w:eastAsia="zh-CN"/>
        </w:rPr>
        <w:t>坚持</w:t>
      </w:r>
      <w:r>
        <w:rPr>
          <w:rFonts w:hint="eastAsia" w:ascii="仿宋_GB2312" w:hAnsi="仿宋" w:eastAsia="仿宋_GB2312" w:cs="仿宋"/>
          <w:sz w:val="32"/>
          <w:szCs w:val="32"/>
          <w:lang w:val="en-US" w:eastAsia="zh-CN"/>
        </w:rPr>
        <w:t>将绩效评价结果与预算编制情况相结合，加强项目规划，完善项目分配办法和管理办法，在编制202</w:t>
      </w:r>
      <w:r>
        <w:rPr>
          <w:rFonts w:hint="eastAsia" w:ascii="仿宋_GB2312" w:hAnsi="仿宋" w:cs="仿宋"/>
          <w:sz w:val="32"/>
          <w:szCs w:val="32"/>
          <w:lang w:val="en-US" w:eastAsia="zh-CN"/>
        </w:rPr>
        <w:t>6</w:t>
      </w:r>
      <w:r>
        <w:rPr>
          <w:rFonts w:hint="eastAsia" w:ascii="仿宋_GB2312" w:hAnsi="仿宋" w:eastAsia="仿宋_GB2312" w:cs="仿宋"/>
          <w:sz w:val="32"/>
          <w:szCs w:val="32"/>
          <w:lang w:val="en-US" w:eastAsia="zh-CN"/>
        </w:rPr>
        <w:t>年度预算中</w:t>
      </w:r>
      <w:r>
        <w:rPr>
          <w:rFonts w:hint="eastAsia" w:ascii="仿宋_GB2312" w:hAnsi="仿宋" w:cs="仿宋"/>
          <w:sz w:val="32"/>
          <w:szCs w:val="32"/>
          <w:lang w:val="en-US" w:eastAsia="zh-CN"/>
        </w:rPr>
        <w:t>进一步</w:t>
      </w:r>
      <w:r>
        <w:rPr>
          <w:rFonts w:hint="eastAsia" w:ascii="仿宋_GB2312" w:hAnsi="仿宋" w:eastAsia="仿宋_GB2312" w:cs="仿宋"/>
          <w:sz w:val="32"/>
          <w:szCs w:val="32"/>
          <w:lang w:val="en-US" w:eastAsia="zh-CN"/>
        </w:rPr>
        <w:t>优化项目。</w:t>
      </w:r>
    </w:p>
    <w:p w14:paraId="681534EB">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部门绩效评价结果拟应用情况。加强项目管理，针对绩效评价中存在的问题，及时规范财务管理制度，强化项目监督，提高财政资金使用质效，确保投入产出。</w:t>
      </w:r>
    </w:p>
    <w:p w14:paraId="078B4FF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楷体_GB2312" w:hAnsi="楷体_GB2312" w:eastAsia="楷体_GB2312" w:cs="楷体_GB2312"/>
          <w:b/>
          <w:bCs/>
          <w:sz w:val="32"/>
          <w:szCs w:val="32"/>
          <w:lang w:val="en-US" w:eastAsia="zh-CN"/>
        </w:rPr>
      </w:pPr>
    </w:p>
    <w:p w14:paraId="34F96A9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楷体_GB2312" w:hAnsi="楷体_GB2312" w:eastAsia="楷体_GB2312" w:cs="楷体_GB2312"/>
          <w:b/>
          <w:bCs/>
          <w:sz w:val="32"/>
          <w:szCs w:val="32"/>
          <w:lang w:val="en-US" w:eastAsia="zh-CN"/>
        </w:rPr>
      </w:pPr>
    </w:p>
    <w:p w14:paraId="7C8FB17F">
      <w:pPr>
        <w:pStyle w:val="4"/>
        <w:rPr>
          <w:rFonts w:hint="eastAsia" w:ascii="黑体" w:hAnsi="黑体" w:eastAsia="黑体" w:cs="黑体"/>
          <w:lang w:val="en-US" w:eastAsia="zh-CN"/>
        </w:rPr>
      </w:pPr>
      <w:r>
        <w:rPr>
          <w:rFonts w:hint="eastAsia" w:eastAsia="仿宋_GB2312"/>
          <w:lang w:eastAsia="zh-CN"/>
        </w:rPr>
        <w:drawing>
          <wp:inline distT="0" distB="0" distL="114300" distR="114300">
            <wp:extent cx="5272405" cy="2277110"/>
            <wp:effectExtent l="0" t="0" r="4445" b="8890"/>
            <wp:docPr id="16" name="图片 16" descr="d81f93fc-6dc4-4869-9e82-e5e6ed9c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d81f93fc-6dc4-4869-9e82-e5e6ed9c9995"/>
                    <pic:cNvPicPr>
                      <a:picLocks noChangeAspect="1"/>
                    </pic:cNvPicPr>
                  </pic:nvPicPr>
                  <pic:blipFill>
                    <a:blip r:embed="rId18"/>
                    <a:stretch>
                      <a:fillRect/>
                    </a:stretch>
                  </pic:blipFill>
                  <pic:spPr>
                    <a:xfrm>
                      <a:off x="0" y="0"/>
                      <a:ext cx="5272405" cy="2277110"/>
                    </a:xfrm>
                    <a:prstGeom prst="rect">
                      <a:avLst/>
                    </a:prstGeom>
                  </pic:spPr>
                </pic:pic>
              </a:graphicData>
            </a:graphic>
          </wp:inline>
        </w:drawing>
      </w:r>
    </w:p>
    <w:p w14:paraId="4B11CD15">
      <w:pPr>
        <w:rPr>
          <w:rFonts w:hint="eastAsia"/>
          <w:lang w:val="en-US" w:eastAsia="zh-CN"/>
        </w:rPr>
      </w:pPr>
    </w:p>
    <w:p w14:paraId="7492D94B">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十四、财政专项支出、专项转移支付支出的部门（单位）参照部门预算公开的范围、体例和内容进行公开。</w:t>
      </w:r>
    </w:p>
    <w:p w14:paraId="531CC24A">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eastAsia="仿宋_GB2312"/>
          <w:lang w:eastAsia="zh-CN"/>
        </w:rPr>
      </w:pPr>
      <w:r>
        <w:rPr>
          <w:rFonts w:hint="eastAsia"/>
          <w:lang w:eastAsia="zh-CN"/>
        </w:rPr>
        <w:t>无</w:t>
      </w:r>
    </w:p>
    <w:p w14:paraId="4946B433">
      <w:pPr>
        <w:jc w:val="center"/>
      </w:pPr>
    </w:p>
    <w:p w14:paraId="7C797DD6">
      <w:pPr>
        <w:jc w:val="center"/>
        <w:rPr>
          <w:rFonts w:hint="eastAsia" w:ascii="黑体" w:hAnsi="黑体" w:eastAsia="黑体" w:cs="黑体"/>
          <w:sz w:val="32"/>
          <w:szCs w:val="32"/>
          <w:lang w:val="en-US" w:eastAsia="zh-CN"/>
        </w:rPr>
      </w:pPr>
      <w:r>
        <w:rPr>
          <w:rFonts w:hint="eastAsia" w:ascii="黑体" w:hAnsi="黑体" w:eastAsia="黑体" w:cs="黑体"/>
          <w:lang w:val="en-US" w:eastAsia="zh-CN"/>
        </w:rPr>
        <w:t>第四部分  其他需要说明的情况</w:t>
      </w:r>
      <w:r>
        <w:rPr>
          <w:rFonts w:hint="eastAsia" w:ascii="黑体" w:hAnsi="黑体" w:eastAsia="黑体" w:cs="黑体"/>
          <w:sz w:val="32"/>
          <w:szCs w:val="32"/>
          <w:lang w:val="en-US" w:eastAsia="zh-CN"/>
        </w:rPr>
        <w:t xml:space="preserve"> </w:t>
      </w:r>
    </w:p>
    <w:p w14:paraId="025CE967">
      <w:pPr>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lang w:val="en-US" w:eastAsia="zh-CN"/>
        </w:rPr>
      </w:pPr>
      <w:r>
        <w:rPr>
          <w:rFonts w:hint="eastAsia"/>
          <w:lang w:val="en-US" w:eastAsia="zh-CN"/>
        </w:rPr>
        <w:t>无</w:t>
      </w:r>
    </w:p>
    <w:p w14:paraId="1A32E6E6">
      <w:pPr>
        <w:jc w:val="center"/>
        <w:rPr>
          <w:rFonts w:hint="eastAsia" w:ascii="黑体" w:hAnsi="黑体" w:eastAsia="黑体" w:cs="黑体"/>
          <w:sz w:val="32"/>
          <w:szCs w:val="32"/>
          <w:lang w:val="en-US" w:eastAsia="zh-CN"/>
        </w:rPr>
      </w:pPr>
    </w:p>
    <w:p w14:paraId="18F83A10">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第五部分  名词解释</w:t>
      </w:r>
    </w:p>
    <w:p w14:paraId="2E4B1C5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（一）</w:t>
      </w:r>
      <w:r>
        <w:rPr>
          <w:rFonts w:hint="eastAsia" w:ascii="仿宋_GB2312" w:eastAsia="仿宋_GB2312"/>
          <w:bCs/>
          <w:kern w:val="44"/>
          <w:sz w:val="32"/>
          <w:szCs w:val="32"/>
          <w:highlight w:val="none"/>
          <w:lang w:val="en-US" w:eastAsia="zh-CN"/>
        </w:rPr>
        <w:t>一般公共预算财政拨款收入：</w:t>
      </w:r>
      <w:r>
        <w:rPr>
          <w:rFonts w:hint="default" w:ascii="仿宋_GB2312" w:eastAsia="仿宋_GB2312"/>
          <w:bCs/>
          <w:kern w:val="44"/>
          <w:sz w:val="32"/>
          <w:szCs w:val="32"/>
          <w:highlight w:val="none"/>
          <w:lang w:val="en-US" w:eastAsia="zh-CN"/>
        </w:rPr>
        <w:t>指</w:t>
      </w:r>
      <w:r>
        <w:rPr>
          <w:rFonts w:hint="eastAsia" w:ascii="仿宋_GB2312" w:eastAsia="仿宋_GB2312"/>
          <w:bCs/>
          <w:kern w:val="44"/>
          <w:sz w:val="32"/>
          <w:szCs w:val="32"/>
          <w:highlight w:val="none"/>
          <w:lang w:val="en-US" w:eastAsia="zh-CN"/>
        </w:rPr>
        <w:t>省级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一般公共预算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5330253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（二）</w:t>
      </w:r>
      <w:r>
        <w:rPr>
          <w:rFonts w:hint="eastAsia" w:ascii="仿宋_GB2312" w:eastAsia="仿宋_GB2312"/>
          <w:bCs/>
          <w:kern w:val="44"/>
          <w:sz w:val="32"/>
          <w:szCs w:val="32"/>
          <w:highlight w:val="none"/>
          <w:lang w:val="en-US" w:eastAsia="zh-CN"/>
        </w:rPr>
        <w:t>政府性基金预算财政拨款收入：</w:t>
      </w:r>
      <w:r>
        <w:rPr>
          <w:rFonts w:hint="default" w:ascii="仿宋_GB2312" w:eastAsia="仿宋_GB2312"/>
          <w:bCs/>
          <w:kern w:val="44"/>
          <w:sz w:val="32"/>
          <w:szCs w:val="32"/>
          <w:highlight w:val="none"/>
          <w:lang w:val="en-US" w:eastAsia="zh-CN"/>
        </w:rPr>
        <w:t>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政府性基金预算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0AF7E48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（三）</w:t>
      </w:r>
      <w:r>
        <w:rPr>
          <w:rFonts w:hint="eastAsia" w:ascii="仿宋_GB2312" w:eastAsia="仿宋_GB2312"/>
          <w:bCs/>
          <w:kern w:val="44"/>
          <w:sz w:val="32"/>
          <w:szCs w:val="32"/>
          <w:highlight w:val="none"/>
          <w:lang w:val="en-US" w:eastAsia="zh-CN"/>
        </w:rPr>
        <w:t>国有资本经营预算财政拨款收入：指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级财政国有资本经营预算当年拨付的资金。</w:t>
      </w:r>
    </w:p>
    <w:p w14:paraId="3CB9B94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9"/>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（四）</w:t>
      </w:r>
      <w:r>
        <w:rPr>
          <w:rFonts w:hint="eastAsia" w:ascii="仿宋_GB2312" w:eastAsia="仿宋_GB2312"/>
          <w:bCs/>
          <w:kern w:val="44"/>
          <w:sz w:val="32"/>
          <w:szCs w:val="32"/>
          <w:highlight w:val="none"/>
          <w:lang w:val="en-US" w:eastAsia="zh-CN"/>
        </w:rPr>
        <w:t>上级补助收入：指从</w:t>
      </w:r>
      <w:r>
        <w:rPr>
          <w:rFonts w:hint="eastAsia" w:ascii="仿宋_GB2312" w:hAnsi="宋体" w:eastAsia="仿宋_GB2312"/>
          <w:sz w:val="32"/>
          <w:szCs w:val="32"/>
          <w:highlight w:val="none"/>
          <w:lang w:val="en-US" w:eastAsia="zh-CN"/>
        </w:rPr>
        <w:t>事业单位</w:t>
      </w:r>
      <w:r>
        <w:rPr>
          <w:rFonts w:hint="eastAsia" w:ascii="仿宋_GB2312" w:eastAsia="仿宋_GB2312"/>
          <w:bCs/>
          <w:kern w:val="44"/>
          <w:sz w:val="32"/>
          <w:szCs w:val="32"/>
          <w:highlight w:val="none"/>
          <w:lang w:val="en-US" w:eastAsia="zh-CN"/>
        </w:rPr>
        <w:t>主管部门和上级单位取得的非财政补助收入。</w:t>
      </w:r>
    </w:p>
    <w:p w14:paraId="1AFFFF84">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（五）</w:t>
      </w:r>
      <w:r>
        <w:rPr>
          <w:rFonts w:hint="eastAsia" w:ascii="仿宋_GB2312" w:eastAsia="仿宋_GB2312"/>
          <w:bCs/>
          <w:kern w:val="44"/>
          <w:sz w:val="32"/>
          <w:szCs w:val="32"/>
          <w:highlight w:val="none"/>
          <w:lang w:val="en-US" w:eastAsia="zh-CN"/>
        </w:rPr>
        <w:t>事业收入：指事业单位开展专业业务活动及其辅助活动取得的收入。</w:t>
      </w:r>
    </w:p>
    <w:p w14:paraId="45D7F45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（六）</w:t>
      </w:r>
      <w:r>
        <w:rPr>
          <w:rFonts w:hint="eastAsia" w:ascii="仿宋_GB2312" w:eastAsia="仿宋_GB2312"/>
          <w:bCs/>
          <w:kern w:val="44"/>
          <w:sz w:val="32"/>
          <w:szCs w:val="32"/>
          <w:highlight w:val="none"/>
          <w:lang w:val="en-US" w:eastAsia="zh-CN"/>
        </w:rPr>
        <w:t>经营收入：指事业单位在专业业务活动及其辅助活动之外开展非独立核算经营活动取得的收入。</w:t>
      </w:r>
    </w:p>
    <w:p w14:paraId="1AA74A2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宋体" w:eastAsia="仿宋_GB2312"/>
          <w:sz w:val="32"/>
          <w:szCs w:val="32"/>
          <w:highlight w:val="none"/>
          <w:lang w:val="en-US" w:eastAsia="zh-CN"/>
        </w:rPr>
      </w:pPr>
      <w:r>
        <w:rPr>
          <w:rFonts w:hint="eastAsia" w:ascii="仿宋_GB2312"/>
          <w:bCs/>
          <w:kern w:val="44"/>
          <w:sz w:val="32"/>
          <w:szCs w:val="32"/>
          <w:highlight w:val="none"/>
          <w:lang w:val="en-US" w:eastAsia="zh-CN"/>
        </w:rPr>
        <w:t>（七）</w:t>
      </w:r>
      <w:r>
        <w:rPr>
          <w:rFonts w:hint="eastAsia" w:ascii="仿宋_GB2312" w:eastAsia="仿宋_GB2312"/>
          <w:bCs/>
          <w:kern w:val="44"/>
          <w:sz w:val="32"/>
          <w:szCs w:val="32"/>
          <w:highlight w:val="none"/>
          <w:lang w:val="en-US" w:eastAsia="zh-CN"/>
        </w:rPr>
        <w:t>其他收入：指</w:t>
      </w:r>
      <w:r>
        <w:rPr>
          <w:rFonts w:hint="eastAsia" w:ascii="仿宋_GB2312" w:hAnsi="宋体" w:eastAsia="仿宋_GB2312"/>
          <w:sz w:val="32"/>
          <w:szCs w:val="32"/>
          <w:highlight w:val="none"/>
          <w:lang w:val="en-US" w:eastAsia="zh-CN"/>
        </w:rPr>
        <w:t>单位取得的除上述“一般公共预算财政拨款收入”、“政府性基金</w:t>
      </w:r>
      <w:r>
        <w:rPr>
          <w:rFonts w:hint="eastAsia" w:ascii="仿宋_GB2312" w:eastAsia="仿宋_GB2312"/>
          <w:spacing w:val="6"/>
          <w:sz w:val="32"/>
          <w:szCs w:val="32"/>
          <w:highlight w:val="none"/>
          <w:lang w:val="en-US" w:eastAsia="zh-CN"/>
        </w:rPr>
        <w:t>预算</w:t>
      </w:r>
      <w:r>
        <w:rPr>
          <w:rFonts w:hint="eastAsia" w:ascii="仿宋_GB2312" w:eastAsia="仿宋_GB2312"/>
          <w:bCs/>
          <w:kern w:val="44"/>
          <w:sz w:val="32"/>
          <w:szCs w:val="32"/>
          <w:highlight w:val="none"/>
          <w:lang w:val="en-US" w:eastAsia="zh-CN"/>
        </w:rPr>
        <w:t>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lang w:val="en-US" w:eastAsia="zh-CN"/>
        </w:rPr>
        <w:t>国有资本经营预算财政拨款收入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highlight w:val="none"/>
          <w:lang w:val="en-US" w:eastAsia="zh-CN"/>
        </w:rPr>
        <w:t>上级补助收入</w:t>
      </w:r>
      <w:r>
        <w:rPr>
          <w:rFonts w:hint="eastAsia" w:ascii="仿宋_GB2312" w:hAnsi="宋体" w:eastAsia="仿宋_GB2312"/>
          <w:sz w:val="32"/>
          <w:szCs w:val="32"/>
          <w:highlight w:val="none"/>
          <w:lang w:val="en-US" w:eastAsia="zh-CN"/>
        </w:rPr>
        <w:t>”、“事业收入”、“经营收入”等收入以外的各项收入。（该项名词解释中“上述……等收入”请依据部门收入的实际情况进行解释）</w:t>
      </w:r>
    </w:p>
    <w:p w14:paraId="6086D4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FangSong_GB2312" w:hAnsi="FangSong_GB2312" w:eastAsia="FangSong_GB2312"/>
          <w:color w:val="000000"/>
          <w:sz w:val="32"/>
          <w:lang w:val="en-US" w:eastAsia="zh-CN"/>
        </w:rPr>
      </w:pPr>
      <w:r>
        <w:rPr>
          <w:rFonts w:hint="eastAsia" w:ascii="仿宋_GB2312"/>
          <w:bCs/>
          <w:kern w:val="44"/>
          <w:sz w:val="32"/>
          <w:szCs w:val="32"/>
          <w:highlight w:val="none"/>
          <w:lang w:val="en-US" w:eastAsia="zh-CN"/>
        </w:rPr>
        <w:t>（</w:t>
      </w:r>
      <w:r>
        <w:rPr>
          <w:rFonts w:hint="eastAsia" w:ascii="仿宋_GB2312" w:eastAsia="仿宋_GB2312"/>
          <w:bCs/>
          <w:kern w:val="44"/>
          <w:sz w:val="32"/>
          <w:szCs w:val="32"/>
          <w:highlight w:val="none"/>
          <w:lang w:val="en-US" w:eastAsia="zh-CN"/>
        </w:rPr>
        <w:t>八</w:t>
      </w:r>
      <w:r>
        <w:rPr>
          <w:rFonts w:hint="eastAsia" w:ascii="仿宋_GB2312"/>
          <w:bCs/>
          <w:kern w:val="44"/>
          <w:sz w:val="32"/>
          <w:szCs w:val="32"/>
          <w:highlight w:val="none"/>
          <w:lang w:val="en-US" w:eastAsia="zh-CN"/>
        </w:rPr>
        <w:t>）使用非财政拨款结余（含专用结余）</w:t>
      </w:r>
      <w:r>
        <w:rPr>
          <w:rFonts w:hint="eastAsia" w:ascii="仿宋_GB2312" w:eastAsia="仿宋_GB2312"/>
          <w:bCs/>
          <w:kern w:val="44"/>
          <w:sz w:val="32"/>
          <w:szCs w:val="32"/>
          <w:highlight w:val="none"/>
          <w:lang w:val="en-US" w:eastAsia="zh-CN"/>
        </w:rPr>
        <w:t>：</w:t>
      </w:r>
      <w:r>
        <w:rPr>
          <w:rFonts w:hint="default" w:ascii="FangSong_GB2312" w:hAnsi="FangSong_GB2312" w:eastAsia="FangSong_GB2312"/>
          <w:color w:val="000000"/>
          <w:sz w:val="32"/>
          <w:lang w:val="en-US" w:eastAsia="zh-CN"/>
        </w:rPr>
        <w:t>指事业单位</w:t>
      </w:r>
      <w:r>
        <w:rPr>
          <w:rFonts w:hint="eastAsia" w:ascii="FangSong_GB2312" w:hAnsi="FangSong_GB2312" w:eastAsia="FangSong_GB2312"/>
          <w:color w:val="000000"/>
          <w:sz w:val="32"/>
          <w:lang w:val="en-US" w:eastAsia="zh-CN"/>
        </w:rPr>
        <w:t>按照预算管理要求使用非财政拨款结余弥补收支差额的金额，以及使用专用结余安排支出的金额。</w:t>
      </w:r>
    </w:p>
    <w:p w14:paraId="25B0AC7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（九）</w:t>
      </w:r>
      <w:r>
        <w:rPr>
          <w:rFonts w:hint="eastAsia" w:ascii="仿宋_GB2312" w:eastAsia="仿宋_GB2312"/>
          <w:bCs/>
          <w:kern w:val="44"/>
          <w:sz w:val="32"/>
          <w:szCs w:val="32"/>
          <w:highlight w:val="none"/>
          <w:lang w:val="en-US" w:eastAsia="zh-CN"/>
        </w:rPr>
        <w:t>年初结转和结余：</w:t>
      </w:r>
      <w:r>
        <w:rPr>
          <w:rFonts w:hint="default" w:ascii="FangSong_GB2312" w:hAnsi="FangSong_GB2312" w:eastAsia="FangSong_GB2312"/>
          <w:color w:val="000000"/>
          <w:sz w:val="32"/>
          <w:lang w:val="en-US" w:eastAsia="zh-CN"/>
        </w:rPr>
        <w:t>指</w:t>
      </w:r>
      <w:r>
        <w:rPr>
          <w:rFonts w:hint="eastAsia" w:ascii="FangSong_GB2312" w:hAnsi="FangSong_GB2312" w:eastAsia="FangSong_GB2312"/>
          <w:color w:val="000000"/>
          <w:sz w:val="32"/>
          <w:lang w:val="en-US" w:eastAsia="zh-CN"/>
        </w:rPr>
        <w:t>单位</w:t>
      </w:r>
      <w:r>
        <w:rPr>
          <w:rFonts w:hint="default" w:ascii="FangSong_GB2312" w:hAnsi="FangSong_GB2312" w:eastAsia="FangSong_GB2312"/>
          <w:color w:val="000000"/>
          <w:sz w:val="32"/>
          <w:lang w:val="en-US" w:eastAsia="zh-CN"/>
        </w:rPr>
        <w:t>以前年度</w:t>
      </w:r>
      <w:r>
        <w:rPr>
          <w:rFonts w:hint="eastAsia" w:ascii="FangSong_GB2312" w:hAnsi="FangSong_GB2312" w:eastAsia="FangSong_GB2312"/>
          <w:color w:val="000000"/>
          <w:sz w:val="32"/>
          <w:lang w:val="en-US" w:eastAsia="zh-CN"/>
        </w:rPr>
        <w:t>尚未完成</w:t>
      </w:r>
      <w:r>
        <w:rPr>
          <w:rFonts w:hint="default" w:ascii="FangSong_GB2312" w:hAnsi="FangSong_GB2312" w:eastAsia="FangSong_GB2312"/>
          <w:color w:val="000000"/>
          <w:sz w:val="32"/>
          <w:lang w:val="en-US" w:eastAsia="zh-CN"/>
        </w:rPr>
        <w:t>、结转到本年仍按原规定用途继续使用的资金</w:t>
      </w:r>
      <w:r>
        <w:rPr>
          <w:rFonts w:hint="eastAsia" w:ascii="FangSong_GB2312" w:hAnsi="FangSong_GB2312" w:eastAsia="FangSong_GB2312"/>
          <w:color w:val="000000"/>
          <w:sz w:val="32"/>
          <w:lang w:val="en-US" w:eastAsia="zh-CN"/>
        </w:rPr>
        <w:t>，或项目已完成等产生的结余资金</w:t>
      </w:r>
      <w:r>
        <w:rPr>
          <w:rFonts w:hint="default" w:ascii="FangSong_GB2312" w:hAnsi="FangSong_GB2312" w:eastAsia="FangSong_GB2312"/>
          <w:color w:val="000000"/>
          <w:sz w:val="32"/>
          <w:lang w:val="en-US" w:eastAsia="zh-CN"/>
        </w:rPr>
        <w:t>。</w:t>
      </w:r>
    </w:p>
    <w:p w14:paraId="5A0547B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w:t>
      </w:r>
      <w:r>
        <w:rPr>
          <w:rFonts w:hint="eastAsia" w:ascii="仿宋_GB2312" w:eastAsia="仿宋_GB2312"/>
          <w:bCs/>
          <w:kern w:val="44"/>
          <w:sz w:val="32"/>
          <w:szCs w:val="32"/>
          <w:highlight w:val="none"/>
          <w:lang w:val="en-US" w:eastAsia="zh-CN"/>
        </w:rPr>
        <w:t>本部门使用的支出功能分类科目(到项级)</w:t>
      </w:r>
    </w:p>
    <w:p w14:paraId="3984C30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Cs/>
          <w:kern w:val="44"/>
          <w:sz w:val="32"/>
          <w:szCs w:val="32"/>
          <w:highlight w:val="none"/>
          <w:lang w:val="en-US" w:eastAsia="zh-CN"/>
        </w:rPr>
        <w:t>1.</w:t>
      </w:r>
      <w:r>
        <w:rPr>
          <w:rFonts w:hint="eastAsia" w:ascii="仿宋_GB2312" w:eastAsia="仿宋_GB2312"/>
          <w:sz w:val="32"/>
          <w:szCs w:val="32"/>
          <w:highlight w:val="none"/>
          <w:lang w:val="en-US" w:eastAsia="zh-CN"/>
        </w:rPr>
        <w:t>一般公共服务(类)财政事务(款)行政运行(项)反映行政单位的基本支出</w:t>
      </w:r>
      <w:r>
        <w:rPr>
          <w:rFonts w:hint="eastAsia" w:ascii="仿宋_GB2312"/>
          <w:sz w:val="32"/>
          <w:szCs w:val="32"/>
          <w:highlight w:val="none"/>
          <w:lang w:val="en-US" w:eastAsia="zh-CN"/>
        </w:rPr>
        <w:t>（2013201）</w:t>
      </w:r>
    </w:p>
    <w:p w14:paraId="4452CC6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Calibri" w:hAnsi="Calibri" w:cs="Times New Roman"/>
          <w:spacing w:val="0"/>
          <w:sz w:val="32"/>
          <w:szCs w:val="32"/>
          <w:highlight w:val="none"/>
          <w:lang w:val="en-US" w:eastAsia="zh-CN"/>
        </w:rPr>
      </w:pPr>
      <w:r>
        <w:rPr>
          <w:rFonts w:hint="default" w:ascii="Calibri" w:hAnsi="Calibri" w:cs="Times New Roman"/>
          <w:bCs/>
          <w:spacing w:val="0"/>
          <w:kern w:val="44"/>
          <w:sz w:val="32"/>
          <w:szCs w:val="32"/>
          <w:highlight w:val="none"/>
          <w:lang w:val="en-US" w:eastAsia="zh-CN"/>
        </w:rPr>
        <w:t>2</w:t>
      </w:r>
      <w:r>
        <w:rPr>
          <w:rFonts w:hint="default" w:ascii="Calibri" w:hAnsi="Calibri" w:eastAsia="仿宋_GB2312" w:cs="Times New Roman"/>
          <w:bCs/>
          <w:spacing w:val="0"/>
          <w:kern w:val="44"/>
          <w:sz w:val="32"/>
          <w:szCs w:val="32"/>
          <w:highlight w:val="none"/>
        </w:rPr>
        <w:t>.</w:t>
      </w:r>
      <w:r>
        <w:rPr>
          <w:rFonts w:hint="default" w:ascii="Calibri" w:hAnsi="Calibri" w:eastAsia="仿宋_GB2312" w:cs="Times New Roman"/>
          <w:spacing w:val="0"/>
          <w:sz w:val="32"/>
          <w:szCs w:val="32"/>
          <w:highlight w:val="none"/>
        </w:rPr>
        <w:t>一般公共服务</w:t>
      </w:r>
      <w:r>
        <w:rPr>
          <w:rFonts w:hint="default" w:ascii="Calibri" w:hAnsi="Calibri" w:cs="Times New Roman"/>
          <w:spacing w:val="0"/>
          <w:sz w:val="32"/>
          <w:szCs w:val="32"/>
          <w:highlight w:val="none"/>
          <w:lang w:eastAsia="zh-CN"/>
        </w:rPr>
        <w:t>（</w:t>
      </w:r>
      <w:r>
        <w:rPr>
          <w:rFonts w:hint="default" w:ascii="Calibri" w:hAnsi="Calibri" w:eastAsia="仿宋_GB2312" w:cs="Times New Roman"/>
          <w:spacing w:val="0"/>
          <w:sz w:val="32"/>
          <w:szCs w:val="32"/>
          <w:highlight w:val="none"/>
        </w:rPr>
        <w:t>类</w:t>
      </w:r>
      <w:r>
        <w:rPr>
          <w:rFonts w:hint="default" w:ascii="Calibri" w:hAnsi="Calibri" w:cs="Times New Roman"/>
          <w:spacing w:val="0"/>
          <w:sz w:val="32"/>
          <w:szCs w:val="32"/>
          <w:highlight w:val="none"/>
          <w:lang w:eastAsia="zh-CN"/>
        </w:rPr>
        <w:t>）组织事务（</w:t>
      </w:r>
      <w:r>
        <w:rPr>
          <w:rFonts w:hint="default" w:ascii="Calibri" w:hAnsi="Calibri" w:eastAsia="仿宋_GB2312" w:cs="Times New Roman"/>
          <w:spacing w:val="0"/>
          <w:sz w:val="32"/>
          <w:szCs w:val="32"/>
          <w:highlight w:val="none"/>
        </w:rPr>
        <w:t>款</w:t>
      </w:r>
      <w:r>
        <w:rPr>
          <w:rFonts w:hint="default" w:ascii="Calibri" w:hAnsi="Calibri" w:cs="Times New Roman"/>
          <w:spacing w:val="0"/>
          <w:sz w:val="32"/>
          <w:szCs w:val="32"/>
          <w:highlight w:val="none"/>
          <w:lang w:eastAsia="zh-CN"/>
        </w:rPr>
        <w:t>）一般行政管理事务（</w:t>
      </w:r>
      <w:r>
        <w:rPr>
          <w:rFonts w:hint="default" w:ascii="Calibri" w:hAnsi="Calibri" w:eastAsia="仿宋_GB2312" w:cs="Times New Roman"/>
          <w:spacing w:val="0"/>
          <w:sz w:val="32"/>
          <w:szCs w:val="32"/>
          <w:highlight w:val="none"/>
        </w:rPr>
        <w:t>项</w:t>
      </w:r>
      <w:r>
        <w:rPr>
          <w:rFonts w:hint="default" w:ascii="Calibri" w:hAnsi="Calibri" w:cs="Times New Roman"/>
          <w:spacing w:val="0"/>
          <w:sz w:val="32"/>
          <w:szCs w:val="32"/>
          <w:highlight w:val="none"/>
          <w:lang w:eastAsia="zh-CN"/>
        </w:rPr>
        <w:t>）。反映行政单位（包括实行公务员管理的事业单位）未单独设置项级科目的其他项目支出。</w:t>
      </w:r>
      <w:r>
        <w:rPr>
          <w:rFonts w:hint="default" w:ascii="Calibri" w:hAnsi="Calibri" w:cs="Times New Roman"/>
          <w:spacing w:val="0"/>
          <w:sz w:val="32"/>
          <w:szCs w:val="32"/>
          <w:highlight w:val="none"/>
          <w:lang w:val="en-US" w:eastAsia="zh-CN"/>
        </w:rPr>
        <w:t>（2013202）</w:t>
      </w:r>
    </w:p>
    <w:p w14:paraId="4333A35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Calibri" w:hAnsi="Calibri" w:cs="Times New Roman"/>
          <w:spacing w:val="0"/>
          <w:sz w:val="32"/>
          <w:szCs w:val="32"/>
          <w:highlight w:val="none"/>
          <w:lang w:val="en-US" w:eastAsia="zh-CN"/>
        </w:rPr>
      </w:pPr>
      <w:r>
        <w:rPr>
          <w:rFonts w:hint="default" w:ascii="Calibri" w:hAnsi="Calibri" w:cs="Times New Roman"/>
          <w:bCs/>
          <w:spacing w:val="0"/>
          <w:kern w:val="44"/>
          <w:sz w:val="32"/>
          <w:szCs w:val="32"/>
          <w:highlight w:val="none"/>
          <w:lang w:val="en-US" w:eastAsia="zh-CN"/>
        </w:rPr>
        <w:t>3</w:t>
      </w:r>
      <w:r>
        <w:rPr>
          <w:rFonts w:hint="default" w:ascii="Calibri" w:hAnsi="Calibri" w:eastAsia="仿宋_GB2312" w:cs="Times New Roman"/>
          <w:bCs/>
          <w:spacing w:val="0"/>
          <w:kern w:val="44"/>
          <w:sz w:val="32"/>
          <w:szCs w:val="32"/>
          <w:highlight w:val="none"/>
        </w:rPr>
        <w:t>.</w:t>
      </w:r>
      <w:r>
        <w:rPr>
          <w:rFonts w:hint="default" w:ascii="Calibri" w:hAnsi="Calibri" w:eastAsia="仿宋_GB2312" w:cs="Times New Roman"/>
          <w:spacing w:val="0"/>
          <w:sz w:val="32"/>
          <w:szCs w:val="32"/>
          <w:highlight w:val="none"/>
        </w:rPr>
        <w:t>一般公共服务</w:t>
      </w:r>
      <w:r>
        <w:rPr>
          <w:rFonts w:hint="default" w:ascii="Calibri" w:hAnsi="Calibri" w:cs="Times New Roman"/>
          <w:spacing w:val="0"/>
          <w:sz w:val="32"/>
          <w:szCs w:val="32"/>
          <w:highlight w:val="none"/>
          <w:lang w:eastAsia="zh-CN"/>
        </w:rPr>
        <w:t>（</w:t>
      </w:r>
      <w:r>
        <w:rPr>
          <w:rFonts w:hint="default" w:ascii="Calibri" w:hAnsi="Calibri" w:eastAsia="仿宋_GB2312" w:cs="Times New Roman"/>
          <w:spacing w:val="0"/>
          <w:sz w:val="32"/>
          <w:szCs w:val="32"/>
          <w:highlight w:val="none"/>
        </w:rPr>
        <w:t>类</w:t>
      </w:r>
      <w:r>
        <w:rPr>
          <w:rFonts w:hint="default" w:ascii="Calibri" w:hAnsi="Calibri" w:cs="Times New Roman"/>
          <w:spacing w:val="0"/>
          <w:sz w:val="32"/>
          <w:szCs w:val="32"/>
          <w:highlight w:val="none"/>
          <w:lang w:eastAsia="zh-CN"/>
        </w:rPr>
        <w:t>）组织事务（</w:t>
      </w:r>
      <w:r>
        <w:rPr>
          <w:rFonts w:hint="default" w:ascii="Calibri" w:hAnsi="Calibri" w:eastAsia="仿宋_GB2312" w:cs="Times New Roman"/>
          <w:spacing w:val="0"/>
          <w:sz w:val="32"/>
          <w:szCs w:val="32"/>
          <w:highlight w:val="none"/>
        </w:rPr>
        <w:t>款</w:t>
      </w:r>
      <w:r>
        <w:rPr>
          <w:rFonts w:hint="default" w:ascii="Calibri" w:hAnsi="Calibri" w:cs="Times New Roman"/>
          <w:spacing w:val="0"/>
          <w:sz w:val="32"/>
          <w:szCs w:val="32"/>
          <w:highlight w:val="none"/>
          <w:lang w:eastAsia="zh-CN"/>
        </w:rPr>
        <w:t>）其他组织事务支出（</w:t>
      </w:r>
      <w:r>
        <w:rPr>
          <w:rFonts w:hint="default" w:ascii="Calibri" w:hAnsi="Calibri" w:eastAsia="仿宋_GB2312" w:cs="Times New Roman"/>
          <w:spacing w:val="0"/>
          <w:sz w:val="32"/>
          <w:szCs w:val="32"/>
          <w:highlight w:val="none"/>
        </w:rPr>
        <w:t>项</w:t>
      </w:r>
      <w:r>
        <w:rPr>
          <w:rFonts w:hint="default" w:ascii="Calibri" w:hAnsi="Calibri" w:cs="Times New Roman"/>
          <w:spacing w:val="0"/>
          <w:sz w:val="32"/>
          <w:szCs w:val="32"/>
          <w:highlight w:val="none"/>
          <w:lang w:eastAsia="zh-CN"/>
        </w:rPr>
        <w:t>）。反映除上述项目以外其他用于中国共产党组织部门的事务支出。</w:t>
      </w:r>
      <w:r>
        <w:rPr>
          <w:rFonts w:hint="default" w:ascii="Calibri" w:hAnsi="Calibri" w:cs="Times New Roman"/>
          <w:spacing w:val="0"/>
          <w:sz w:val="32"/>
          <w:szCs w:val="32"/>
          <w:highlight w:val="none"/>
          <w:lang w:val="en-US" w:eastAsia="zh-CN"/>
        </w:rPr>
        <w:t>（2013299）</w:t>
      </w:r>
    </w:p>
    <w:p w14:paraId="2360E3B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Calibri" w:hAnsi="Calibri" w:cs="Times New Roman"/>
          <w:spacing w:val="0"/>
          <w:sz w:val="32"/>
          <w:szCs w:val="32"/>
          <w:highlight w:val="none"/>
          <w:lang w:val="en-US" w:eastAsia="zh-CN"/>
        </w:rPr>
      </w:pPr>
      <w:r>
        <w:rPr>
          <w:rFonts w:hint="default" w:ascii="Calibri" w:hAnsi="Calibri" w:cs="Times New Roman"/>
          <w:spacing w:val="0"/>
          <w:sz w:val="32"/>
          <w:szCs w:val="32"/>
          <w:highlight w:val="none"/>
          <w:lang w:val="en-US" w:eastAsia="zh-CN"/>
        </w:rPr>
        <w:t>4.</w:t>
      </w:r>
      <w:r>
        <w:rPr>
          <w:rFonts w:hint="default" w:ascii="Calibri" w:hAnsi="Calibri" w:eastAsia="仿宋_GB2312" w:cs="Times New Roman"/>
          <w:bCs/>
          <w:kern w:val="44"/>
          <w:sz w:val="32"/>
          <w:szCs w:val="32"/>
          <w:highlight w:val="none"/>
        </w:rPr>
        <w:t>社会保障和就业支出(类)人力资源和社会保障管理事务</w:t>
      </w:r>
      <w:r>
        <w:rPr>
          <w:rFonts w:hint="default" w:ascii="Calibri" w:hAnsi="Calibri" w:cs="Times New Roman"/>
          <w:bCs/>
          <w:kern w:val="44"/>
          <w:sz w:val="32"/>
          <w:szCs w:val="32"/>
          <w:highlight w:val="none"/>
          <w:lang w:eastAsia="zh-CN"/>
        </w:rPr>
        <w:t>（款）引进人才费用（项）。反映用于引进外国专家补助、引智成果推广等方面的支出。</w:t>
      </w:r>
      <w:r>
        <w:rPr>
          <w:rFonts w:hint="default" w:ascii="Calibri" w:hAnsi="Calibri" w:cs="Times New Roman"/>
          <w:spacing w:val="0"/>
          <w:sz w:val="32"/>
          <w:szCs w:val="32"/>
          <w:highlight w:val="none"/>
          <w:lang w:val="en-US" w:eastAsia="zh-CN"/>
        </w:rPr>
        <w:t>（2080116）</w:t>
      </w:r>
    </w:p>
    <w:p w14:paraId="2BC951D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Calibri" w:hAnsi="Calibri" w:eastAsia="仿宋_GB2312" w:cs="Times New Roman"/>
          <w:bCs/>
          <w:kern w:val="44"/>
          <w:sz w:val="32"/>
          <w:szCs w:val="32"/>
          <w:highlight w:val="none"/>
          <w:lang w:val="en-US" w:eastAsia="zh-CN"/>
        </w:rPr>
      </w:pPr>
      <w:r>
        <w:rPr>
          <w:rFonts w:hint="default" w:ascii="Calibri" w:hAnsi="Calibri" w:cs="Times New Roman"/>
          <w:spacing w:val="0"/>
          <w:sz w:val="32"/>
          <w:szCs w:val="32"/>
          <w:highlight w:val="none"/>
          <w:lang w:val="en-US" w:eastAsia="zh-CN"/>
        </w:rPr>
        <w:t>5.</w:t>
      </w:r>
      <w:r>
        <w:rPr>
          <w:rFonts w:hint="default" w:ascii="Calibri" w:hAnsi="Calibri" w:eastAsia="仿宋_GB2312" w:cs="Times New Roman"/>
          <w:bCs/>
          <w:kern w:val="44"/>
          <w:sz w:val="32"/>
          <w:szCs w:val="32"/>
          <w:highlight w:val="none"/>
        </w:rPr>
        <w:t>社会保障和就业支出(类)行政事业单位养老支出（款）</w:t>
      </w:r>
      <w:r>
        <w:rPr>
          <w:rFonts w:hint="default" w:ascii="Calibri" w:hAnsi="Calibri" w:eastAsia="仿宋_GB2312" w:cs="Times New Roman"/>
          <w:bCs/>
          <w:kern w:val="44"/>
          <w:sz w:val="32"/>
          <w:szCs w:val="32"/>
          <w:highlight w:val="none"/>
          <w:lang w:val="en-US" w:eastAsia="zh-CN"/>
        </w:rPr>
        <w:t>行政</w:t>
      </w:r>
      <w:r>
        <w:rPr>
          <w:rFonts w:hint="default" w:ascii="Calibri" w:hAnsi="Calibri" w:eastAsia="仿宋_GB2312" w:cs="Times New Roman"/>
          <w:bCs/>
          <w:kern w:val="44"/>
          <w:sz w:val="32"/>
          <w:szCs w:val="32"/>
          <w:highlight w:val="none"/>
        </w:rPr>
        <w:t>单位离退休（项）。</w:t>
      </w:r>
      <w:r>
        <w:rPr>
          <w:rFonts w:hint="default" w:ascii="Calibri" w:hAnsi="Calibri" w:eastAsia="仿宋_GB2312" w:cs="Times New Roman"/>
          <w:bCs/>
          <w:kern w:val="44"/>
          <w:sz w:val="32"/>
          <w:szCs w:val="32"/>
          <w:highlight w:val="none"/>
          <w:lang w:val="en-US" w:eastAsia="zh-CN"/>
        </w:rPr>
        <w:t>反映行政单位</w:t>
      </w:r>
      <w:r>
        <w:rPr>
          <w:rFonts w:hint="default" w:ascii="Calibri" w:hAnsi="Calibri" w:cs="Times New Roman"/>
          <w:bCs/>
          <w:spacing w:val="0"/>
          <w:kern w:val="44"/>
          <w:sz w:val="32"/>
          <w:szCs w:val="32"/>
          <w:highlight w:val="none"/>
          <w:lang w:val="en-US" w:eastAsia="zh-CN"/>
        </w:rPr>
        <w:t>（包括实行公务员管理的事业单位）</w:t>
      </w:r>
      <w:r>
        <w:rPr>
          <w:rFonts w:hint="default" w:ascii="Calibri" w:hAnsi="Calibri" w:cs="Times New Roman"/>
          <w:bCs/>
          <w:kern w:val="44"/>
          <w:sz w:val="32"/>
          <w:szCs w:val="32"/>
          <w:highlight w:val="none"/>
          <w:lang w:val="en-US" w:eastAsia="zh-CN"/>
        </w:rPr>
        <w:t>开支的离退休经费</w:t>
      </w:r>
      <w:r>
        <w:rPr>
          <w:rFonts w:hint="default" w:ascii="Calibri" w:hAnsi="Calibri" w:eastAsia="仿宋_GB2312" w:cs="Times New Roman"/>
          <w:bCs/>
          <w:kern w:val="44"/>
          <w:sz w:val="32"/>
          <w:szCs w:val="32"/>
          <w:highlight w:val="none"/>
          <w:lang w:val="en-US" w:eastAsia="zh-CN"/>
        </w:rPr>
        <w:t>。</w:t>
      </w:r>
      <w:r>
        <w:rPr>
          <w:rFonts w:hint="default" w:ascii="Calibri" w:hAnsi="Calibri" w:eastAsia="仿宋_GB2312" w:cs="Times New Roman"/>
          <w:bCs/>
          <w:kern w:val="44"/>
          <w:sz w:val="32"/>
          <w:szCs w:val="32"/>
          <w:highlight w:val="none"/>
        </w:rPr>
        <w:t>（208050</w:t>
      </w:r>
      <w:r>
        <w:rPr>
          <w:rFonts w:hint="default" w:ascii="Calibri" w:hAnsi="Calibri" w:cs="Times New Roman"/>
          <w:bCs/>
          <w:kern w:val="44"/>
          <w:sz w:val="32"/>
          <w:szCs w:val="32"/>
          <w:highlight w:val="none"/>
          <w:lang w:val="en-US" w:eastAsia="zh-CN"/>
        </w:rPr>
        <w:t>1）</w:t>
      </w:r>
    </w:p>
    <w:p w14:paraId="668C87D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Calibri" w:hAnsi="Calibri" w:eastAsia="仿宋_GB2312" w:cs="Times New Roman"/>
          <w:bCs/>
          <w:kern w:val="44"/>
          <w:sz w:val="32"/>
          <w:szCs w:val="32"/>
          <w:highlight w:val="none"/>
        </w:rPr>
      </w:pPr>
      <w:r>
        <w:rPr>
          <w:rFonts w:hint="default" w:ascii="Calibri" w:hAnsi="Calibri" w:cs="Times New Roman"/>
          <w:spacing w:val="0"/>
          <w:sz w:val="32"/>
          <w:szCs w:val="32"/>
          <w:highlight w:val="none"/>
          <w:lang w:val="en-US" w:eastAsia="zh-CN"/>
        </w:rPr>
        <w:t>6.</w:t>
      </w:r>
      <w:r>
        <w:rPr>
          <w:rFonts w:hint="default" w:ascii="Calibri" w:hAnsi="Calibri" w:eastAsia="仿宋_GB2312" w:cs="Times New Roman"/>
          <w:bCs/>
          <w:kern w:val="44"/>
          <w:sz w:val="32"/>
          <w:szCs w:val="32"/>
          <w:highlight w:val="none"/>
        </w:rPr>
        <w:t>社会保障和就业支出(类)行政事业单位养老支出（款）机关事业单位基本养老保险缴费支出（项）。反映机关事业单位实施养老保险制度由单位缴纳的基本养老保险费支出。（2080505）</w:t>
      </w:r>
    </w:p>
    <w:p w14:paraId="62DA230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Calibri" w:hAnsi="Calibri" w:eastAsia="仿宋_GB2312" w:cs="Times New Roman"/>
          <w:bCs/>
          <w:kern w:val="44"/>
          <w:sz w:val="32"/>
          <w:szCs w:val="32"/>
          <w:highlight w:val="none"/>
        </w:rPr>
      </w:pPr>
      <w:r>
        <w:rPr>
          <w:rFonts w:hint="default" w:ascii="Calibri" w:hAnsi="Calibri" w:cs="Times New Roman"/>
          <w:bCs/>
          <w:kern w:val="44"/>
          <w:sz w:val="32"/>
          <w:szCs w:val="32"/>
          <w:highlight w:val="none"/>
          <w:lang w:val="en-US" w:eastAsia="zh-CN"/>
        </w:rPr>
        <w:t>7</w:t>
      </w:r>
      <w:r>
        <w:rPr>
          <w:rFonts w:hint="default" w:ascii="Calibri" w:hAnsi="Calibri" w:eastAsia="仿宋_GB2312" w:cs="Times New Roman"/>
          <w:bCs/>
          <w:kern w:val="44"/>
          <w:sz w:val="32"/>
          <w:szCs w:val="32"/>
          <w:highlight w:val="none"/>
        </w:rPr>
        <w:t>.社会保障和就业支出 (类)行政事业单位养老支出 （款）机关事业单位职业年金缴费支出（项）。反映机关事业单位实施养老保险制度由单位实际缴纳的职业年金支出。（2080506）</w:t>
      </w:r>
    </w:p>
    <w:p w14:paraId="678B655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Calibri" w:hAnsi="Calibri" w:eastAsia="仿宋_GB2312" w:cs="Times New Roman"/>
          <w:bCs/>
          <w:kern w:val="44"/>
          <w:sz w:val="32"/>
          <w:szCs w:val="32"/>
          <w:highlight w:val="none"/>
        </w:rPr>
      </w:pPr>
      <w:r>
        <w:rPr>
          <w:rFonts w:hint="default" w:ascii="Calibri" w:hAnsi="Calibri" w:cs="Times New Roman"/>
          <w:bCs/>
          <w:kern w:val="44"/>
          <w:sz w:val="32"/>
          <w:szCs w:val="32"/>
          <w:highlight w:val="none"/>
          <w:lang w:val="en-US" w:eastAsia="zh-CN"/>
        </w:rPr>
        <w:t>8</w:t>
      </w:r>
      <w:r>
        <w:rPr>
          <w:rFonts w:hint="default" w:ascii="Calibri" w:hAnsi="Calibri" w:eastAsia="仿宋_GB2312" w:cs="Times New Roman"/>
          <w:bCs/>
          <w:kern w:val="44"/>
          <w:sz w:val="32"/>
          <w:szCs w:val="32"/>
          <w:highlight w:val="none"/>
        </w:rPr>
        <w:t>.卫生健康支出(类)行政事业单位医疗（款）行政单位医疗（项）。反映财政部门安排的</w:t>
      </w:r>
      <w:r>
        <w:rPr>
          <w:rFonts w:hint="default" w:ascii="Calibri" w:hAnsi="Calibri" w:cs="Times New Roman"/>
          <w:bCs/>
          <w:kern w:val="44"/>
          <w:sz w:val="32"/>
          <w:szCs w:val="32"/>
          <w:highlight w:val="none"/>
          <w:lang w:val="en-US" w:eastAsia="zh-CN"/>
        </w:rPr>
        <w:t>行政</w:t>
      </w:r>
      <w:r>
        <w:rPr>
          <w:rFonts w:hint="default" w:ascii="Calibri" w:hAnsi="Calibri" w:eastAsia="仿宋_GB2312" w:cs="Times New Roman"/>
          <w:bCs/>
          <w:kern w:val="44"/>
          <w:sz w:val="32"/>
          <w:szCs w:val="32"/>
          <w:highlight w:val="none"/>
        </w:rPr>
        <w:t>单位</w:t>
      </w:r>
      <w:r>
        <w:rPr>
          <w:rFonts w:hint="default" w:ascii="Calibri" w:hAnsi="Calibri" w:cs="Times New Roman"/>
          <w:bCs/>
          <w:kern w:val="44"/>
          <w:sz w:val="32"/>
          <w:szCs w:val="32"/>
          <w:highlight w:val="none"/>
          <w:lang w:eastAsia="zh-CN"/>
        </w:rPr>
        <w:t>（</w:t>
      </w:r>
      <w:r>
        <w:rPr>
          <w:rFonts w:hint="default" w:ascii="Calibri" w:hAnsi="Calibri" w:cs="Times New Roman"/>
          <w:bCs/>
          <w:kern w:val="44"/>
          <w:sz w:val="32"/>
          <w:szCs w:val="32"/>
          <w:highlight w:val="none"/>
          <w:lang w:val="en-US" w:eastAsia="zh-CN"/>
        </w:rPr>
        <w:t>包括实行公务员管理的事业单位，下同）</w:t>
      </w:r>
      <w:r>
        <w:rPr>
          <w:rFonts w:hint="default" w:ascii="Calibri" w:hAnsi="Calibri" w:eastAsia="仿宋_GB2312" w:cs="Times New Roman"/>
          <w:bCs/>
          <w:kern w:val="44"/>
          <w:sz w:val="32"/>
          <w:szCs w:val="32"/>
          <w:highlight w:val="none"/>
        </w:rPr>
        <w:t>基本医疗保险缴费经费，未参加医疗保险的</w:t>
      </w:r>
      <w:r>
        <w:rPr>
          <w:rFonts w:hint="default" w:ascii="Calibri" w:hAnsi="Calibri" w:cs="Times New Roman"/>
          <w:bCs/>
          <w:kern w:val="44"/>
          <w:sz w:val="32"/>
          <w:szCs w:val="32"/>
          <w:highlight w:val="none"/>
          <w:lang w:val="en-US" w:eastAsia="zh-CN"/>
        </w:rPr>
        <w:t>行政</w:t>
      </w:r>
      <w:r>
        <w:rPr>
          <w:rFonts w:hint="default" w:ascii="Calibri" w:hAnsi="Calibri" w:eastAsia="仿宋_GB2312" w:cs="Times New Roman"/>
          <w:bCs/>
          <w:kern w:val="44"/>
          <w:sz w:val="32"/>
          <w:szCs w:val="32"/>
          <w:highlight w:val="none"/>
        </w:rPr>
        <w:t>单位的公费医疗经费，按国家规定享受离休人员、红军老战士待遇人员的医疗经费</w:t>
      </w:r>
      <w:r>
        <w:rPr>
          <w:rFonts w:hint="default" w:ascii="Calibri" w:hAnsi="Calibri" w:cs="Times New Roman"/>
          <w:bCs/>
          <w:kern w:val="44"/>
          <w:sz w:val="32"/>
          <w:szCs w:val="32"/>
          <w:highlight w:val="none"/>
          <w:lang w:eastAsia="zh-CN"/>
        </w:rPr>
        <w:t>。</w:t>
      </w:r>
      <w:r>
        <w:rPr>
          <w:rFonts w:hint="default" w:ascii="Calibri" w:hAnsi="Calibri" w:eastAsia="仿宋_GB2312" w:cs="Times New Roman"/>
          <w:bCs/>
          <w:kern w:val="44"/>
          <w:sz w:val="32"/>
          <w:szCs w:val="32"/>
          <w:highlight w:val="none"/>
        </w:rPr>
        <w:t>（210110</w:t>
      </w:r>
      <w:r>
        <w:rPr>
          <w:rFonts w:hint="default" w:ascii="Calibri" w:hAnsi="Calibri" w:cs="Times New Roman"/>
          <w:bCs/>
          <w:kern w:val="44"/>
          <w:sz w:val="32"/>
          <w:szCs w:val="32"/>
          <w:highlight w:val="none"/>
          <w:lang w:val="en-US" w:eastAsia="zh-CN"/>
        </w:rPr>
        <w:t>1</w:t>
      </w:r>
      <w:r>
        <w:rPr>
          <w:rFonts w:hint="default" w:ascii="Calibri" w:hAnsi="Calibri" w:eastAsia="仿宋_GB2312" w:cs="Times New Roman"/>
          <w:bCs/>
          <w:kern w:val="44"/>
          <w:sz w:val="32"/>
          <w:szCs w:val="32"/>
          <w:highlight w:val="none"/>
        </w:rPr>
        <w:t>）</w:t>
      </w:r>
    </w:p>
    <w:p w14:paraId="302A0D3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Calibri" w:hAnsi="Calibri" w:cs="Times New Roman"/>
          <w:bCs/>
          <w:color w:val="auto"/>
          <w:spacing w:val="0"/>
          <w:kern w:val="44"/>
          <w:sz w:val="32"/>
          <w:szCs w:val="32"/>
          <w:highlight w:val="none"/>
          <w:lang w:eastAsia="zh-CN"/>
        </w:rPr>
      </w:pPr>
      <w:r>
        <w:rPr>
          <w:rFonts w:hint="default" w:ascii="Calibri" w:hAnsi="Calibri" w:cs="Times New Roman"/>
          <w:bCs/>
          <w:kern w:val="44"/>
          <w:sz w:val="32"/>
          <w:szCs w:val="32"/>
          <w:highlight w:val="none"/>
          <w:lang w:val="en-US" w:eastAsia="zh-CN"/>
        </w:rPr>
        <w:t>9.</w:t>
      </w:r>
      <w:r>
        <w:rPr>
          <w:rFonts w:hint="default" w:ascii="Calibri" w:hAnsi="Calibri" w:cs="Times New Roman"/>
          <w:bCs/>
          <w:color w:val="auto"/>
          <w:spacing w:val="0"/>
          <w:kern w:val="44"/>
          <w:sz w:val="32"/>
          <w:szCs w:val="32"/>
          <w:highlight w:val="none"/>
          <w:lang w:eastAsia="zh-CN"/>
        </w:rPr>
        <w:t>卫生健康支出（类）行政事业单位医疗（款）</w:t>
      </w:r>
      <w:r>
        <w:rPr>
          <w:rFonts w:hint="default" w:ascii="Calibri" w:hAnsi="Calibri" w:cs="Times New Roman"/>
          <w:bCs/>
          <w:color w:val="auto"/>
          <w:spacing w:val="0"/>
          <w:kern w:val="44"/>
          <w:sz w:val="32"/>
          <w:szCs w:val="32"/>
          <w:highlight w:val="none"/>
          <w:lang w:val="en-US" w:eastAsia="zh-CN"/>
        </w:rPr>
        <w:t>公务员医疗补助</w:t>
      </w:r>
      <w:r>
        <w:rPr>
          <w:rFonts w:hint="default" w:ascii="Calibri" w:hAnsi="Calibri" w:cs="Times New Roman"/>
          <w:bCs/>
          <w:color w:val="auto"/>
          <w:spacing w:val="0"/>
          <w:kern w:val="44"/>
          <w:sz w:val="32"/>
          <w:szCs w:val="32"/>
          <w:highlight w:val="none"/>
          <w:lang w:eastAsia="zh-CN"/>
        </w:rPr>
        <w:t>（项）。</w:t>
      </w:r>
      <w:r>
        <w:rPr>
          <w:rFonts w:hint="default" w:ascii="Calibri" w:hAnsi="Calibri" w:cs="Times New Roman"/>
          <w:bCs/>
          <w:color w:val="auto"/>
          <w:spacing w:val="0"/>
          <w:kern w:val="44"/>
          <w:sz w:val="32"/>
          <w:szCs w:val="32"/>
          <w:highlight w:val="none"/>
          <w:lang w:val="en-US" w:eastAsia="zh-CN"/>
        </w:rPr>
        <w:t>反映财政部门安排的公务员医疗补助经费</w:t>
      </w:r>
      <w:r>
        <w:rPr>
          <w:rFonts w:hint="default" w:ascii="Calibri" w:hAnsi="Calibri" w:cs="Times New Roman"/>
          <w:bCs/>
          <w:color w:val="auto"/>
          <w:spacing w:val="0"/>
          <w:kern w:val="44"/>
          <w:sz w:val="32"/>
          <w:szCs w:val="32"/>
          <w:highlight w:val="none"/>
          <w:lang w:eastAsia="zh-CN"/>
        </w:rPr>
        <w:t>。（210110</w:t>
      </w:r>
      <w:r>
        <w:rPr>
          <w:rFonts w:hint="default" w:ascii="Calibri" w:hAnsi="Calibri" w:cs="Times New Roman"/>
          <w:bCs/>
          <w:color w:val="auto"/>
          <w:spacing w:val="0"/>
          <w:kern w:val="44"/>
          <w:sz w:val="32"/>
          <w:szCs w:val="32"/>
          <w:highlight w:val="none"/>
          <w:lang w:val="en-US" w:eastAsia="zh-CN"/>
        </w:rPr>
        <w:t>3</w:t>
      </w:r>
      <w:r>
        <w:rPr>
          <w:rFonts w:hint="default" w:ascii="Calibri" w:hAnsi="Calibri" w:cs="Times New Roman"/>
          <w:bCs/>
          <w:color w:val="auto"/>
          <w:spacing w:val="0"/>
          <w:kern w:val="44"/>
          <w:sz w:val="32"/>
          <w:szCs w:val="32"/>
          <w:highlight w:val="none"/>
          <w:lang w:eastAsia="zh-CN"/>
        </w:rPr>
        <w:t>）</w:t>
      </w:r>
    </w:p>
    <w:p w14:paraId="376C19D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hint="default" w:ascii="Calibri" w:hAnsi="Calibri" w:eastAsia="仿宋_GB2312" w:cs="Times New Roman"/>
          <w:bCs/>
          <w:kern w:val="44"/>
          <w:sz w:val="32"/>
          <w:szCs w:val="32"/>
          <w:highlight w:val="none"/>
        </w:rPr>
      </w:pPr>
      <w:r>
        <w:rPr>
          <w:rFonts w:hint="default" w:ascii="Calibri" w:hAnsi="Calibri" w:cs="Times New Roman"/>
          <w:bCs/>
          <w:color w:val="auto"/>
          <w:spacing w:val="0"/>
          <w:kern w:val="44"/>
          <w:sz w:val="32"/>
          <w:szCs w:val="32"/>
          <w:highlight w:val="none"/>
          <w:lang w:val="en-US" w:eastAsia="zh-CN"/>
        </w:rPr>
        <w:t>10.</w:t>
      </w:r>
      <w:r>
        <w:rPr>
          <w:rFonts w:hint="default" w:ascii="Calibri" w:hAnsi="Calibri" w:eastAsia="仿宋_GB2312" w:cs="Times New Roman"/>
          <w:bCs/>
          <w:kern w:val="44"/>
          <w:sz w:val="32"/>
          <w:szCs w:val="32"/>
          <w:highlight w:val="none"/>
        </w:rPr>
        <w:t>住房保障支出 (类)住房改革支出（款）住房公积金 （项）。反映行政事业单位按人力资源和社会保障部、财政 部规定的基本工资和津贴补贴以及规定比例为职工缴纳的 住房公积金。（2210201）</w:t>
      </w:r>
    </w:p>
    <w:p w14:paraId="27F5A4C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sz w:val="32"/>
          <w:szCs w:val="32"/>
          <w:highlight w:val="none"/>
          <w:lang w:val="en-US" w:eastAsia="zh-CN"/>
        </w:rPr>
      </w:pPr>
      <w:r>
        <w:rPr>
          <w:rFonts w:hint="default" w:ascii="Calibri" w:hAnsi="Calibri" w:cs="Times New Roman"/>
          <w:bCs/>
          <w:kern w:val="44"/>
          <w:sz w:val="32"/>
          <w:szCs w:val="32"/>
          <w:highlight w:val="none"/>
          <w:lang w:val="en-US" w:eastAsia="zh-CN"/>
        </w:rPr>
        <w:t>11</w:t>
      </w:r>
      <w:r>
        <w:rPr>
          <w:rFonts w:hint="default" w:ascii="Calibri" w:hAnsi="Calibri" w:eastAsia="仿宋_GB2312" w:cs="Times New Roman"/>
          <w:bCs/>
          <w:kern w:val="44"/>
          <w:sz w:val="32"/>
          <w:szCs w:val="32"/>
          <w:highlight w:val="none"/>
          <w:lang w:val="en-US" w:eastAsia="zh-CN"/>
        </w:rPr>
        <w:t>.</w:t>
      </w:r>
      <w:r>
        <w:rPr>
          <w:rFonts w:hint="default" w:ascii="Calibri" w:hAnsi="Calibri" w:eastAsia="仿宋_GB2312" w:cs="Times New Roman"/>
          <w:bCs/>
          <w:kern w:val="44"/>
          <w:sz w:val="32"/>
          <w:szCs w:val="32"/>
          <w:highlight w:val="none"/>
        </w:rPr>
        <w:t>住房保障支出 (类)住房改革支出（款）</w:t>
      </w:r>
      <w:r>
        <w:rPr>
          <w:rFonts w:hint="default" w:ascii="Calibri" w:hAnsi="Calibri" w:eastAsia="仿宋_GB2312" w:cs="Times New Roman"/>
          <w:bCs/>
          <w:kern w:val="44"/>
          <w:sz w:val="32"/>
          <w:szCs w:val="32"/>
          <w:highlight w:val="none"/>
          <w:lang w:val="en-US" w:eastAsia="zh-CN"/>
        </w:rPr>
        <w:t>提租补贴</w:t>
      </w:r>
      <w:r>
        <w:rPr>
          <w:rFonts w:hint="default" w:ascii="Calibri" w:hAnsi="Calibri" w:eastAsia="仿宋_GB2312" w:cs="Times New Roman"/>
          <w:bCs/>
          <w:kern w:val="44"/>
          <w:sz w:val="32"/>
          <w:szCs w:val="32"/>
          <w:highlight w:val="none"/>
        </w:rPr>
        <w:t xml:space="preserve"> （项）。反映</w:t>
      </w:r>
      <w:r>
        <w:rPr>
          <w:rFonts w:hint="default" w:ascii="Calibri" w:hAnsi="Calibri" w:eastAsia="仿宋_GB2312" w:cs="Times New Roman"/>
          <w:bCs/>
          <w:kern w:val="44"/>
          <w:sz w:val="32"/>
          <w:szCs w:val="32"/>
          <w:highlight w:val="none"/>
          <w:lang w:val="en-US" w:eastAsia="zh-CN"/>
        </w:rPr>
        <w:t>按房改政策规定的标准，行政事业单位向职工（含离退休人员）发放的租金补贴</w:t>
      </w:r>
      <w:r>
        <w:rPr>
          <w:rFonts w:hint="default" w:ascii="Calibri" w:hAnsi="Calibri" w:eastAsia="仿宋_GB2312" w:cs="Times New Roman"/>
          <w:bCs/>
          <w:kern w:val="44"/>
          <w:sz w:val="32"/>
          <w:szCs w:val="32"/>
          <w:highlight w:val="none"/>
        </w:rPr>
        <w:t>。（221020</w:t>
      </w:r>
      <w:r>
        <w:rPr>
          <w:rFonts w:hint="default" w:ascii="Calibri" w:hAnsi="Calibri" w:eastAsia="仿宋_GB2312" w:cs="Times New Roman"/>
          <w:bCs/>
          <w:kern w:val="44"/>
          <w:sz w:val="32"/>
          <w:szCs w:val="32"/>
          <w:highlight w:val="none"/>
          <w:lang w:val="en-US" w:eastAsia="zh-CN"/>
        </w:rPr>
        <w:t>2</w:t>
      </w:r>
      <w:r>
        <w:rPr>
          <w:rFonts w:hint="default" w:ascii="Calibri" w:hAnsi="Calibri" w:eastAsia="仿宋_GB2312" w:cs="Times New Roman"/>
          <w:bCs/>
          <w:kern w:val="44"/>
          <w:sz w:val="32"/>
          <w:szCs w:val="32"/>
          <w:highlight w:val="none"/>
        </w:rPr>
        <w:t>）</w:t>
      </w:r>
      <w:r>
        <w:rPr>
          <w:rFonts w:hint="default" w:ascii="Calibri" w:hAnsi="Calibri" w:eastAsia="仿宋_GB2312" w:cs="Times New Roman"/>
          <w:bCs/>
          <w:kern w:val="44"/>
          <w:sz w:val="32"/>
          <w:szCs w:val="32"/>
          <w:highlight w:val="none"/>
        </w:rPr>
        <w:br w:type="textWrapping"/>
      </w:r>
      <w:r>
        <w:rPr>
          <w:rFonts w:hint="eastAsia" w:ascii="Calibri" w:hAnsi="Calibri" w:cs="Times New Roman"/>
          <w:bCs/>
          <w:kern w:val="44"/>
          <w:sz w:val="32"/>
          <w:szCs w:val="32"/>
          <w:highlight w:val="none"/>
          <w:lang w:val="en-US" w:eastAsia="zh-CN"/>
        </w:rPr>
        <w:t xml:space="preserve">    12.</w:t>
      </w:r>
      <w:r>
        <w:rPr>
          <w:rFonts w:hint="eastAsia" w:ascii="仿宋_GB2312"/>
          <w:sz w:val="32"/>
          <w:szCs w:val="32"/>
          <w:highlight w:val="none"/>
          <w:lang w:val="en-US" w:eastAsia="zh-CN"/>
        </w:rPr>
        <w:t>社会保障和就业支出 (类)其他社会保障和就业支出（款）其他社会保障和就业支出（项）。反映除上述项目以外其他用于社会保障和就业方面的支出。（2089999）</w:t>
      </w:r>
    </w:p>
    <w:p w14:paraId="39599BC7">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（十一）</w:t>
      </w:r>
      <w:r>
        <w:rPr>
          <w:rFonts w:hint="eastAsia" w:ascii="仿宋_GB2312" w:eastAsia="仿宋_GB2312"/>
          <w:bCs/>
          <w:kern w:val="44"/>
          <w:sz w:val="32"/>
          <w:szCs w:val="32"/>
          <w:highlight w:val="none"/>
          <w:lang w:val="en-US" w:eastAsia="zh-CN"/>
        </w:rPr>
        <w:t>结余分配：指事业单位按照会计制度规定缴纳的企业所得税、提取的专用结余以及转入非财政拨款结余的金额等。</w:t>
      </w:r>
    </w:p>
    <w:p w14:paraId="5F818EA1">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jc w:val="both"/>
        <w:textAlignment w:val="auto"/>
        <w:rPr>
          <w:rFonts w:hint="eastAsia"/>
          <w:szCs w:val="32"/>
          <w:highlight w:val="none"/>
          <w:lang w:val="en-US" w:eastAsia="zh-CN"/>
        </w:rPr>
      </w:pPr>
      <w:r>
        <w:rPr>
          <w:rFonts w:hint="eastAsia" w:ascii="仿宋_GB2312"/>
          <w:bCs/>
          <w:kern w:val="44"/>
          <w:sz w:val="32"/>
          <w:szCs w:val="32"/>
          <w:highlight w:val="none"/>
          <w:lang w:val="en-US" w:eastAsia="zh-CN"/>
        </w:rPr>
        <w:t>（十二）</w:t>
      </w:r>
      <w:r>
        <w:rPr>
          <w:rFonts w:hint="eastAsia" w:ascii="仿宋_GB2312" w:eastAsia="仿宋_GB2312"/>
          <w:bCs/>
          <w:kern w:val="44"/>
          <w:sz w:val="32"/>
          <w:szCs w:val="32"/>
          <w:highlight w:val="none"/>
          <w:lang w:val="en-US" w:eastAsia="zh-CN"/>
        </w:rPr>
        <w:t>年末结转和结余：指单位按有关规定结转到下年或以后年度继续使用的资金，或项目已完成等产生的结余资金。</w:t>
      </w:r>
    </w:p>
    <w:p w14:paraId="107A9B9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（十三）</w:t>
      </w:r>
      <w:r>
        <w:rPr>
          <w:rFonts w:hint="eastAsia" w:ascii="仿宋_GB2312" w:eastAsia="仿宋_GB2312"/>
          <w:bCs/>
          <w:kern w:val="44"/>
          <w:sz w:val="32"/>
          <w:szCs w:val="32"/>
          <w:highlight w:val="none"/>
          <w:lang w:val="en-US" w:eastAsia="zh-CN"/>
        </w:rPr>
        <w:t>基本支出：指为保障机构正常运转、完成日常工作任务而发生的</w:t>
      </w:r>
      <w:r>
        <w:rPr>
          <w:rFonts w:ascii="仿宋_GB2312" w:eastAsia="仿宋_GB2312"/>
          <w:bCs/>
          <w:kern w:val="44"/>
          <w:sz w:val="32"/>
          <w:szCs w:val="32"/>
          <w:highlight w:val="none"/>
          <w:lang w:val="en-US" w:eastAsia="zh-CN"/>
        </w:rPr>
        <w:t>人员支出和公用支出</w:t>
      </w:r>
      <w:r>
        <w:rPr>
          <w:rFonts w:hint="eastAsia" w:ascii="仿宋_GB2312" w:eastAsia="仿宋_GB2312"/>
          <w:bCs/>
          <w:kern w:val="44"/>
          <w:sz w:val="32"/>
          <w:szCs w:val="32"/>
          <w:highlight w:val="none"/>
          <w:lang w:val="en-US" w:eastAsia="zh-CN"/>
        </w:rPr>
        <w:t>。</w:t>
      </w:r>
    </w:p>
    <w:p w14:paraId="4CF91FF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FangSong_GB2312" w:hAnsi="FangSong_GB2312" w:eastAsia="FangSong_GB2312"/>
          <w:color w:val="000000"/>
          <w:sz w:val="32"/>
          <w:szCs w:val="22"/>
          <w:lang w:val="en-US" w:eastAsia="zh-CN"/>
        </w:rPr>
      </w:pPr>
      <w:r>
        <w:rPr>
          <w:rFonts w:hint="eastAsia" w:ascii="FangSong_GB2312" w:hAnsi="FangSong_GB2312" w:eastAsia="FangSong_GB2312"/>
          <w:color w:val="000000"/>
          <w:sz w:val="32"/>
          <w:szCs w:val="22"/>
          <w:lang w:val="en-US" w:eastAsia="zh-CN"/>
        </w:rPr>
        <w:t>（十四）项目支出：指在基本支出之外为完成特定行政任务或事业发展目标所发生的支出。</w:t>
      </w:r>
    </w:p>
    <w:p w14:paraId="4560A21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sz w:val="32"/>
          <w:szCs w:val="32"/>
          <w:highlight w:val="none"/>
          <w:lang w:val="en-US" w:eastAsia="zh-CN"/>
        </w:rPr>
        <w:t>（十五）</w:t>
      </w:r>
      <w:r>
        <w:rPr>
          <w:rFonts w:hint="eastAsia" w:ascii="仿宋_GB2312" w:eastAsia="仿宋_GB2312"/>
          <w:bCs/>
          <w:kern w:val="44"/>
          <w:sz w:val="32"/>
          <w:szCs w:val="32"/>
          <w:highlight w:val="none"/>
          <w:lang w:val="en-US" w:eastAsia="zh-CN"/>
        </w:rPr>
        <w:t>经营支出：指事业单位在专业活动及辅助活动之外开展非独立核算经营活动发生的支出。</w:t>
      </w:r>
    </w:p>
    <w:p w14:paraId="04A9D5C1">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sz w:val="32"/>
          <w:szCs w:val="32"/>
          <w:highlight w:val="none"/>
          <w:lang w:val="en-US" w:eastAsia="zh-CN"/>
        </w:rPr>
        <w:t>（十六）</w:t>
      </w:r>
      <w:r>
        <w:rPr>
          <w:rFonts w:hint="eastAsia" w:ascii="仿宋_GB2312" w:eastAsia="仿宋_GB2312"/>
          <w:sz w:val="32"/>
          <w:szCs w:val="32"/>
          <w:highlight w:val="none"/>
          <w:lang w:val="en-US" w:eastAsia="zh-CN"/>
        </w:rPr>
        <w:t>“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4EC82FB5">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_GB2312" w:eastAsia="仿宋_GB2312"/>
          <w:sz w:val="32"/>
          <w:szCs w:val="32"/>
          <w:highlight w:val="yellow"/>
          <w:lang w:val="en-US" w:eastAsia="zh-CN"/>
        </w:rPr>
      </w:pPr>
      <w:r>
        <w:rPr>
          <w:rFonts w:hint="eastAsia" w:ascii="仿宋_GB2312"/>
          <w:sz w:val="32"/>
          <w:szCs w:val="32"/>
          <w:highlight w:val="none"/>
          <w:lang w:val="en-US" w:eastAsia="zh-CN"/>
        </w:rPr>
        <w:t>（十七）</w:t>
      </w:r>
      <w:r>
        <w:rPr>
          <w:rFonts w:hint="eastAsia" w:ascii="仿宋_GB2312" w:eastAsia="仿宋_GB2312"/>
          <w:sz w:val="32"/>
          <w:szCs w:val="32"/>
          <w:highlight w:val="none"/>
          <w:lang w:val="en-US" w:eastAsia="zh-CN"/>
        </w:rPr>
        <w:t>机关运行经费：指为保障行政单位（包括参照公务员法管理的事业单位）运行用于购买货物和服务的各项资金，</w:t>
      </w:r>
      <w:r>
        <w:rPr>
          <w:rFonts w:ascii="仿宋_GB2312" w:eastAsia="仿宋_GB2312"/>
          <w:sz w:val="32"/>
          <w:szCs w:val="32"/>
          <w:highlight w:val="none"/>
          <w:lang w:val="en-US" w:eastAsia="zh-CN"/>
        </w:rPr>
        <w:t>包括办公</w:t>
      </w:r>
      <w:r>
        <w:rPr>
          <w:rFonts w:hint="eastAsia" w:ascii="仿宋_GB2312" w:eastAsia="仿宋_GB2312"/>
          <w:sz w:val="32"/>
          <w:szCs w:val="32"/>
          <w:highlight w:val="none"/>
          <w:lang w:val="en-US" w:eastAsia="zh-CN"/>
        </w:rPr>
        <w:t>费、</w:t>
      </w:r>
      <w:r>
        <w:rPr>
          <w:rFonts w:ascii="仿宋_GB2312" w:eastAsia="仿宋_GB2312"/>
          <w:sz w:val="32"/>
          <w:szCs w:val="32"/>
          <w:highlight w:val="none"/>
          <w:lang w:val="en-US" w:eastAsia="zh-CN"/>
        </w:rPr>
        <w:t>印刷费、邮电费、差旅费、会议费、福利费、日常维修费、专用材料及一般设备购置费、办公用房水电费、</w:t>
      </w:r>
      <w:r>
        <w:rPr>
          <w:rFonts w:hint="eastAsia" w:ascii="仿宋_GB2312" w:eastAsia="仿宋_GB2312"/>
          <w:sz w:val="32"/>
          <w:szCs w:val="32"/>
          <w:highlight w:val="none"/>
          <w:lang w:val="en-US" w:eastAsia="zh-CN"/>
        </w:rPr>
        <w:t>办公用房取暖费、</w:t>
      </w:r>
      <w:r>
        <w:rPr>
          <w:rFonts w:ascii="仿宋_GB2312" w:eastAsia="仿宋_GB2312"/>
          <w:sz w:val="32"/>
          <w:szCs w:val="32"/>
          <w:highlight w:val="none"/>
          <w:lang w:val="en-US" w:eastAsia="zh-CN"/>
        </w:rPr>
        <w:t>办公用房物业管理费、公务用车运行维护费以及其他费用。</w:t>
      </w:r>
    </w:p>
    <w:p w14:paraId="380F5DFA">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(十八)其他专用名词。</w:t>
      </w:r>
    </w:p>
    <w:p w14:paraId="711CF9F6">
      <w:pPr>
        <w:keepNext w:val="0"/>
        <w:keepLines w:val="0"/>
        <w:pageBreakBefore w:val="0"/>
        <w:widowControl w:val="0"/>
        <w:kinsoku/>
        <w:wordWrap/>
        <w:overflowPunct/>
        <w:topLinePunct w:val="0"/>
        <w:autoSpaceDE/>
        <w:autoSpaceDN/>
        <w:bidi w:val="0"/>
        <w:spacing w:line="600"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（根据本部门使用的其他专用名词补充解释）</w:t>
      </w:r>
    </w:p>
    <w:p w14:paraId="60B42A6C">
      <w:pPr>
        <w:pStyle w:val="7"/>
        <w:ind w:left="0" w:leftChars="0" w:firstLine="0" w:firstLineChars="0"/>
        <w:jc w:val="center"/>
        <w:rPr>
          <w:rFonts w:hint="eastAsia" w:ascii="黑体" w:hAnsi="黑体" w:eastAsia="黑体" w:cs="黑体"/>
          <w:sz w:val="32"/>
          <w:szCs w:val="32"/>
          <w:highlight w:val="none"/>
          <w:lang w:val="en-US" w:eastAsia="zh-CN"/>
        </w:rPr>
      </w:pPr>
    </w:p>
    <w:p w14:paraId="0E56AAA9">
      <w:pPr>
        <w:pStyle w:val="7"/>
        <w:ind w:left="0" w:leftChars="0" w:firstLine="0" w:firstLineChars="0"/>
        <w:jc w:val="center"/>
        <w:rPr>
          <w:rFonts w:hint="eastAsia" w:ascii="黑体" w:hAnsi="黑体" w:eastAsia="黑体" w:cs="黑体"/>
          <w:sz w:val="32"/>
          <w:szCs w:val="32"/>
          <w:highlight w:val="none"/>
          <w:lang w:val="en-US" w:eastAsia="zh-CN"/>
        </w:rPr>
      </w:pPr>
    </w:p>
    <w:p w14:paraId="1E194AD2">
      <w:pPr>
        <w:pStyle w:val="7"/>
        <w:ind w:left="0" w:leftChars="0" w:firstLine="0" w:firstLineChars="0"/>
        <w:jc w:val="center"/>
        <w:rPr>
          <w:rFonts w:hint="eastAsia" w:ascii="黑体" w:hAnsi="黑体" w:eastAsia="黑体" w:cs="黑体"/>
          <w:sz w:val="32"/>
          <w:szCs w:val="32"/>
          <w:highlight w:val="none"/>
          <w:lang w:val="en-US" w:eastAsia="zh-CN"/>
        </w:rPr>
      </w:pPr>
    </w:p>
    <w:p w14:paraId="61EE9A3C">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第六部分  附件</w:t>
      </w:r>
    </w:p>
    <w:p w14:paraId="47A798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highlight w:val="none"/>
          <w:lang w:val="en-US" w:eastAsia="zh-CN"/>
        </w:rPr>
      </w:pPr>
      <w:r>
        <w:rPr>
          <w:rFonts w:hint="eastAsia" w:ascii="黑体" w:hAnsi="黑体" w:eastAsia="黑体" w:cs="黑体"/>
          <w:highlight w:val="none"/>
          <w:lang w:val="en-US" w:eastAsia="zh-CN"/>
        </w:rPr>
        <w:t>一、2024年度</w:t>
      </w:r>
      <w:r>
        <w:rPr>
          <w:rFonts w:hint="eastAsia" w:ascii="黑体" w:hAnsi="黑体" w:eastAsia="黑体" w:cs="黑体"/>
          <w:highlight w:val="none"/>
          <w:u w:val="none"/>
          <w:lang w:val="en-US" w:eastAsia="zh-CN"/>
        </w:rPr>
        <w:t>中共随州市委组织部本级</w:t>
      </w:r>
      <w:r>
        <w:rPr>
          <w:rFonts w:hint="eastAsia" w:ascii="黑体" w:hAnsi="黑体" w:eastAsia="黑体" w:cs="黑体"/>
          <w:highlight w:val="none"/>
          <w:lang w:val="en-US" w:eastAsia="zh-CN"/>
        </w:rPr>
        <w:t>整体绩效评价自评表</w:t>
      </w:r>
    </w:p>
    <w:tbl>
      <w:tblPr>
        <w:tblStyle w:val="5"/>
        <w:tblpPr w:leftFromText="180" w:rightFromText="180" w:vertAnchor="text" w:horzAnchor="page" w:tblpX="1385" w:tblpY="394"/>
        <w:tblOverlap w:val="neve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9"/>
        <w:gridCol w:w="1080"/>
        <w:gridCol w:w="1380"/>
        <w:gridCol w:w="1665"/>
        <w:gridCol w:w="1162"/>
        <w:gridCol w:w="1460"/>
        <w:gridCol w:w="1407"/>
        <w:gridCol w:w="1195"/>
      </w:tblGrid>
      <w:tr w14:paraId="05F4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89" w:hRule="atLeast"/>
          <w:jc w:val="center"/>
        </w:trPr>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BD7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68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049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中共随州市委组织部（本级）</w:t>
            </w:r>
          </w:p>
        </w:tc>
      </w:tr>
      <w:tr w14:paraId="150FF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721" w:hRule="atLeast"/>
          <w:jc w:val="center"/>
        </w:trPr>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11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基本支出总额</w:t>
            </w:r>
          </w:p>
        </w:tc>
        <w:tc>
          <w:tcPr>
            <w:tcW w:w="28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F2CAF9">
            <w:pPr>
              <w:keepNext w:val="0"/>
              <w:keepLines w:val="0"/>
              <w:widowControl/>
              <w:suppressLineNumbers w:val="0"/>
              <w:jc w:val="center"/>
              <w:textAlignment w:val="center"/>
              <w:rPr>
                <w:rFonts w:hint="default" w:ascii="Arial" w:hAnsi="Arial" w:eastAsia="宋体" w:cs="Arial"/>
                <w:i w:val="0"/>
                <w:iCs w:val="0"/>
                <w:color w:val="000000"/>
                <w:sz w:val="18"/>
                <w:szCs w:val="18"/>
                <w:u w:val="none"/>
                <w:lang w:val="en-US"/>
              </w:rPr>
            </w:pPr>
            <w:r>
              <w:rPr>
                <w:rFonts w:hint="eastAsia" w:ascii="Arial" w:hAnsi="Arial" w:eastAsia="宋体" w:cs="Arial"/>
                <w:i w:val="0"/>
                <w:iCs w:val="0"/>
                <w:color w:val="000000"/>
                <w:kern w:val="0"/>
                <w:sz w:val="18"/>
                <w:szCs w:val="18"/>
                <w:u w:val="none"/>
                <w:lang w:val="en-US" w:eastAsia="zh-CN" w:bidi="ar"/>
              </w:rPr>
              <w:t>773.18</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F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项目支出总额</w:t>
            </w:r>
          </w:p>
        </w:tc>
        <w:tc>
          <w:tcPr>
            <w:tcW w:w="26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A03E7">
            <w:pPr>
              <w:keepNext w:val="0"/>
              <w:keepLines w:val="0"/>
              <w:widowControl/>
              <w:suppressLineNumbers w:val="0"/>
              <w:jc w:val="center"/>
              <w:textAlignment w:val="center"/>
              <w:rPr>
                <w:rFonts w:hint="default" w:ascii="Arial" w:hAnsi="Arial" w:eastAsia="宋体" w:cs="Arial"/>
                <w:i w:val="0"/>
                <w:iCs w:val="0"/>
                <w:color w:val="000000"/>
                <w:sz w:val="18"/>
                <w:szCs w:val="18"/>
                <w:u w:val="none"/>
                <w:lang w:val="en-US"/>
              </w:rPr>
            </w:pPr>
            <w:r>
              <w:rPr>
                <w:rFonts w:hint="eastAsia" w:ascii="Arial" w:hAnsi="Arial" w:eastAsia="宋体" w:cs="Arial"/>
                <w:i w:val="0"/>
                <w:iCs w:val="0"/>
                <w:color w:val="000000"/>
                <w:kern w:val="0"/>
                <w:sz w:val="18"/>
                <w:szCs w:val="18"/>
                <w:u w:val="none"/>
                <w:lang w:val="en-US" w:eastAsia="zh-CN" w:bidi="ar"/>
              </w:rPr>
              <w:t>355.11</w:t>
            </w:r>
          </w:p>
        </w:tc>
      </w:tr>
      <w:tr w14:paraId="57BA5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F0AB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年度目标</w:t>
            </w:r>
          </w:p>
        </w:tc>
        <w:tc>
          <w:tcPr>
            <w:tcW w:w="68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63B796">
            <w:pPr>
              <w:keepNext w:val="0"/>
              <w:keepLines w:val="0"/>
              <w:widowControl/>
              <w:suppressLineNumbers w:val="0"/>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、圆满完成各类干部考察、调研、考核、监督等各项工作任务，确保干部工作高质量发展；</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、完成公务员四级联考、市直公务员遴选、选调生招录等工作，保持人员合理进出和流动；</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3</w:t>
            </w:r>
            <w:r>
              <w:rPr>
                <w:rFonts w:hint="eastAsia" w:ascii="宋体" w:hAnsi="宋体" w:eastAsia="宋体" w:cs="宋体"/>
                <w:i w:val="0"/>
                <w:iCs w:val="0"/>
                <w:color w:val="000000"/>
                <w:kern w:val="0"/>
                <w:sz w:val="18"/>
                <w:szCs w:val="18"/>
                <w:u w:val="none"/>
                <w:lang w:val="en-US" w:eastAsia="zh-CN" w:bidi="ar"/>
              </w:rPr>
              <w:t>、健全党的基层组织建设，聚焦凝心铸魂，抓好主题教育主题教育、实践活动等工作任务；</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、建强党员教育培训阵地，确保党员教育工作可持续发展；</w:t>
            </w:r>
            <w:r>
              <w:rPr>
                <w:rFonts w:hint="default" w:ascii="Arial" w:hAnsi="Arial" w:eastAsia="宋体" w:cs="Arial"/>
                <w:i w:val="0"/>
                <w:iCs w:val="0"/>
                <w:color w:val="000000"/>
                <w:kern w:val="0"/>
                <w:sz w:val="18"/>
                <w:szCs w:val="18"/>
                <w:u w:val="none"/>
                <w:lang w:val="en-US" w:eastAsia="zh-CN" w:bidi="ar"/>
              </w:rPr>
              <w:br w:type="textWrapping"/>
            </w:r>
            <w:r>
              <w:rPr>
                <w:rFonts w:hint="default" w:ascii="Arial" w:hAnsi="Arial" w:eastAsia="宋体" w:cs="Arial"/>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、保障日常办公需求，确保正常运行。</w:t>
            </w:r>
          </w:p>
        </w:tc>
      </w:tr>
      <w:tr w14:paraId="38385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088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年度绩效指标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1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3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9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C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指标分类</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D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年初目标值(A)</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D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实际完成值(B)</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0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025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D1A60">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54DAF4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运行成本</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8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公用经费控制（2分）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3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公用经费控制率（2分）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5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03E5">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&lt;100%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28AA">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&lt;100%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CC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5D48B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280BB">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C370134">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D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在职人员控制（2分）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8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在职人员控制率（2分）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5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49C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F167">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17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283F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8C7AB">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61D1996">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E1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成本控制（4分）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7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会议费控制率（2分）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8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0018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29D1">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264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0569F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D65D1">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90DFEF7">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F30D0">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F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变动率（2分）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5C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6BCB">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&lt;0%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AEB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&lt;0%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E8D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w:t>
            </w:r>
          </w:p>
        </w:tc>
      </w:tr>
      <w:tr w14:paraId="07F3F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7E881">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82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管理效率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（22分）</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0C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战略管理（2分）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B7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中长期规划相符性（1分）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6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7F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相符</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A4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相符</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2F6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3B351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7D52E">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35B44">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52B99">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2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工作计划健全性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（1分）</w:t>
            </w:r>
          </w:p>
        </w:tc>
        <w:tc>
          <w:tcPr>
            <w:tcW w:w="1162" w:type="dxa"/>
            <w:tcBorders>
              <w:top w:val="single" w:color="000000" w:sz="4" w:space="0"/>
              <w:left w:val="single" w:color="000000" w:sz="4" w:space="0"/>
              <w:bottom w:val="nil"/>
              <w:right w:val="single" w:color="000000" w:sz="4" w:space="0"/>
            </w:tcBorders>
            <w:shd w:val="clear" w:color="auto" w:fill="auto"/>
            <w:vAlign w:val="center"/>
          </w:tcPr>
          <w:p w14:paraId="234E9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F6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健全</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B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健全</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8AF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502A7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0A986">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6E06C">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75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34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预算编制科学性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（1分）</w:t>
            </w:r>
          </w:p>
        </w:tc>
        <w:tc>
          <w:tcPr>
            <w:tcW w:w="1162" w:type="dxa"/>
            <w:tcBorders>
              <w:top w:val="single" w:color="000000" w:sz="4" w:space="0"/>
              <w:left w:val="single" w:color="000000" w:sz="4" w:space="0"/>
              <w:bottom w:val="nil"/>
              <w:right w:val="single" w:color="000000" w:sz="4" w:space="0"/>
            </w:tcBorders>
            <w:shd w:val="clear" w:color="auto" w:fill="auto"/>
            <w:vAlign w:val="center"/>
          </w:tcPr>
          <w:p w14:paraId="769213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1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5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科学</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1D3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D1D8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29E63">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BB8A4">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A16BA">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259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预算编制合理性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2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D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合理</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6A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合理</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2C6C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58FF2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F40BF">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50140">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83A16">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D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立项规范性（1分）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B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8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B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014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2148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D2221">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C04C3">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27334">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9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预算调整率（2分）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83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018B">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&lt;0%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AD4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33.80%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5F9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1.6</w:t>
            </w:r>
          </w:p>
        </w:tc>
      </w:tr>
      <w:tr w14:paraId="71CE6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8621A">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E05C9">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12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6F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0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A4C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387D">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94%</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7D0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1.9</w:t>
            </w:r>
          </w:p>
        </w:tc>
      </w:tr>
      <w:tr w14:paraId="79459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7070F">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29136">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B105">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2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结转结余率（1分）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3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214C">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D093">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6%</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06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0.9</w:t>
            </w:r>
          </w:p>
        </w:tc>
      </w:tr>
      <w:tr w14:paraId="2940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543BF">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A3B06">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230E0">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DD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政府采购执行率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3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FC8B">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EDB8">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5447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3BBAB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9D124">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C71D8">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8E8C1">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F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非税收入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8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D5F98">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4143">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BE3F">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5AEBD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CAA24">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2664A">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90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绩效管理（5分）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37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事前绩效评估完成率（1分）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4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316AB">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8943">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AFC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405A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18D5F">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0FF25">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0FDCA">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81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绩效目标合理性   （1分）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8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B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合理</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5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合理</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575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1B08E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EA772">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C27D0">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145CA">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0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绩效监控开展率   （1分）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C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9818">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CFCF">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B555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EC69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35C0D">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84233">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3ECE8">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0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绩效评价覆盖率   （1分）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E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BA89">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12EF">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65D5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07F61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456D4">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C7550">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8230C">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2B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评价结果应用率   （1分）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F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9832">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ECFB">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CAB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31683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3DAA2">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F6C1B">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C1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9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资产管理制度健全性（1分）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9AB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68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健全</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8F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健全</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8E5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23170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A1BA9">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F276B">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1CC29">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9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资产管理规范性（1分）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2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1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ED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1CE1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33F9B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9E05E">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6F60E">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AD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财务管理（3分）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0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财务管理制度健全性（1分）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5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A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健全</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5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健全</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509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15B8A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B6D6">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01699">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621BD">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A9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会计核算规范性（1分）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9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17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1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规范</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7AF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35763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261D0">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2DDE">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22CBB">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7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资金使用合规性（1分）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2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68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2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合规</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7E3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819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B6253">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45213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履职效能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（50分）</w:t>
            </w:r>
          </w:p>
        </w:tc>
        <w:tc>
          <w:tcPr>
            <w:tcW w:w="1380" w:type="dxa"/>
            <w:vMerge w:val="restart"/>
            <w:tcBorders>
              <w:top w:val="single" w:color="000000" w:sz="4" w:space="0"/>
              <w:left w:val="single" w:color="000000" w:sz="4" w:space="0"/>
              <w:bottom w:val="nil"/>
              <w:right w:val="single" w:color="000000" w:sz="4" w:space="0"/>
            </w:tcBorders>
            <w:shd w:val="clear" w:color="auto" w:fill="auto"/>
            <w:vAlign w:val="center"/>
          </w:tcPr>
          <w:p w14:paraId="17FB4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建强党的基层组织（10分）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37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党组织书记示范培训率（4分）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CFE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C740">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5CE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D26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r>
      <w:tr w14:paraId="47F3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FFA0B">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1999986">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1E049AC4">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D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村（社区）党群服务中心建设情况（3分）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4F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3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提档升级</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1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提档升级</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168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r>
      <w:tr w14:paraId="0C034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F8D67">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C39EB93">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0A782664">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0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市县乡党委书记抓基层党建工作述职评议考核覆盖率（3分）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1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006D">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07E8">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872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r>
      <w:tr w14:paraId="4ABD4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10235">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4E5DE19">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nil"/>
              <w:right w:val="single" w:color="000000" w:sz="4" w:space="0"/>
            </w:tcBorders>
            <w:shd w:val="clear" w:color="auto" w:fill="auto"/>
            <w:vAlign w:val="center"/>
          </w:tcPr>
          <w:p w14:paraId="2C8E6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建强干部队伍（10分）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9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市管干部个人重大事项填报、核查率（2分）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9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93EEC">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A80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046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72321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292CF7">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3D2E6B2">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31D96C58">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D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干部考察、调研专项检查完成率（2分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9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1F1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CA59">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E3DD">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1B8F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A8747">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2C4DB1D">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4BA88CE9">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4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干部教育培训完成率（2分）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D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318A">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668A">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4B2F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794C1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130D9">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4E06F42">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2C468215">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D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实施履职尽责管理和责任目标考核（2分）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2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CB25">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5468">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3082">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124EB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1EEC7">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EAE430C">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0CF14D0C">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C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一报告两评议完成率（2分）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AF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D002">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A808">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6DE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1FBE5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FE69C">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BB0FF1B">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227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加强公务员管理（10分）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3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完成公务员四级联考招录工作（5分）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E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9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圆满完成</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5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圆满完成</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7BEA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r>
      <w:tr w14:paraId="3810A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EA2F6">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10D35E0">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7E0C">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D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完成选调生招录工作（5分）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9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B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圆满完成</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4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圆满完成</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00BE0">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r>
      <w:tr w14:paraId="695F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8B7C7">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1B6F744">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07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人才支撑（10分）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D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炎帝人才支持计划资金兑现率（2分）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C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737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E11D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DB13">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559EA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A51D5">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7F75F9F">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C4C0B">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93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培养“一村多名大学生计划”（2分）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E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B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B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完成</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89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72EAA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3F2A3">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BA4F9A5">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5F4CA">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F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专家体检慰问覆盖率（2分）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E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7272">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600F">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82E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243B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19515">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53808716">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07DF8">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9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人才培训班次（2分）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7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400C">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次</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3CB9">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≥5</w:t>
            </w:r>
            <w:r>
              <w:rPr>
                <w:rFonts w:hint="eastAsia" w:ascii="宋体" w:hAnsi="宋体" w:eastAsia="宋体" w:cs="宋体"/>
                <w:i w:val="0"/>
                <w:iCs w:val="0"/>
                <w:color w:val="000000"/>
                <w:kern w:val="0"/>
                <w:sz w:val="18"/>
                <w:szCs w:val="18"/>
                <w:u w:val="none"/>
                <w:lang w:val="en-US" w:eastAsia="zh-CN" w:bidi="ar"/>
              </w:rPr>
              <w:t>次</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DE56">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61CC5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3594B">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63A5D175">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ECA77">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D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创新平台绩效评估（2分）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7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绩效创新型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5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较好</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6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较好</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278B">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03E4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CDE0A">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7EDDFCF5">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nil"/>
              <w:right w:val="single" w:color="000000" w:sz="4" w:space="0"/>
            </w:tcBorders>
            <w:shd w:val="clear" w:color="auto" w:fill="auto"/>
            <w:vAlign w:val="center"/>
          </w:tcPr>
          <w:p w14:paraId="4DFD2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组织专项（10分）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2D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主题教育活动开展情况（5分）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D0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69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59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72A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r>
      <w:tr w14:paraId="3B995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DAC1A">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36E0529">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nil"/>
              <w:right w:val="single" w:color="000000" w:sz="4" w:space="0"/>
            </w:tcBorders>
            <w:shd w:val="clear" w:color="auto" w:fill="auto"/>
            <w:vAlign w:val="center"/>
          </w:tcPr>
          <w:p w14:paraId="1878FE8D">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C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实践活动开展情况（5分）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DE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B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4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4F4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w:t>
            </w:r>
          </w:p>
        </w:tc>
      </w:tr>
      <w:tr w14:paraId="113F9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8EAF3">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31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C7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经济效益（4分）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9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党建引领高质量发展（5分）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D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76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进一步增强</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9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进一步增强</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077A">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w:t>
            </w:r>
          </w:p>
        </w:tc>
      </w:tr>
      <w:tr w14:paraId="417E8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2FED4">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DD01D">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B1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社会效益（3分）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36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公务员队伍建设水平（5分）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8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B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进一步提高</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D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进一步提高</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E574">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r>
      <w:tr w14:paraId="3F169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FF0A">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27003">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7E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生态效益（3分）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2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领导班子政治生态环境（5分）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8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3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进一步提高</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4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进一步提高</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CE31">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w:t>
            </w:r>
          </w:p>
        </w:tc>
      </w:tr>
      <w:tr w14:paraId="740B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7222B">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nil"/>
              <w:right w:val="single" w:color="000000" w:sz="4" w:space="0"/>
            </w:tcBorders>
            <w:shd w:val="clear" w:color="auto" w:fill="auto"/>
            <w:vAlign w:val="center"/>
          </w:tcPr>
          <w:p w14:paraId="24106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可持续发展能力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991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体制机制改革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C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服务体制改革成效（1分）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C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绩效创新型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9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明显</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C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明显</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B85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EB8B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F14EC">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038DFF13">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CAD45">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E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行政管理体制革成效（1分）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F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绩效创新型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C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明显</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0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明显</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B4B1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234E6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61FBC">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2FC3F155">
            <w:pPr>
              <w:jc w:val="center"/>
              <w:rPr>
                <w:rFonts w:hint="eastAsia" w:ascii="宋体" w:hAnsi="宋体" w:eastAsia="宋体" w:cs="宋体"/>
                <w:i w:val="0"/>
                <w:iCs w:val="0"/>
                <w:color w:val="000000"/>
                <w:sz w:val="18"/>
                <w:szCs w:val="18"/>
                <w:u w:val="none"/>
              </w:rPr>
            </w:pP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5A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人才支撑（2分）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8B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业务学习与培训完成率（0.5分）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B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964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9A74">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7278">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w:t>
            </w:r>
          </w:p>
        </w:tc>
      </w:tr>
      <w:tr w14:paraId="1155B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72789">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1C636A76">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8AC13">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4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干部队伍体系建设规划情况（0.5分）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C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D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合理</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9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合理</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227E">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w:t>
            </w:r>
          </w:p>
        </w:tc>
      </w:tr>
      <w:tr w14:paraId="7A2EE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7BC59">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4E0C02C">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C3CCD2">
            <w:pPr>
              <w:jc w:val="center"/>
              <w:rPr>
                <w:rFonts w:hint="eastAsia" w:ascii="宋体" w:hAnsi="宋体" w:eastAsia="宋体" w:cs="宋体"/>
                <w:i w:val="0"/>
                <w:iCs w:val="0"/>
                <w:color w:val="000000"/>
                <w:sz w:val="18"/>
                <w:szCs w:val="18"/>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6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高学高层次才储备率（1分）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F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331E">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9A7B">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EF1F5">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w:t>
            </w:r>
          </w:p>
        </w:tc>
      </w:tr>
      <w:tr w14:paraId="6F624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0E9EB">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nil"/>
              <w:right w:val="single" w:color="000000" w:sz="4" w:space="0"/>
            </w:tcBorders>
            <w:shd w:val="clear" w:color="auto" w:fill="auto"/>
            <w:vAlign w:val="center"/>
          </w:tcPr>
          <w:p w14:paraId="388A5C99">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E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科技支撑（2分）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7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信息化建设情况（2分）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9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绩效创新型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F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不断完善</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A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不断完善</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2087">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2128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AAA0D">
            <w:pPr>
              <w:jc w:val="center"/>
              <w:rPr>
                <w:rFonts w:hint="eastAsia" w:ascii="宋体" w:hAnsi="宋体" w:eastAsia="宋体" w:cs="宋体"/>
                <w:i w:val="0"/>
                <w:iCs w:val="0"/>
                <w:color w:val="000000"/>
                <w:sz w:val="18"/>
                <w:szCs w:val="18"/>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77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（4分）</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7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CE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6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433D0">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7556">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11DC">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0ECD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7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4480">
            <w:pPr>
              <w:jc w:val="center"/>
              <w:rPr>
                <w:rFonts w:hint="eastAsia" w:ascii="宋体" w:hAnsi="宋体" w:eastAsia="宋体" w:cs="宋体"/>
                <w:i w:val="0"/>
                <w:iCs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4DE54">
            <w:pPr>
              <w:jc w:val="center"/>
              <w:rPr>
                <w:rFonts w:hint="eastAsia" w:ascii="宋体" w:hAnsi="宋体" w:eastAsia="宋体" w:cs="宋体"/>
                <w:i w:val="0"/>
                <w:iCs w:val="0"/>
                <w:color w:val="000000"/>
                <w:sz w:val="18"/>
                <w:szCs w:val="18"/>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A35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联系部门满意度（2分）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3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联系部门满意度（2分）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59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绩效基本型</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4E7C">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40677">
            <w:pPr>
              <w:keepNext w:val="0"/>
              <w:keepLines w:val="0"/>
              <w:widowControl/>
              <w:suppressLineNumbers w:val="0"/>
              <w:jc w:val="center"/>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100%</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D8E9">
            <w:pPr>
              <w:keepNext w:val="0"/>
              <w:keepLines w:val="0"/>
              <w:widowControl/>
              <w:suppressLineNumbers w:val="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p>
        </w:tc>
      </w:tr>
      <w:tr w14:paraId="3D5B2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9304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偏差大或目标未完成原因分析</w:t>
            </w:r>
          </w:p>
        </w:tc>
        <w:tc>
          <w:tcPr>
            <w:tcW w:w="68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919BF8">
            <w:pPr>
              <w:keepNext w:val="0"/>
              <w:keepLines w:val="0"/>
              <w:widowControl/>
              <w:suppressLineNumbers w:val="0"/>
              <w:jc w:val="left"/>
              <w:textAlignment w:val="center"/>
              <w:rPr>
                <w:rFonts w:hint="default" w:ascii="Arial" w:hAnsi="Arial" w:eastAsia="宋体" w:cs="Arial"/>
                <w:i w:val="0"/>
                <w:iCs w:val="0"/>
                <w:color w:val="000000"/>
                <w:sz w:val="18"/>
                <w:szCs w:val="18"/>
                <w:u w:val="none"/>
              </w:rPr>
            </w:pP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预算调整率</w:t>
            </w:r>
            <w:r>
              <w:rPr>
                <w:rFonts w:hint="default" w:ascii="Arial" w:hAnsi="Arial" w:eastAsia="宋体" w:cs="Arial"/>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指标未完成绩效目标的主要原因：部分经费不足，予以调整、补充。</w:t>
            </w:r>
            <w:r>
              <w:rPr>
                <w:rFonts w:hint="default" w:ascii="Arial" w:hAnsi="Arial" w:eastAsia="宋体" w:cs="Arial"/>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“预算执行率”指标未到达</w:t>
            </w:r>
            <w:r>
              <w:rPr>
                <w:rFonts w:hint="default" w:ascii="Arial" w:hAnsi="Arial" w:eastAsia="宋体" w:cs="Arial"/>
                <w:i w:val="0"/>
                <w:iCs w:val="0"/>
                <w:color w:val="000000"/>
                <w:kern w:val="0"/>
                <w:sz w:val="18"/>
                <w:szCs w:val="18"/>
                <w:u w:val="none"/>
                <w:lang w:val="en-US" w:eastAsia="zh-CN" w:bidi="ar"/>
              </w:rPr>
              <w:t>100%</w:t>
            </w:r>
            <w:r>
              <w:rPr>
                <w:rFonts w:hint="eastAsia" w:ascii="宋体" w:hAnsi="宋体" w:eastAsia="宋体" w:cs="宋体"/>
                <w:i w:val="0"/>
                <w:iCs w:val="0"/>
                <w:color w:val="000000"/>
                <w:kern w:val="0"/>
                <w:sz w:val="18"/>
                <w:szCs w:val="18"/>
                <w:u w:val="none"/>
                <w:lang w:val="en-US" w:eastAsia="zh-CN" w:bidi="ar"/>
              </w:rPr>
              <w:t>主要原因：部分项目未完成，延续到</w:t>
            </w:r>
            <w:r>
              <w:rPr>
                <w:rFonts w:hint="default" w:ascii="Arial" w:hAnsi="Arial" w:eastAsia="宋体" w:cs="Arial"/>
                <w:i w:val="0"/>
                <w:iCs w:val="0"/>
                <w:color w:val="000000"/>
                <w:kern w:val="0"/>
                <w:sz w:val="18"/>
                <w:szCs w:val="18"/>
                <w:u w:val="none"/>
                <w:lang w:val="en-US" w:eastAsia="zh-CN" w:bidi="ar"/>
              </w:rPr>
              <w:t>2025</w:t>
            </w:r>
            <w:r>
              <w:rPr>
                <w:rFonts w:hint="eastAsia" w:ascii="宋体" w:hAnsi="宋体" w:eastAsia="宋体" w:cs="宋体"/>
                <w:i w:val="0"/>
                <w:iCs w:val="0"/>
                <w:color w:val="000000"/>
                <w:kern w:val="0"/>
                <w:sz w:val="18"/>
                <w:szCs w:val="18"/>
                <w:u w:val="none"/>
                <w:lang w:val="en-US" w:eastAsia="zh-CN" w:bidi="ar"/>
              </w:rPr>
              <w:t>年；部分项目资金下达时间临近关账，无法及时完成支付。</w:t>
            </w:r>
          </w:p>
        </w:tc>
      </w:tr>
      <w:tr w14:paraId="7486E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74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改进措施及结果应用方案</w:t>
            </w:r>
          </w:p>
        </w:tc>
        <w:tc>
          <w:tcPr>
            <w:tcW w:w="68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55AF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充分运用绩效运行监控结果，对因客观原因导致预算支出完成率存在偏差的，对相关项目负责人进行提醒，督促及时完成绩效目标。</w:t>
            </w:r>
          </w:p>
        </w:tc>
      </w:tr>
    </w:tbl>
    <w:p w14:paraId="07ED2DC5">
      <w:pPr>
        <w:pStyle w:val="4"/>
        <w:rPr>
          <w:rFonts w:hint="eastAsia" w:ascii="黑体" w:hAnsi="黑体" w:eastAsia="黑体" w:cs="黑体"/>
          <w:highlight w:val="none"/>
          <w:lang w:val="en-US" w:eastAsia="zh-CN"/>
        </w:rPr>
      </w:pPr>
    </w:p>
    <w:p w14:paraId="79FBC92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highlight w:val="none"/>
          <w:lang w:val="en-US" w:eastAsia="zh-CN"/>
        </w:rPr>
      </w:pPr>
    </w:p>
    <w:p w14:paraId="4FF7E0D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highlight w:val="none"/>
          <w:lang w:val="en-US" w:eastAsia="zh-CN"/>
        </w:rPr>
      </w:pPr>
      <w:r>
        <w:rPr>
          <w:rFonts w:hint="eastAsia" w:ascii="黑体" w:hAnsi="黑体" w:eastAsia="黑体" w:cs="黑体"/>
          <w:highlight w:val="none"/>
          <w:lang w:val="en-US" w:eastAsia="zh-CN"/>
        </w:rPr>
        <w:t>二、2024年度</w:t>
      </w:r>
      <w:r>
        <w:rPr>
          <w:rFonts w:hint="eastAsia" w:ascii="黑体" w:hAnsi="黑体" w:eastAsia="黑体" w:cs="黑体"/>
          <w:highlight w:val="none"/>
          <w:u w:val="none"/>
          <w:lang w:val="en-US" w:eastAsia="zh-CN"/>
        </w:rPr>
        <w:t>中共随州市委组织部本级</w:t>
      </w:r>
      <w:r>
        <w:rPr>
          <w:rFonts w:hint="eastAsia" w:ascii="黑体" w:hAnsi="黑体" w:eastAsia="黑体" w:cs="黑体"/>
          <w:highlight w:val="none"/>
          <w:lang w:val="en-US" w:eastAsia="zh-CN"/>
        </w:rPr>
        <w:t>项目绩效评价自评表</w:t>
      </w:r>
    </w:p>
    <w:p w14:paraId="5601BF0D">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b w:val="0"/>
          <w:bCs w:val="0"/>
          <w:color w:val="000000"/>
          <w:kern w:val="0"/>
          <w:sz w:val="40"/>
          <w:szCs w:val="40"/>
          <w:lang w:val="en-US" w:eastAsia="zh-CN" w:bidi="ar"/>
        </w:rPr>
      </w:pPr>
    </w:p>
    <w:p w14:paraId="3C6CCD4F">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000000"/>
          <w:kern w:val="0"/>
          <w:sz w:val="36"/>
          <w:szCs w:val="36"/>
          <w:lang w:val="en-US" w:eastAsia="zh-CN" w:bidi="ar"/>
        </w:rPr>
        <w:t>（一）干部工作经费项目自评表</w:t>
      </w:r>
    </w:p>
    <w:p w14:paraId="09740729">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default" w:ascii="Times New Roman" w:hAnsi="Times New Roman" w:eastAsia="楷体_GB2312" w:cs="Times New Roman"/>
          <w:kern w:val="0"/>
          <w:sz w:val="48"/>
          <w:szCs w:val="48"/>
          <w:highlight w:val="none"/>
          <w:lang w:val="en-US" w:eastAsia="zh-CN"/>
        </w:rPr>
      </w:pPr>
    </w:p>
    <w:tbl>
      <w:tblPr>
        <w:tblStyle w:val="5"/>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709"/>
        <w:gridCol w:w="413"/>
        <w:gridCol w:w="1319"/>
        <w:gridCol w:w="505"/>
        <w:gridCol w:w="812"/>
        <w:gridCol w:w="1425"/>
        <w:gridCol w:w="41"/>
        <w:gridCol w:w="1319"/>
        <w:gridCol w:w="1143"/>
      </w:tblGrid>
      <w:tr w14:paraId="1303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237" w:type="dxa"/>
            <w:gridSpan w:val="2"/>
            <w:vAlign w:val="center"/>
          </w:tcPr>
          <w:p w14:paraId="6D70D97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仿宋_GB2312" w:cs="Times New Roman"/>
                <w:kern w:val="0"/>
                <w:highlight w:val="none"/>
              </w:rPr>
            </w:pPr>
            <w:r>
              <w:rPr>
                <w:rFonts w:hint="default" w:ascii="Times New Roman" w:hAnsi="Times New Roman" w:eastAsia="宋体" w:cs="Times New Roman"/>
                <w:kern w:val="0"/>
                <w:sz w:val="21"/>
                <w:szCs w:val="21"/>
                <w:highlight w:val="none"/>
              </w:rPr>
              <w:t>项目名称</w:t>
            </w:r>
          </w:p>
        </w:tc>
        <w:tc>
          <w:tcPr>
            <w:tcW w:w="2237" w:type="dxa"/>
            <w:gridSpan w:val="3"/>
            <w:vAlign w:val="center"/>
          </w:tcPr>
          <w:p w14:paraId="1028A725">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干部工作经费</w:t>
            </w:r>
            <w:r>
              <w:rPr>
                <w:rFonts w:hint="default" w:ascii="Times New Roman" w:hAnsi="Times New Roman" w:eastAsia="宋体" w:cs="Times New Roman"/>
                <w:kern w:val="0"/>
                <w:sz w:val="21"/>
                <w:szCs w:val="21"/>
                <w:highlight w:val="none"/>
                <w:lang w:eastAsia="zh-CN"/>
              </w:rPr>
              <w:t>　</w:t>
            </w:r>
          </w:p>
        </w:tc>
        <w:tc>
          <w:tcPr>
            <w:tcW w:w="2237" w:type="dxa"/>
            <w:gridSpan w:val="2"/>
            <w:vAlign w:val="center"/>
          </w:tcPr>
          <w:p w14:paraId="739AE483">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项目实施单位</w:t>
            </w:r>
          </w:p>
        </w:tc>
        <w:tc>
          <w:tcPr>
            <w:tcW w:w="2503" w:type="dxa"/>
            <w:gridSpan w:val="3"/>
            <w:vAlign w:val="center"/>
          </w:tcPr>
          <w:p w14:paraId="3DFF5CFD">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中共随州市委组织部</w:t>
            </w:r>
          </w:p>
        </w:tc>
      </w:tr>
      <w:tr w14:paraId="1B8F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237" w:type="dxa"/>
            <w:gridSpan w:val="2"/>
            <w:vAlign w:val="center"/>
          </w:tcPr>
          <w:p w14:paraId="41CE737F">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项目主管单位</w:t>
            </w:r>
          </w:p>
        </w:tc>
        <w:tc>
          <w:tcPr>
            <w:tcW w:w="2237" w:type="dxa"/>
            <w:gridSpan w:val="3"/>
            <w:vAlign w:val="center"/>
          </w:tcPr>
          <w:p w14:paraId="33D5E7A4">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中共随州市委组织部</w:t>
            </w:r>
          </w:p>
        </w:tc>
        <w:tc>
          <w:tcPr>
            <w:tcW w:w="2237" w:type="dxa"/>
            <w:gridSpan w:val="2"/>
            <w:vAlign w:val="center"/>
          </w:tcPr>
          <w:p w14:paraId="49AA66B3">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项目负责人</w:t>
            </w:r>
          </w:p>
        </w:tc>
        <w:tc>
          <w:tcPr>
            <w:tcW w:w="2503" w:type="dxa"/>
            <w:gridSpan w:val="3"/>
            <w:vAlign w:val="center"/>
          </w:tcPr>
          <w:p w14:paraId="156232DC">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董蒙蒙</w:t>
            </w:r>
          </w:p>
        </w:tc>
      </w:tr>
      <w:tr w14:paraId="3A42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528" w:type="dxa"/>
            <w:vAlign w:val="center"/>
          </w:tcPr>
          <w:p w14:paraId="64750B2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资金性质</w:t>
            </w:r>
          </w:p>
        </w:tc>
        <w:tc>
          <w:tcPr>
            <w:tcW w:w="7686" w:type="dxa"/>
            <w:gridSpan w:val="9"/>
            <w:vAlign w:val="center"/>
          </w:tcPr>
          <w:p w14:paraId="727236B6">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1、持续性项目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2、</w:t>
            </w:r>
            <w:r>
              <w:rPr>
                <w:rFonts w:hint="default" w:ascii="Times New Roman" w:hAnsi="Times New Roman" w:eastAsia="宋体" w:cs="Times New Roman"/>
                <w:kern w:val="0"/>
                <w:sz w:val="21"/>
                <w:szCs w:val="21"/>
                <w:highlight w:val="none"/>
                <w:lang w:eastAsia="zh-CN"/>
              </w:rPr>
              <w:t>一次</w:t>
            </w:r>
            <w:r>
              <w:rPr>
                <w:rFonts w:hint="default" w:ascii="Times New Roman" w:hAnsi="Times New Roman" w:eastAsia="宋体" w:cs="Times New Roman"/>
                <w:kern w:val="0"/>
                <w:sz w:val="21"/>
                <w:szCs w:val="21"/>
                <w:highlight w:val="none"/>
              </w:rPr>
              <w:t>性项目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 xml:space="preserve"> </w:t>
            </w:r>
            <w:r>
              <w:rPr>
                <w:rFonts w:hint="eastAsia" w:ascii="Times New Roman" w:hAnsi="Times New Roman" w:eastAsia="宋体" w:cs="Times New Roman"/>
                <w:kern w:val="0"/>
                <w:sz w:val="21"/>
                <w:szCs w:val="21"/>
                <w:highlight w:val="none"/>
                <w:lang w:val="en-US" w:eastAsia="zh-CN"/>
              </w:rPr>
              <w:t xml:space="preserve">  </w:t>
            </w:r>
            <w:r>
              <w:rPr>
                <w:rFonts w:hint="default" w:ascii="Times New Roman" w:hAnsi="Times New Roman" w:eastAsia="宋体" w:cs="Times New Roman"/>
                <w:kern w:val="0"/>
                <w:sz w:val="21"/>
                <w:szCs w:val="21"/>
                <w:highlight w:val="none"/>
              </w:rPr>
              <w:t xml:space="preserve"> </w:t>
            </w:r>
            <w:r>
              <w:rPr>
                <w:rFonts w:hint="default" w:ascii="Times New Roman" w:hAnsi="Times New Roman" w:eastAsia="宋体" w:cs="Times New Roman"/>
                <w:kern w:val="0"/>
                <w:sz w:val="21"/>
                <w:szCs w:val="21"/>
                <w:highlight w:val="none"/>
                <w:lang w:val="en-US" w:eastAsia="zh-CN"/>
              </w:rPr>
              <w:t>3、债券项目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w:t>
            </w:r>
          </w:p>
        </w:tc>
      </w:tr>
      <w:tr w14:paraId="194A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28" w:type="dxa"/>
            <w:vMerge w:val="restart"/>
            <w:vAlign w:val="center"/>
          </w:tcPr>
          <w:p w14:paraId="63198E47">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项目资金来源</w:t>
            </w:r>
          </w:p>
          <w:p w14:paraId="36052AF8">
            <w:pPr>
              <w:keepNext w:val="0"/>
              <w:keepLines w:val="0"/>
              <w:pageBreakBefore w:val="0"/>
              <w:widowControl/>
              <w:kinsoku/>
              <w:wordWrap/>
              <w:overflowPunct/>
              <w:topLinePunct w:val="0"/>
              <w:autoSpaceDE/>
              <w:autoSpaceDN/>
              <w:bidi w:val="0"/>
              <w:adjustRightInd/>
              <w:snapToGrid w:val="0"/>
              <w:spacing w:line="260" w:lineRule="exact"/>
              <w:ind w:firstLine="210" w:firstLineChars="10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（万元）</w:t>
            </w:r>
          </w:p>
        </w:tc>
        <w:tc>
          <w:tcPr>
            <w:tcW w:w="2441" w:type="dxa"/>
            <w:gridSpan w:val="3"/>
            <w:vAlign w:val="center"/>
          </w:tcPr>
          <w:p w14:paraId="335C785E">
            <w:pPr>
              <w:keepNext w:val="0"/>
              <w:keepLines w:val="0"/>
              <w:pageBreakBefore w:val="0"/>
              <w:widowControl/>
              <w:kinsoku/>
              <w:wordWrap/>
              <w:overflowPunct/>
              <w:topLinePunct w:val="0"/>
              <w:autoSpaceDE/>
              <w:autoSpaceDN/>
              <w:bidi w:val="0"/>
              <w:adjustRightInd/>
              <w:snapToGrid w:val="0"/>
              <w:spacing w:line="260" w:lineRule="exact"/>
              <w:ind w:firstLine="630" w:firstLineChars="30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中央、省级</w:t>
            </w:r>
          </w:p>
        </w:tc>
        <w:tc>
          <w:tcPr>
            <w:tcW w:w="1317" w:type="dxa"/>
            <w:gridSpan w:val="2"/>
            <w:vAlign w:val="center"/>
          </w:tcPr>
          <w:p w14:paraId="44B0AFC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本级</w:t>
            </w:r>
          </w:p>
        </w:tc>
        <w:tc>
          <w:tcPr>
            <w:tcW w:w="1466" w:type="dxa"/>
            <w:gridSpan w:val="2"/>
            <w:vAlign w:val="center"/>
          </w:tcPr>
          <w:p w14:paraId="653A7B3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其他</w:t>
            </w:r>
          </w:p>
        </w:tc>
        <w:tc>
          <w:tcPr>
            <w:tcW w:w="2462" w:type="dxa"/>
            <w:gridSpan w:val="2"/>
            <w:vAlign w:val="center"/>
          </w:tcPr>
          <w:p w14:paraId="617BE66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合计</w:t>
            </w:r>
          </w:p>
        </w:tc>
      </w:tr>
      <w:tr w14:paraId="2207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528" w:type="dxa"/>
            <w:vMerge w:val="continue"/>
            <w:vAlign w:val="center"/>
          </w:tcPr>
          <w:p w14:paraId="20B3537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41" w:type="dxa"/>
            <w:gridSpan w:val="3"/>
            <w:vAlign w:val="center"/>
          </w:tcPr>
          <w:p w14:paraId="453F4F0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7" w:type="dxa"/>
            <w:gridSpan w:val="2"/>
            <w:vAlign w:val="center"/>
          </w:tcPr>
          <w:p w14:paraId="30E288C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73.66</w:t>
            </w:r>
          </w:p>
        </w:tc>
        <w:tc>
          <w:tcPr>
            <w:tcW w:w="1466" w:type="dxa"/>
            <w:gridSpan w:val="2"/>
            <w:vAlign w:val="center"/>
          </w:tcPr>
          <w:p w14:paraId="46DF147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62" w:type="dxa"/>
            <w:gridSpan w:val="2"/>
            <w:vAlign w:val="center"/>
          </w:tcPr>
          <w:p w14:paraId="0CC71C8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73.66</w:t>
            </w:r>
          </w:p>
        </w:tc>
      </w:tr>
      <w:tr w14:paraId="1378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8" w:type="dxa"/>
            <w:vMerge w:val="restart"/>
            <w:vAlign w:val="center"/>
          </w:tcPr>
          <w:p w14:paraId="18CEE74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预算执行情况（万元）</w:t>
            </w:r>
          </w:p>
          <w:p w14:paraId="0070470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w:t>
            </w:r>
          </w:p>
        </w:tc>
        <w:tc>
          <w:tcPr>
            <w:tcW w:w="1122" w:type="dxa"/>
            <w:gridSpan w:val="2"/>
            <w:vAlign w:val="center"/>
          </w:tcPr>
          <w:p w14:paraId="28D6A6D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9" w:type="dxa"/>
            <w:vAlign w:val="center"/>
          </w:tcPr>
          <w:p w14:paraId="46992CE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预算数（A）</w:t>
            </w:r>
          </w:p>
        </w:tc>
        <w:tc>
          <w:tcPr>
            <w:tcW w:w="1317" w:type="dxa"/>
            <w:gridSpan w:val="2"/>
            <w:vAlign w:val="center"/>
          </w:tcPr>
          <w:p w14:paraId="5502BD4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执行数（B）</w:t>
            </w:r>
          </w:p>
        </w:tc>
        <w:tc>
          <w:tcPr>
            <w:tcW w:w="1466" w:type="dxa"/>
            <w:gridSpan w:val="2"/>
            <w:vAlign w:val="center"/>
          </w:tcPr>
          <w:p w14:paraId="71545B5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执行率</w:t>
            </w:r>
          </w:p>
          <w:p w14:paraId="69D264D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（B/A）</w:t>
            </w:r>
          </w:p>
        </w:tc>
        <w:tc>
          <w:tcPr>
            <w:tcW w:w="2462" w:type="dxa"/>
            <w:gridSpan w:val="2"/>
            <w:vAlign w:val="center"/>
          </w:tcPr>
          <w:p w14:paraId="53CB6ED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p w14:paraId="1DD59F3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（20分*执行率）</w:t>
            </w:r>
          </w:p>
        </w:tc>
      </w:tr>
      <w:tr w14:paraId="5A66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8" w:type="dxa"/>
            <w:vMerge w:val="continue"/>
            <w:vAlign w:val="center"/>
          </w:tcPr>
          <w:p w14:paraId="0D60087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426A0EE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年度财政资金总额</w:t>
            </w:r>
          </w:p>
        </w:tc>
        <w:tc>
          <w:tcPr>
            <w:tcW w:w="1319" w:type="dxa"/>
            <w:vAlign w:val="center"/>
          </w:tcPr>
          <w:p w14:paraId="19C6D60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73.66</w:t>
            </w:r>
          </w:p>
        </w:tc>
        <w:tc>
          <w:tcPr>
            <w:tcW w:w="1317" w:type="dxa"/>
            <w:gridSpan w:val="2"/>
            <w:vAlign w:val="center"/>
          </w:tcPr>
          <w:p w14:paraId="256CDE7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69.93</w:t>
            </w:r>
          </w:p>
        </w:tc>
        <w:tc>
          <w:tcPr>
            <w:tcW w:w="1466" w:type="dxa"/>
            <w:gridSpan w:val="2"/>
            <w:vAlign w:val="center"/>
          </w:tcPr>
          <w:p w14:paraId="44AD915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94.94%</w:t>
            </w:r>
          </w:p>
        </w:tc>
        <w:tc>
          <w:tcPr>
            <w:tcW w:w="2462" w:type="dxa"/>
            <w:gridSpan w:val="2"/>
            <w:vAlign w:val="center"/>
          </w:tcPr>
          <w:p w14:paraId="54F3485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18.99</w:t>
            </w:r>
          </w:p>
        </w:tc>
      </w:tr>
      <w:tr w14:paraId="19AF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28" w:type="dxa"/>
            <w:vMerge w:val="restart"/>
            <w:vAlign w:val="center"/>
          </w:tcPr>
          <w:p w14:paraId="491CAEC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年度绩效目标</w:t>
            </w:r>
          </w:p>
          <w:p w14:paraId="5936EF2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r>
              <w:rPr>
                <w:rFonts w:hint="default" w:ascii="Times New Roman" w:hAnsi="Times New Roman" w:eastAsia="宋体" w:cs="Times New Roman"/>
                <w:kern w:val="0"/>
                <w:sz w:val="21"/>
                <w:szCs w:val="21"/>
                <w:lang w:val="en-US" w:eastAsia="zh-CN"/>
              </w:rPr>
              <w:t>80</w:t>
            </w:r>
            <w:r>
              <w:rPr>
                <w:rFonts w:hint="default" w:ascii="Times New Roman" w:hAnsi="Times New Roman" w:eastAsia="宋体" w:cs="Times New Roman"/>
                <w:kern w:val="0"/>
                <w:sz w:val="21"/>
                <w:szCs w:val="21"/>
              </w:rPr>
              <w:t>分）</w:t>
            </w:r>
          </w:p>
        </w:tc>
        <w:tc>
          <w:tcPr>
            <w:tcW w:w="1122" w:type="dxa"/>
            <w:gridSpan w:val="2"/>
            <w:vAlign w:val="center"/>
          </w:tcPr>
          <w:p w14:paraId="16155CC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一级</w:t>
            </w:r>
            <w:r>
              <w:rPr>
                <w:rFonts w:hint="default" w:ascii="Times New Roman" w:hAnsi="Times New Roman" w:eastAsia="宋体" w:cs="Times New Roman"/>
                <w:kern w:val="0"/>
                <w:sz w:val="21"/>
                <w:szCs w:val="21"/>
              </w:rPr>
              <w:t>指标</w:t>
            </w:r>
          </w:p>
        </w:tc>
        <w:tc>
          <w:tcPr>
            <w:tcW w:w="1319" w:type="dxa"/>
            <w:vAlign w:val="center"/>
          </w:tcPr>
          <w:p w14:paraId="3A1DCD3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二级指标</w:t>
            </w:r>
          </w:p>
        </w:tc>
        <w:tc>
          <w:tcPr>
            <w:tcW w:w="1317" w:type="dxa"/>
            <w:gridSpan w:val="2"/>
            <w:vAlign w:val="center"/>
          </w:tcPr>
          <w:p w14:paraId="20858EF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年初目标值（A）</w:t>
            </w:r>
          </w:p>
        </w:tc>
        <w:tc>
          <w:tcPr>
            <w:tcW w:w="2785" w:type="dxa"/>
            <w:gridSpan w:val="3"/>
            <w:vAlign w:val="center"/>
          </w:tcPr>
          <w:p w14:paraId="400B078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实际完成值（B）</w:t>
            </w:r>
          </w:p>
        </w:tc>
        <w:tc>
          <w:tcPr>
            <w:tcW w:w="1143" w:type="dxa"/>
            <w:vAlign w:val="center"/>
          </w:tcPr>
          <w:p w14:paraId="39DE60D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tc>
      </w:tr>
      <w:tr w14:paraId="2C65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1528" w:type="dxa"/>
            <w:vMerge w:val="continue"/>
            <w:vAlign w:val="center"/>
          </w:tcPr>
          <w:p w14:paraId="05CD090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08B4153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成本指标（10分）</w:t>
            </w:r>
          </w:p>
        </w:tc>
        <w:tc>
          <w:tcPr>
            <w:tcW w:w="1319" w:type="dxa"/>
            <w:vAlign w:val="center"/>
          </w:tcPr>
          <w:p w14:paraId="283B3BC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招录选调生数量（10分）</w:t>
            </w:r>
          </w:p>
        </w:tc>
        <w:tc>
          <w:tcPr>
            <w:tcW w:w="1317" w:type="dxa"/>
            <w:gridSpan w:val="2"/>
            <w:vAlign w:val="center"/>
          </w:tcPr>
          <w:p w14:paraId="04B4054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lang w:val="en-US" w:eastAsia="zh-CN"/>
              </w:rPr>
              <w:t>40人</w:t>
            </w:r>
          </w:p>
        </w:tc>
        <w:tc>
          <w:tcPr>
            <w:tcW w:w="2785" w:type="dxa"/>
            <w:gridSpan w:val="3"/>
            <w:vAlign w:val="center"/>
          </w:tcPr>
          <w:p w14:paraId="74DA3E3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2024年度招录选调生22人。</w:t>
            </w:r>
          </w:p>
        </w:tc>
        <w:tc>
          <w:tcPr>
            <w:tcW w:w="1143" w:type="dxa"/>
            <w:vAlign w:val="center"/>
          </w:tcPr>
          <w:p w14:paraId="0455087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6</w:t>
            </w:r>
          </w:p>
        </w:tc>
      </w:tr>
      <w:tr w14:paraId="5958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528" w:type="dxa"/>
            <w:vMerge w:val="continue"/>
            <w:vAlign w:val="center"/>
          </w:tcPr>
          <w:p w14:paraId="17D5BC4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040EB50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产出指标</w:t>
            </w:r>
          </w:p>
          <w:p w14:paraId="4A9D9A9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9" w:type="dxa"/>
            <w:vAlign w:val="center"/>
          </w:tcPr>
          <w:p w14:paraId="5D9510D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市管班子履职尽责管理和责任目标考核（20分）</w:t>
            </w:r>
          </w:p>
        </w:tc>
        <w:tc>
          <w:tcPr>
            <w:tcW w:w="1317" w:type="dxa"/>
            <w:gridSpan w:val="2"/>
            <w:vAlign w:val="center"/>
          </w:tcPr>
          <w:p w14:paraId="603A5D6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覆盖率</w:t>
            </w:r>
            <w:r>
              <w:rPr>
                <w:rFonts w:hint="default" w:ascii="Arial" w:hAnsi="Arial" w:eastAsia="宋体" w:cs="Arial"/>
                <w:kern w:val="0"/>
                <w:sz w:val="21"/>
                <w:szCs w:val="21"/>
                <w:lang w:val="en-US" w:eastAsia="zh-CN"/>
              </w:rPr>
              <w:t>≤</w:t>
            </w:r>
            <w:r>
              <w:rPr>
                <w:rFonts w:hint="eastAsia" w:ascii="Times New Roman" w:hAnsi="Times New Roman" w:eastAsia="宋体" w:cs="Times New Roman"/>
                <w:kern w:val="0"/>
                <w:sz w:val="21"/>
                <w:szCs w:val="21"/>
                <w:lang w:val="en-US" w:eastAsia="zh-CN"/>
              </w:rPr>
              <w:t>100%</w:t>
            </w:r>
          </w:p>
        </w:tc>
        <w:tc>
          <w:tcPr>
            <w:tcW w:w="2785" w:type="dxa"/>
            <w:gridSpan w:val="3"/>
            <w:vAlign w:val="center"/>
          </w:tcPr>
          <w:p w14:paraId="35E8954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对3个县市区、随州高新区和79家市管领导班子开展了2023年度履职尽责目标考核，实现了100%全覆盖。</w:t>
            </w:r>
          </w:p>
        </w:tc>
        <w:tc>
          <w:tcPr>
            <w:tcW w:w="1143" w:type="dxa"/>
            <w:vAlign w:val="center"/>
          </w:tcPr>
          <w:p w14:paraId="2C44641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2C2D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528" w:type="dxa"/>
            <w:vMerge w:val="continue"/>
            <w:vAlign w:val="center"/>
          </w:tcPr>
          <w:p w14:paraId="50E75549">
            <w:pPr>
              <w:keepNext w:val="0"/>
              <w:keepLines w:val="0"/>
              <w:pageBreakBefore w:val="0"/>
              <w:widowControl/>
              <w:kinsoku/>
              <w:wordWrap/>
              <w:overflowPunct/>
              <w:topLinePunct w:val="0"/>
              <w:autoSpaceDE/>
              <w:autoSpaceDN/>
              <w:bidi w:val="0"/>
              <w:adjustRightInd/>
              <w:snapToGrid w:val="0"/>
              <w:spacing w:line="260" w:lineRule="exact"/>
              <w:jc w:val="center"/>
              <w:textAlignment w:val="auto"/>
            </w:pPr>
          </w:p>
        </w:tc>
        <w:tc>
          <w:tcPr>
            <w:tcW w:w="1122" w:type="dxa"/>
            <w:gridSpan w:val="2"/>
            <w:vMerge w:val="restart"/>
            <w:shd w:val="clear" w:color="auto" w:fill="auto"/>
            <w:vAlign w:val="center"/>
          </w:tcPr>
          <w:p w14:paraId="542F53A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效益指标</w:t>
            </w:r>
          </w:p>
          <w:p w14:paraId="701B7E9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30分</w:t>
            </w:r>
            <w:r>
              <w:rPr>
                <w:rFonts w:hint="eastAsia" w:ascii="Times New Roman" w:hAnsi="Times New Roman" w:eastAsia="宋体" w:cs="Times New Roman"/>
                <w:kern w:val="0"/>
                <w:sz w:val="21"/>
                <w:szCs w:val="21"/>
                <w:lang w:eastAsia="zh-CN"/>
              </w:rPr>
              <w:t>）</w:t>
            </w:r>
          </w:p>
        </w:tc>
        <w:tc>
          <w:tcPr>
            <w:tcW w:w="1319" w:type="dxa"/>
            <w:shd w:val="clear" w:color="auto" w:fill="auto"/>
            <w:vAlign w:val="center"/>
          </w:tcPr>
          <w:p w14:paraId="6A09B99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提醒、函询和诫勉干部落实率（15分）</w:t>
            </w:r>
          </w:p>
        </w:tc>
        <w:tc>
          <w:tcPr>
            <w:tcW w:w="1317" w:type="dxa"/>
            <w:gridSpan w:val="2"/>
            <w:vAlign w:val="center"/>
          </w:tcPr>
          <w:p w14:paraId="7C028E3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default" w:ascii="Arial" w:hAnsi="Arial" w:eastAsia="宋体" w:cs="Arial"/>
                <w:kern w:val="0"/>
                <w:sz w:val="21"/>
                <w:szCs w:val="21"/>
                <w:lang w:val="en-US" w:eastAsia="zh-CN"/>
              </w:rPr>
              <w:t>≤</w:t>
            </w:r>
            <w:r>
              <w:rPr>
                <w:rFonts w:hint="eastAsia" w:ascii="Times New Roman" w:hAnsi="Times New Roman" w:eastAsia="宋体" w:cs="Times New Roman"/>
                <w:kern w:val="0"/>
                <w:sz w:val="21"/>
                <w:szCs w:val="21"/>
                <w:lang w:val="en-US" w:eastAsia="zh-CN"/>
              </w:rPr>
              <w:t>100%</w:t>
            </w:r>
          </w:p>
        </w:tc>
        <w:tc>
          <w:tcPr>
            <w:tcW w:w="2785" w:type="dxa"/>
            <w:gridSpan w:val="3"/>
            <w:vAlign w:val="center"/>
          </w:tcPr>
          <w:p w14:paraId="6CD25E8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2024年度对市管领导班子和干部累计开展提醒、函询和诫勉18人次，实现应谈尽谈，落实率100%。</w:t>
            </w:r>
          </w:p>
        </w:tc>
        <w:tc>
          <w:tcPr>
            <w:tcW w:w="1143" w:type="dxa"/>
            <w:vAlign w:val="center"/>
          </w:tcPr>
          <w:p w14:paraId="611188A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w:t>
            </w:r>
          </w:p>
        </w:tc>
      </w:tr>
      <w:tr w14:paraId="4F3B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1528" w:type="dxa"/>
            <w:vMerge w:val="continue"/>
            <w:vAlign w:val="center"/>
          </w:tcPr>
          <w:p w14:paraId="11DDAC0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Merge w:val="continue"/>
            <w:vAlign w:val="center"/>
          </w:tcPr>
          <w:p w14:paraId="4D1029B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p>
        </w:tc>
        <w:tc>
          <w:tcPr>
            <w:tcW w:w="1319" w:type="dxa"/>
            <w:vAlign w:val="center"/>
          </w:tcPr>
          <w:p w14:paraId="38FC869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违规选人用人案件查结率（15分）</w:t>
            </w:r>
          </w:p>
        </w:tc>
        <w:tc>
          <w:tcPr>
            <w:tcW w:w="1317" w:type="dxa"/>
            <w:gridSpan w:val="2"/>
            <w:vAlign w:val="center"/>
          </w:tcPr>
          <w:p w14:paraId="604E0FE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Arial" w:hAnsi="Arial" w:eastAsia="宋体" w:cs="Arial"/>
                <w:kern w:val="0"/>
                <w:sz w:val="21"/>
                <w:szCs w:val="21"/>
                <w:lang w:val="en-US" w:eastAsia="zh-CN"/>
              </w:rPr>
              <w:t>≤</w:t>
            </w:r>
            <w:r>
              <w:rPr>
                <w:rFonts w:hint="eastAsia" w:ascii="Times New Roman" w:hAnsi="Times New Roman" w:eastAsia="宋体" w:cs="Times New Roman"/>
                <w:kern w:val="0"/>
                <w:sz w:val="21"/>
                <w:szCs w:val="21"/>
                <w:lang w:val="en-US" w:eastAsia="zh-CN"/>
              </w:rPr>
              <w:t>100%</w:t>
            </w:r>
          </w:p>
        </w:tc>
        <w:tc>
          <w:tcPr>
            <w:tcW w:w="2785" w:type="dxa"/>
            <w:gridSpan w:val="3"/>
            <w:vAlign w:val="center"/>
          </w:tcPr>
          <w:p w14:paraId="3BF1850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2024年度收到</w:t>
            </w:r>
            <w:r>
              <w:rPr>
                <w:rFonts w:hint="default" w:ascii="Times New Roman" w:hAnsi="Times New Roman" w:eastAsia="宋体" w:cs="Times New Roman"/>
                <w:kern w:val="0"/>
                <w:sz w:val="21"/>
                <w:szCs w:val="21"/>
                <w:lang w:val="en-US" w:eastAsia="zh-CN"/>
              </w:rPr>
              <w:t>违规选人用人</w:t>
            </w:r>
            <w:r>
              <w:rPr>
                <w:rFonts w:hint="eastAsia" w:ascii="Times New Roman" w:hAnsi="Times New Roman" w:eastAsia="宋体" w:cs="Times New Roman"/>
                <w:kern w:val="0"/>
                <w:sz w:val="21"/>
                <w:szCs w:val="21"/>
                <w:lang w:val="en-US" w:eastAsia="zh-CN"/>
              </w:rPr>
              <w:t>举报</w:t>
            </w:r>
            <w:r>
              <w:rPr>
                <w:rFonts w:hint="default" w:ascii="Times New Roman" w:hAnsi="Times New Roman" w:eastAsia="宋体" w:cs="Times New Roman"/>
                <w:kern w:val="0"/>
                <w:sz w:val="21"/>
                <w:szCs w:val="21"/>
                <w:lang w:val="en-US" w:eastAsia="zh-CN"/>
              </w:rPr>
              <w:t>案件</w:t>
            </w:r>
            <w:r>
              <w:rPr>
                <w:rFonts w:hint="eastAsia" w:ascii="Times New Roman" w:hAnsi="Times New Roman" w:eastAsia="宋体" w:cs="Times New Roman"/>
                <w:kern w:val="0"/>
                <w:sz w:val="21"/>
                <w:szCs w:val="21"/>
                <w:lang w:val="en-US" w:eastAsia="zh-CN"/>
              </w:rPr>
              <w:t>6件，查结6件，</w:t>
            </w:r>
            <w:r>
              <w:rPr>
                <w:rFonts w:hint="default" w:ascii="Times New Roman" w:hAnsi="Times New Roman" w:eastAsia="宋体" w:cs="Times New Roman"/>
                <w:kern w:val="0"/>
                <w:sz w:val="21"/>
                <w:szCs w:val="21"/>
                <w:lang w:val="en-US" w:eastAsia="zh-CN"/>
              </w:rPr>
              <w:t>查结率</w:t>
            </w:r>
            <w:r>
              <w:rPr>
                <w:rFonts w:hint="eastAsia" w:ascii="Times New Roman" w:hAnsi="Times New Roman" w:eastAsia="宋体" w:cs="Times New Roman"/>
                <w:kern w:val="0"/>
                <w:sz w:val="21"/>
                <w:szCs w:val="21"/>
                <w:lang w:val="en-US" w:eastAsia="zh-CN"/>
              </w:rPr>
              <w:t>100%。</w:t>
            </w:r>
          </w:p>
        </w:tc>
        <w:tc>
          <w:tcPr>
            <w:tcW w:w="1143" w:type="dxa"/>
            <w:vAlign w:val="center"/>
          </w:tcPr>
          <w:p w14:paraId="26C11BF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15</w:t>
            </w:r>
          </w:p>
        </w:tc>
      </w:tr>
      <w:tr w14:paraId="32FF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exact"/>
          <w:jc w:val="center"/>
        </w:trPr>
        <w:tc>
          <w:tcPr>
            <w:tcW w:w="1528" w:type="dxa"/>
            <w:vMerge w:val="continue"/>
            <w:vAlign w:val="center"/>
          </w:tcPr>
          <w:p w14:paraId="70AA529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p>
        </w:tc>
        <w:tc>
          <w:tcPr>
            <w:tcW w:w="1122" w:type="dxa"/>
            <w:gridSpan w:val="2"/>
            <w:vAlign w:val="center"/>
          </w:tcPr>
          <w:p w14:paraId="2CA5C0D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满意度指标（</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vAlign w:val="center"/>
          </w:tcPr>
          <w:p w14:paraId="134B71C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服务对象满意度（20分）</w:t>
            </w:r>
          </w:p>
        </w:tc>
        <w:tc>
          <w:tcPr>
            <w:tcW w:w="1317" w:type="dxa"/>
            <w:gridSpan w:val="2"/>
            <w:vAlign w:val="center"/>
          </w:tcPr>
          <w:p w14:paraId="6765DB3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选人用人“一报告两评议”满意率</w:t>
            </w:r>
            <w:r>
              <w:rPr>
                <w:rFonts w:hint="default"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lang w:val="en-US" w:eastAsia="zh-CN"/>
              </w:rPr>
              <w:t>98</w:t>
            </w:r>
            <w:r>
              <w:rPr>
                <w:rFonts w:hint="default" w:ascii="Times New Roman" w:hAnsi="Times New Roman" w:eastAsia="宋体" w:cs="Times New Roman"/>
                <w:kern w:val="0"/>
                <w:sz w:val="21"/>
                <w:szCs w:val="21"/>
                <w:lang w:val="en-US" w:eastAsia="zh-CN"/>
              </w:rPr>
              <w:t>%</w:t>
            </w:r>
          </w:p>
        </w:tc>
        <w:tc>
          <w:tcPr>
            <w:tcW w:w="2785" w:type="dxa"/>
            <w:gridSpan w:val="3"/>
            <w:vAlign w:val="center"/>
          </w:tcPr>
          <w:p w14:paraId="6CB517D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2024年度选人用人“一报告两评议”评价满意率为99.5%。</w:t>
            </w:r>
          </w:p>
        </w:tc>
        <w:tc>
          <w:tcPr>
            <w:tcW w:w="1143" w:type="dxa"/>
            <w:vAlign w:val="center"/>
          </w:tcPr>
          <w:p w14:paraId="3AF1952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46C3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28" w:type="dxa"/>
            <w:vAlign w:val="center"/>
          </w:tcPr>
          <w:p w14:paraId="17302FC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总分</w:t>
            </w:r>
          </w:p>
        </w:tc>
        <w:tc>
          <w:tcPr>
            <w:tcW w:w="7686" w:type="dxa"/>
            <w:gridSpan w:val="9"/>
            <w:vAlign w:val="center"/>
          </w:tcPr>
          <w:p w14:paraId="6AE708B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94.99</w:t>
            </w:r>
          </w:p>
        </w:tc>
      </w:tr>
    </w:tbl>
    <w:p w14:paraId="3BF9B555">
      <w:pPr>
        <w:rPr>
          <w:rFonts w:hint="eastAsia" w:ascii="黑体" w:hAnsi="黑体" w:eastAsia="黑体" w:cs="黑体"/>
          <w:highlight w:val="none"/>
          <w:lang w:val="en-US" w:eastAsia="zh-CN"/>
        </w:rPr>
      </w:pPr>
    </w:p>
    <w:p w14:paraId="2F058A2E">
      <w:pPr>
        <w:pStyle w:val="4"/>
        <w:rPr>
          <w:rFonts w:hint="eastAsia"/>
          <w:lang w:val="en-US" w:eastAsia="zh-CN"/>
        </w:rPr>
      </w:pPr>
    </w:p>
    <w:p w14:paraId="21360B85">
      <w:pPr>
        <w:bidi w:val="0"/>
        <w:ind w:firstLine="640" w:firstLineChars="200"/>
        <w:rPr>
          <w:rFonts w:hint="eastAsia" w:ascii="黑体" w:hAnsi="黑体" w:eastAsia="黑体" w:cs="黑体"/>
          <w:highlight w:val="yellow"/>
          <w:lang w:val="en-US" w:eastAsia="zh-CN"/>
        </w:rPr>
      </w:pPr>
    </w:p>
    <w:p w14:paraId="504C3309">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Times New Roman" w:hAnsi="Times New Roman" w:eastAsia="方正小标宋简体" w:cs="Times New Roman"/>
          <w:b w:val="0"/>
          <w:bCs w:val="0"/>
          <w:color w:val="000000"/>
          <w:kern w:val="0"/>
          <w:sz w:val="40"/>
          <w:szCs w:val="40"/>
          <w:lang w:val="en-US" w:eastAsia="zh-CN" w:bidi="ar"/>
        </w:rPr>
      </w:pPr>
    </w:p>
    <w:p w14:paraId="196C3175">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sz w:val="36"/>
          <w:szCs w:val="36"/>
        </w:rPr>
      </w:pPr>
      <w:r>
        <w:rPr>
          <w:rFonts w:hint="eastAsia" w:ascii="楷体_GB2312" w:hAnsi="楷体_GB2312" w:eastAsia="楷体_GB2312" w:cs="楷体_GB2312"/>
          <w:b/>
          <w:bCs/>
          <w:color w:val="000000"/>
          <w:kern w:val="0"/>
          <w:sz w:val="36"/>
          <w:szCs w:val="36"/>
          <w:lang w:val="en-US" w:eastAsia="zh-CN" w:bidi="ar"/>
        </w:rPr>
        <w:t>（二）公务员招录及遴选工作经费项目</w:t>
      </w:r>
      <w:r>
        <w:rPr>
          <w:rFonts w:hint="default" w:ascii="楷体_GB2312" w:hAnsi="楷体_GB2312" w:eastAsia="楷体_GB2312" w:cs="楷体_GB2312"/>
          <w:b/>
          <w:bCs/>
          <w:color w:val="000000"/>
          <w:kern w:val="0"/>
          <w:sz w:val="36"/>
          <w:szCs w:val="36"/>
          <w:lang w:val="en-US" w:eastAsia="zh-CN" w:bidi="ar"/>
        </w:rPr>
        <w:t>自评表</w:t>
      </w:r>
    </w:p>
    <w:tbl>
      <w:tblPr>
        <w:tblStyle w:val="5"/>
        <w:tblpPr w:leftFromText="180" w:rightFromText="180" w:vertAnchor="text" w:horzAnchor="page" w:tblpX="1452" w:tblpY="746"/>
        <w:tblOverlap w:val="never"/>
        <w:tblW w:w="9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709"/>
        <w:gridCol w:w="413"/>
        <w:gridCol w:w="1319"/>
        <w:gridCol w:w="505"/>
        <w:gridCol w:w="812"/>
        <w:gridCol w:w="1425"/>
        <w:gridCol w:w="41"/>
        <w:gridCol w:w="1319"/>
        <w:gridCol w:w="1143"/>
      </w:tblGrid>
      <w:tr w14:paraId="3DC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237" w:type="dxa"/>
            <w:gridSpan w:val="2"/>
            <w:vAlign w:val="center"/>
          </w:tcPr>
          <w:p w14:paraId="2621E88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仿宋_GB2312" w:cs="Times New Roman"/>
                <w:kern w:val="0"/>
                <w:highlight w:val="none"/>
              </w:rPr>
            </w:pPr>
            <w:r>
              <w:rPr>
                <w:rFonts w:hint="default" w:ascii="Times New Roman" w:hAnsi="Times New Roman" w:eastAsia="宋体" w:cs="Times New Roman"/>
                <w:kern w:val="0"/>
                <w:sz w:val="21"/>
                <w:szCs w:val="21"/>
                <w:highlight w:val="none"/>
              </w:rPr>
              <w:t>项目名称</w:t>
            </w:r>
          </w:p>
        </w:tc>
        <w:tc>
          <w:tcPr>
            <w:tcW w:w="2237" w:type="dxa"/>
            <w:gridSpan w:val="3"/>
            <w:vAlign w:val="center"/>
          </w:tcPr>
          <w:p w14:paraId="7DC0C04E">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公务员招录及遴选工作</w:t>
            </w:r>
            <w:r>
              <w:rPr>
                <w:rFonts w:hint="default" w:ascii="Times New Roman" w:hAnsi="Times New Roman" w:eastAsia="宋体" w:cs="Times New Roman"/>
                <w:kern w:val="0"/>
                <w:sz w:val="21"/>
                <w:szCs w:val="21"/>
                <w:highlight w:val="none"/>
                <w:lang w:eastAsia="zh-CN"/>
              </w:rPr>
              <w:t>　</w:t>
            </w:r>
          </w:p>
        </w:tc>
        <w:tc>
          <w:tcPr>
            <w:tcW w:w="2237" w:type="dxa"/>
            <w:gridSpan w:val="2"/>
            <w:vAlign w:val="center"/>
          </w:tcPr>
          <w:p w14:paraId="584CC52C">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项目实施单位</w:t>
            </w:r>
          </w:p>
        </w:tc>
        <w:tc>
          <w:tcPr>
            <w:tcW w:w="2503" w:type="dxa"/>
            <w:gridSpan w:val="3"/>
            <w:vAlign w:val="center"/>
          </w:tcPr>
          <w:p w14:paraId="406EA256">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中共随州市委组织部</w:t>
            </w:r>
          </w:p>
        </w:tc>
      </w:tr>
      <w:tr w14:paraId="195E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37" w:type="dxa"/>
            <w:gridSpan w:val="2"/>
            <w:vAlign w:val="center"/>
          </w:tcPr>
          <w:p w14:paraId="3689BFEB">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项目主管单位</w:t>
            </w:r>
          </w:p>
        </w:tc>
        <w:tc>
          <w:tcPr>
            <w:tcW w:w="2237" w:type="dxa"/>
            <w:gridSpan w:val="3"/>
            <w:vAlign w:val="center"/>
          </w:tcPr>
          <w:p w14:paraId="18B4B639">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中共随州市委组织部</w:t>
            </w:r>
          </w:p>
        </w:tc>
        <w:tc>
          <w:tcPr>
            <w:tcW w:w="2237" w:type="dxa"/>
            <w:gridSpan w:val="2"/>
            <w:vAlign w:val="center"/>
          </w:tcPr>
          <w:p w14:paraId="46352349">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项目负责人</w:t>
            </w:r>
          </w:p>
        </w:tc>
        <w:tc>
          <w:tcPr>
            <w:tcW w:w="2503" w:type="dxa"/>
            <w:gridSpan w:val="3"/>
            <w:vAlign w:val="center"/>
          </w:tcPr>
          <w:p w14:paraId="6E6BD3E8">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周霄</w:t>
            </w:r>
          </w:p>
        </w:tc>
      </w:tr>
      <w:tr w14:paraId="2696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28" w:type="dxa"/>
            <w:vAlign w:val="center"/>
          </w:tcPr>
          <w:p w14:paraId="6EA99AE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资金性质</w:t>
            </w:r>
          </w:p>
        </w:tc>
        <w:tc>
          <w:tcPr>
            <w:tcW w:w="7686" w:type="dxa"/>
            <w:gridSpan w:val="9"/>
            <w:vAlign w:val="center"/>
          </w:tcPr>
          <w:p w14:paraId="133E9DE4">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1、持续性项目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2、</w:t>
            </w:r>
            <w:r>
              <w:rPr>
                <w:rFonts w:hint="default" w:ascii="Times New Roman" w:hAnsi="Times New Roman" w:eastAsia="宋体" w:cs="Times New Roman"/>
                <w:kern w:val="0"/>
                <w:sz w:val="21"/>
                <w:szCs w:val="21"/>
                <w:highlight w:val="none"/>
                <w:lang w:eastAsia="zh-CN"/>
              </w:rPr>
              <w:t>一次</w:t>
            </w:r>
            <w:r>
              <w:rPr>
                <w:rFonts w:hint="default" w:ascii="Times New Roman" w:hAnsi="Times New Roman" w:eastAsia="宋体" w:cs="Times New Roman"/>
                <w:kern w:val="0"/>
                <w:sz w:val="21"/>
                <w:szCs w:val="21"/>
                <w:highlight w:val="none"/>
              </w:rPr>
              <w:t>性项目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 xml:space="preserve"> </w:t>
            </w:r>
            <w:r>
              <w:rPr>
                <w:rFonts w:hint="eastAsia" w:ascii="Times New Roman" w:hAnsi="Times New Roman" w:eastAsia="宋体" w:cs="Times New Roman"/>
                <w:kern w:val="0"/>
                <w:sz w:val="21"/>
                <w:szCs w:val="21"/>
                <w:highlight w:val="none"/>
                <w:lang w:val="en-US" w:eastAsia="zh-CN"/>
              </w:rPr>
              <w:t xml:space="preserve">  </w:t>
            </w:r>
            <w:r>
              <w:rPr>
                <w:rFonts w:hint="default" w:ascii="Times New Roman" w:hAnsi="Times New Roman" w:eastAsia="宋体" w:cs="Times New Roman"/>
                <w:kern w:val="0"/>
                <w:sz w:val="21"/>
                <w:szCs w:val="21"/>
                <w:highlight w:val="none"/>
              </w:rPr>
              <w:t xml:space="preserve"> </w:t>
            </w:r>
            <w:r>
              <w:rPr>
                <w:rFonts w:hint="default" w:ascii="Times New Roman" w:hAnsi="Times New Roman" w:eastAsia="宋体" w:cs="Times New Roman"/>
                <w:kern w:val="0"/>
                <w:sz w:val="21"/>
                <w:szCs w:val="21"/>
                <w:highlight w:val="none"/>
                <w:lang w:val="en-US" w:eastAsia="zh-CN"/>
              </w:rPr>
              <w:t>3、债券项目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w:t>
            </w:r>
          </w:p>
        </w:tc>
      </w:tr>
      <w:tr w14:paraId="32FBB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528" w:type="dxa"/>
            <w:vMerge w:val="restart"/>
            <w:vAlign w:val="center"/>
          </w:tcPr>
          <w:p w14:paraId="1FEE79FC">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项目资金来源</w:t>
            </w:r>
          </w:p>
          <w:p w14:paraId="0F0069BE">
            <w:pPr>
              <w:keepNext w:val="0"/>
              <w:keepLines w:val="0"/>
              <w:pageBreakBefore w:val="0"/>
              <w:widowControl/>
              <w:kinsoku/>
              <w:wordWrap/>
              <w:overflowPunct/>
              <w:topLinePunct w:val="0"/>
              <w:autoSpaceDE/>
              <w:autoSpaceDN/>
              <w:bidi w:val="0"/>
              <w:adjustRightInd/>
              <w:snapToGrid w:val="0"/>
              <w:spacing w:line="260" w:lineRule="exact"/>
              <w:ind w:firstLine="210" w:firstLineChars="10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（万元）</w:t>
            </w:r>
          </w:p>
        </w:tc>
        <w:tc>
          <w:tcPr>
            <w:tcW w:w="2441" w:type="dxa"/>
            <w:gridSpan w:val="3"/>
            <w:vAlign w:val="center"/>
          </w:tcPr>
          <w:p w14:paraId="15C8817D">
            <w:pPr>
              <w:keepNext w:val="0"/>
              <w:keepLines w:val="0"/>
              <w:pageBreakBefore w:val="0"/>
              <w:widowControl/>
              <w:kinsoku/>
              <w:wordWrap/>
              <w:overflowPunct/>
              <w:topLinePunct w:val="0"/>
              <w:autoSpaceDE/>
              <w:autoSpaceDN/>
              <w:bidi w:val="0"/>
              <w:adjustRightInd/>
              <w:snapToGrid w:val="0"/>
              <w:spacing w:line="260" w:lineRule="exact"/>
              <w:ind w:firstLine="630" w:firstLineChars="30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中央、省级</w:t>
            </w:r>
          </w:p>
        </w:tc>
        <w:tc>
          <w:tcPr>
            <w:tcW w:w="1317" w:type="dxa"/>
            <w:gridSpan w:val="2"/>
            <w:vAlign w:val="center"/>
          </w:tcPr>
          <w:p w14:paraId="3C33D53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本级</w:t>
            </w:r>
          </w:p>
        </w:tc>
        <w:tc>
          <w:tcPr>
            <w:tcW w:w="1466" w:type="dxa"/>
            <w:gridSpan w:val="2"/>
            <w:vAlign w:val="center"/>
          </w:tcPr>
          <w:p w14:paraId="28C37BE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其他</w:t>
            </w:r>
          </w:p>
        </w:tc>
        <w:tc>
          <w:tcPr>
            <w:tcW w:w="2462" w:type="dxa"/>
            <w:gridSpan w:val="2"/>
            <w:vAlign w:val="center"/>
          </w:tcPr>
          <w:p w14:paraId="0FDD1BF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合计</w:t>
            </w:r>
          </w:p>
        </w:tc>
      </w:tr>
      <w:tr w14:paraId="6B1E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528" w:type="dxa"/>
            <w:vMerge w:val="continue"/>
            <w:vAlign w:val="center"/>
          </w:tcPr>
          <w:p w14:paraId="3352318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41" w:type="dxa"/>
            <w:gridSpan w:val="3"/>
            <w:vAlign w:val="center"/>
          </w:tcPr>
          <w:p w14:paraId="0B7AE8D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7" w:type="dxa"/>
            <w:gridSpan w:val="2"/>
            <w:vAlign w:val="center"/>
          </w:tcPr>
          <w:p w14:paraId="76E85E7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78.9</w:t>
            </w:r>
          </w:p>
        </w:tc>
        <w:tc>
          <w:tcPr>
            <w:tcW w:w="1466" w:type="dxa"/>
            <w:gridSpan w:val="2"/>
            <w:vAlign w:val="center"/>
          </w:tcPr>
          <w:p w14:paraId="4899AB2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62" w:type="dxa"/>
            <w:gridSpan w:val="2"/>
            <w:vAlign w:val="center"/>
          </w:tcPr>
          <w:p w14:paraId="5035AE8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78.9</w:t>
            </w:r>
          </w:p>
        </w:tc>
      </w:tr>
      <w:tr w14:paraId="22C2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528" w:type="dxa"/>
            <w:vMerge w:val="restart"/>
            <w:vAlign w:val="center"/>
          </w:tcPr>
          <w:p w14:paraId="517A7D3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预算执行情况（万元）</w:t>
            </w:r>
          </w:p>
          <w:p w14:paraId="61D54B4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w:t>
            </w:r>
          </w:p>
        </w:tc>
        <w:tc>
          <w:tcPr>
            <w:tcW w:w="1122" w:type="dxa"/>
            <w:gridSpan w:val="2"/>
            <w:vAlign w:val="center"/>
          </w:tcPr>
          <w:p w14:paraId="1BDDD14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9" w:type="dxa"/>
            <w:vAlign w:val="center"/>
          </w:tcPr>
          <w:p w14:paraId="5284F1A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预算数（A）</w:t>
            </w:r>
          </w:p>
        </w:tc>
        <w:tc>
          <w:tcPr>
            <w:tcW w:w="1317" w:type="dxa"/>
            <w:gridSpan w:val="2"/>
            <w:vAlign w:val="center"/>
          </w:tcPr>
          <w:p w14:paraId="167ECF5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执行数（B）</w:t>
            </w:r>
          </w:p>
        </w:tc>
        <w:tc>
          <w:tcPr>
            <w:tcW w:w="1466" w:type="dxa"/>
            <w:gridSpan w:val="2"/>
            <w:vAlign w:val="center"/>
          </w:tcPr>
          <w:p w14:paraId="3AA7112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执行率</w:t>
            </w:r>
          </w:p>
          <w:p w14:paraId="3CD7BCC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（B/A）</w:t>
            </w:r>
          </w:p>
        </w:tc>
        <w:tc>
          <w:tcPr>
            <w:tcW w:w="2462" w:type="dxa"/>
            <w:gridSpan w:val="2"/>
            <w:vAlign w:val="center"/>
          </w:tcPr>
          <w:p w14:paraId="282613E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p w14:paraId="7D566F2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（20分*执行率）</w:t>
            </w:r>
          </w:p>
        </w:tc>
      </w:tr>
      <w:tr w14:paraId="6089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528" w:type="dxa"/>
            <w:vMerge w:val="continue"/>
            <w:vAlign w:val="center"/>
          </w:tcPr>
          <w:p w14:paraId="60F4277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0DD1178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年度财政资金总额</w:t>
            </w:r>
          </w:p>
        </w:tc>
        <w:tc>
          <w:tcPr>
            <w:tcW w:w="1319" w:type="dxa"/>
            <w:vAlign w:val="center"/>
          </w:tcPr>
          <w:p w14:paraId="46D36F6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78.9</w:t>
            </w:r>
          </w:p>
        </w:tc>
        <w:tc>
          <w:tcPr>
            <w:tcW w:w="1317" w:type="dxa"/>
            <w:gridSpan w:val="2"/>
            <w:vAlign w:val="center"/>
          </w:tcPr>
          <w:p w14:paraId="3F3E3BF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77.5</w:t>
            </w:r>
          </w:p>
        </w:tc>
        <w:tc>
          <w:tcPr>
            <w:tcW w:w="1466" w:type="dxa"/>
            <w:gridSpan w:val="2"/>
            <w:vAlign w:val="center"/>
          </w:tcPr>
          <w:p w14:paraId="6987B86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98.23%</w:t>
            </w:r>
          </w:p>
        </w:tc>
        <w:tc>
          <w:tcPr>
            <w:tcW w:w="2462" w:type="dxa"/>
            <w:gridSpan w:val="2"/>
            <w:vAlign w:val="center"/>
          </w:tcPr>
          <w:p w14:paraId="02CA598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19.65</w:t>
            </w:r>
          </w:p>
        </w:tc>
      </w:tr>
      <w:tr w14:paraId="56D1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528" w:type="dxa"/>
            <w:vMerge w:val="restart"/>
            <w:vAlign w:val="center"/>
          </w:tcPr>
          <w:p w14:paraId="5120E3B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年度绩效目标</w:t>
            </w:r>
          </w:p>
          <w:p w14:paraId="43E34CC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r>
              <w:rPr>
                <w:rFonts w:hint="default" w:ascii="Times New Roman" w:hAnsi="Times New Roman" w:eastAsia="宋体" w:cs="Times New Roman"/>
                <w:kern w:val="0"/>
                <w:sz w:val="21"/>
                <w:szCs w:val="21"/>
                <w:lang w:val="en-US" w:eastAsia="zh-CN"/>
              </w:rPr>
              <w:t>80</w:t>
            </w:r>
            <w:r>
              <w:rPr>
                <w:rFonts w:hint="default" w:ascii="Times New Roman" w:hAnsi="Times New Roman" w:eastAsia="宋体" w:cs="Times New Roman"/>
                <w:kern w:val="0"/>
                <w:sz w:val="21"/>
                <w:szCs w:val="21"/>
              </w:rPr>
              <w:t>分）</w:t>
            </w:r>
          </w:p>
        </w:tc>
        <w:tc>
          <w:tcPr>
            <w:tcW w:w="1122" w:type="dxa"/>
            <w:gridSpan w:val="2"/>
            <w:vAlign w:val="center"/>
          </w:tcPr>
          <w:p w14:paraId="7445D1F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一级指标</w:t>
            </w:r>
          </w:p>
        </w:tc>
        <w:tc>
          <w:tcPr>
            <w:tcW w:w="1319" w:type="dxa"/>
            <w:vAlign w:val="center"/>
          </w:tcPr>
          <w:p w14:paraId="06CD29C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二级指标</w:t>
            </w:r>
          </w:p>
        </w:tc>
        <w:tc>
          <w:tcPr>
            <w:tcW w:w="1317" w:type="dxa"/>
            <w:gridSpan w:val="2"/>
            <w:vAlign w:val="center"/>
          </w:tcPr>
          <w:p w14:paraId="461DE5D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年初目标值（A）</w:t>
            </w:r>
          </w:p>
        </w:tc>
        <w:tc>
          <w:tcPr>
            <w:tcW w:w="2785" w:type="dxa"/>
            <w:gridSpan w:val="3"/>
            <w:vAlign w:val="center"/>
          </w:tcPr>
          <w:p w14:paraId="5F623D2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实际完成值（B）</w:t>
            </w:r>
          </w:p>
        </w:tc>
        <w:tc>
          <w:tcPr>
            <w:tcW w:w="1143" w:type="dxa"/>
            <w:vAlign w:val="center"/>
          </w:tcPr>
          <w:p w14:paraId="7E900AD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tc>
      </w:tr>
      <w:tr w14:paraId="0ECC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exact"/>
        </w:trPr>
        <w:tc>
          <w:tcPr>
            <w:tcW w:w="1528" w:type="dxa"/>
            <w:vMerge w:val="continue"/>
            <w:vAlign w:val="center"/>
          </w:tcPr>
          <w:p w14:paraId="478EA9F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5E7616A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成本指标</w:t>
            </w:r>
          </w:p>
          <w:p w14:paraId="31D0C80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9" w:type="dxa"/>
            <w:vAlign w:val="center"/>
          </w:tcPr>
          <w:p w14:paraId="202195D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公务员及遴选报考人数（</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p w14:paraId="3C2AF23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p>
        </w:tc>
        <w:tc>
          <w:tcPr>
            <w:tcW w:w="1317" w:type="dxa"/>
            <w:gridSpan w:val="2"/>
            <w:vAlign w:val="center"/>
          </w:tcPr>
          <w:p w14:paraId="0A9DBF2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Arial" w:hAnsi="Arial" w:eastAsia="宋体" w:cs="Arial"/>
                <w:kern w:val="0"/>
                <w:sz w:val="21"/>
                <w:szCs w:val="21"/>
                <w:lang w:val="en-US" w:eastAsia="zh-CN"/>
              </w:rPr>
              <w:t>≤</w:t>
            </w:r>
            <w:r>
              <w:rPr>
                <w:rFonts w:hint="eastAsia" w:ascii="Times New Roman" w:hAnsi="Times New Roman" w:eastAsia="宋体" w:cs="Times New Roman"/>
                <w:kern w:val="0"/>
                <w:sz w:val="21"/>
                <w:szCs w:val="21"/>
                <w:lang w:val="en-US" w:eastAsia="zh-CN"/>
              </w:rPr>
              <w:t>9100人</w:t>
            </w:r>
          </w:p>
        </w:tc>
        <w:tc>
          <w:tcPr>
            <w:tcW w:w="2785" w:type="dxa"/>
            <w:gridSpan w:val="3"/>
            <w:vAlign w:val="center"/>
          </w:tcPr>
          <w:p w14:paraId="387858A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2024年参加公务员招录考试报名人数6195人，公务员遴选报名人数301人。</w:t>
            </w:r>
          </w:p>
        </w:tc>
        <w:tc>
          <w:tcPr>
            <w:tcW w:w="1143" w:type="dxa"/>
            <w:vAlign w:val="center"/>
          </w:tcPr>
          <w:p w14:paraId="5EA4215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39B8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1528" w:type="dxa"/>
            <w:vMerge w:val="continue"/>
            <w:vAlign w:val="center"/>
          </w:tcPr>
          <w:p w14:paraId="6A01565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734DCD9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产出指标</w:t>
            </w:r>
          </w:p>
          <w:p w14:paraId="11C70B7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9" w:type="dxa"/>
            <w:vAlign w:val="center"/>
          </w:tcPr>
          <w:p w14:paraId="75FF49D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公务员及遴选招录人数（20分）</w:t>
            </w:r>
          </w:p>
          <w:p w14:paraId="4DE079A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p>
        </w:tc>
        <w:tc>
          <w:tcPr>
            <w:tcW w:w="1317" w:type="dxa"/>
            <w:gridSpan w:val="2"/>
            <w:vAlign w:val="center"/>
          </w:tcPr>
          <w:p w14:paraId="02E33F1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Arial" w:hAnsi="Arial" w:eastAsia="宋体" w:cs="Arial"/>
                <w:kern w:val="0"/>
                <w:sz w:val="21"/>
                <w:szCs w:val="21"/>
                <w:lang w:val="en-US" w:eastAsia="zh-CN"/>
              </w:rPr>
              <w:t>≤</w:t>
            </w:r>
            <w:r>
              <w:rPr>
                <w:rFonts w:hint="eastAsia" w:ascii="Times New Roman" w:hAnsi="Times New Roman" w:eastAsia="宋体" w:cs="Times New Roman"/>
                <w:kern w:val="0"/>
                <w:sz w:val="21"/>
                <w:szCs w:val="21"/>
                <w:lang w:val="en-US" w:eastAsia="zh-CN"/>
              </w:rPr>
              <w:t>400人</w:t>
            </w:r>
          </w:p>
        </w:tc>
        <w:tc>
          <w:tcPr>
            <w:tcW w:w="2785" w:type="dxa"/>
            <w:gridSpan w:val="3"/>
            <w:vAlign w:val="center"/>
          </w:tcPr>
          <w:p w14:paraId="56B7EDF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2024年公务员招录234人，公务员遴选招录32人。</w:t>
            </w:r>
          </w:p>
        </w:tc>
        <w:tc>
          <w:tcPr>
            <w:tcW w:w="1143" w:type="dxa"/>
            <w:vAlign w:val="center"/>
          </w:tcPr>
          <w:p w14:paraId="09A4B9D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395C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trPr>
        <w:tc>
          <w:tcPr>
            <w:tcW w:w="1528" w:type="dxa"/>
            <w:vMerge w:val="continue"/>
            <w:vAlign w:val="center"/>
          </w:tcPr>
          <w:p w14:paraId="48F5F24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54EFAA1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效益指标</w:t>
            </w:r>
          </w:p>
          <w:p w14:paraId="524C34B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vAlign w:val="center"/>
          </w:tcPr>
          <w:p w14:paraId="73660DE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优化公务员结构（20分）</w:t>
            </w:r>
          </w:p>
        </w:tc>
        <w:tc>
          <w:tcPr>
            <w:tcW w:w="1317" w:type="dxa"/>
            <w:gridSpan w:val="2"/>
            <w:vAlign w:val="center"/>
          </w:tcPr>
          <w:p w14:paraId="11B6A00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30岁以下公务员占比</w:t>
            </w:r>
            <w:r>
              <w:rPr>
                <w:rFonts w:hint="default" w:ascii="Arial" w:hAnsi="Arial" w:eastAsia="宋体" w:cs="Arial"/>
                <w:kern w:val="0"/>
                <w:sz w:val="21"/>
                <w:szCs w:val="21"/>
                <w:lang w:val="en-US" w:eastAsia="zh-CN"/>
              </w:rPr>
              <w:t>≥</w:t>
            </w:r>
            <w:r>
              <w:rPr>
                <w:rFonts w:hint="eastAsia" w:ascii="Times New Roman" w:hAnsi="Times New Roman" w:eastAsia="宋体" w:cs="Times New Roman"/>
                <w:kern w:val="0"/>
                <w:sz w:val="21"/>
                <w:szCs w:val="21"/>
                <w:lang w:val="en-US" w:eastAsia="zh-CN"/>
              </w:rPr>
              <w:t>5%</w:t>
            </w:r>
          </w:p>
        </w:tc>
        <w:tc>
          <w:tcPr>
            <w:tcW w:w="2785" w:type="dxa"/>
            <w:gridSpan w:val="3"/>
            <w:vAlign w:val="center"/>
          </w:tcPr>
          <w:p w14:paraId="3430575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经招录、遴选后，市直单位30岁以下年轻干部共172人，占市直公务员总数7.4%。</w:t>
            </w:r>
          </w:p>
        </w:tc>
        <w:tc>
          <w:tcPr>
            <w:tcW w:w="1143" w:type="dxa"/>
            <w:vAlign w:val="center"/>
          </w:tcPr>
          <w:p w14:paraId="5A8FBFD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34C8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exact"/>
        </w:trPr>
        <w:tc>
          <w:tcPr>
            <w:tcW w:w="1528" w:type="dxa"/>
            <w:vMerge w:val="continue"/>
            <w:vAlign w:val="center"/>
          </w:tcPr>
          <w:p w14:paraId="78CD780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p>
        </w:tc>
        <w:tc>
          <w:tcPr>
            <w:tcW w:w="1122" w:type="dxa"/>
            <w:gridSpan w:val="2"/>
            <w:vAlign w:val="center"/>
          </w:tcPr>
          <w:p w14:paraId="6EE5487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满意度指标（</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vAlign w:val="center"/>
          </w:tcPr>
          <w:p w14:paraId="4D5FD8B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服务对象满意度情况</w:t>
            </w:r>
          </w:p>
          <w:p w14:paraId="6997F42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3FF78A6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综合满意度</w:t>
            </w:r>
            <w:r>
              <w:rPr>
                <w:rFonts w:hint="default" w:ascii="Arial" w:hAnsi="Arial" w:eastAsia="宋体" w:cs="Arial"/>
                <w:kern w:val="0"/>
                <w:sz w:val="21"/>
                <w:szCs w:val="21"/>
                <w:lang w:val="en-US" w:eastAsia="zh-CN"/>
              </w:rPr>
              <w:t>≥</w:t>
            </w:r>
            <w:r>
              <w:rPr>
                <w:rFonts w:hint="default" w:ascii="Times New Roman" w:hAnsi="Times New Roman" w:eastAsia="宋体" w:cs="Times New Roman"/>
                <w:kern w:val="0"/>
                <w:sz w:val="21"/>
                <w:szCs w:val="21"/>
                <w:lang w:val="en-US" w:eastAsia="zh-CN"/>
              </w:rPr>
              <w:t xml:space="preserve"> 9</w:t>
            </w:r>
            <w:r>
              <w:rPr>
                <w:rFonts w:hint="eastAsia" w:ascii="Times New Roman" w:hAnsi="Times New Roman" w:eastAsia="宋体" w:cs="Times New Roman"/>
                <w:kern w:val="0"/>
                <w:sz w:val="21"/>
                <w:szCs w:val="21"/>
                <w:lang w:val="en-US" w:eastAsia="zh-CN"/>
              </w:rPr>
              <w:t>8</w:t>
            </w:r>
            <w:r>
              <w:rPr>
                <w:rFonts w:hint="default" w:ascii="Times New Roman" w:hAnsi="Times New Roman" w:eastAsia="宋体" w:cs="Times New Roman"/>
                <w:kern w:val="0"/>
                <w:sz w:val="21"/>
                <w:szCs w:val="21"/>
                <w:lang w:val="en-US" w:eastAsia="zh-CN"/>
              </w:rPr>
              <w:t>%</w:t>
            </w:r>
          </w:p>
        </w:tc>
        <w:tc>
          <w:tcPr>
            <w:tcW w:w="2785" w:type="dxa"/>
            <w:gridSpan w:val="3"/>
            <w:vAlign w:val="center"/>
          </w:tcPr>
          <w:p w14:paraId="2A10833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在公务员招录考试过程中，考试投诉</w:t>
            </w:r>
            <w:r>
              <w:rPr>
                <w:rFonts w:hint="eastAsia" w:ascii="Times New Roman" w:hAnsi="Times New Roman" w:eastAsia="宋体" w:cs="Times New Roman"/>
                <w:kern w:val="0"/>
                <w:sz w:val="21"/>
                <w:szCs w:val="21"/>
                <w:lang w:val="en-US" w:eastAsia="zh-CN"/>
              </w:rPr>
              <w:t>0人，投诉率为0，满意度为100%。</w:t>
            </w:r>
          </w:p>
        </w:tc>
        <w:tc>
          <w:tcPr>
            <w:tcW w:w="1143" w:type="dxa"/>
            <w:vAlign w:val="center"/>
          </w:tcPr>
          <w:p w14:paraId="1EFB5C7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73C5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28" w:type="dxa"/>
            <w:vAlign w:val="center"/>
          </w:tcPr>
          <w:p w14:paraId="05FD19C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总分</w:t>
            </w:r>
          </w:p>
        </w:tc>
        <w:tc>
          <w:tcPr>
            <w:tcW w:w="7686" w:type="dxa"/>
            <w:gridSpan w:val="9"/>
            <w:vAlign w:val="center"/>
          </w:tcPr>
          <w:p w14:paraId="5573354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99.65</w:t>
            </w:r>
          </w:p>
        </w:tc>
      </w:tr>
    </w:tbl>
    <w:p w14:paraId="503E58EB">
      <w:pPr>
        <w:bidi w:val="0"/>
        <w:jc w:val="both"/>
        <w:rPr>
          <w:rFonts w:hint="default"/>
          <w:lang w:val="en-US" w:eastAsia="zh-CN"/>
        </w:rPr>
      </w:pPr>
    </w:p>
    <w:p w14:paraId="481DE04B">
      <w:pPr>
        <w:bidi w:val="0"/>
        <w:jc w:val="both"/>
        <w:rPr>
          <w:rFonts w:hint="default"/>
          <w:lang w:val="en-US" w:eastAsia="zh-CN"/>
        </w:rPr>
      </w:pPr>
    </w:p>
    <w:p w14:paraId="74D84AF6">
      <w:pPr>
        <w:bidi w:val="0"/>
        <w:jc w:val="both"/>
        <w:rPr>
          <w:rFonts w:hint="default"/>
          <w:lang w:val="en-US" w:eastAsia="zh-CN"/>
        </w:rPr>
      </w:pPr>
    </w:p>
    <w:p w14:paraId="3B71AB5B">
      <w:pPr>
        <w:bidi w:val="0"/>
        <w:jc w:val="both"/>
        <w:rPr>
          <w:rFonts w:hint="default"/>
          <w:lang w:val="en-US" w:eastAsia="zh-CN"/>
        </w:rPr>
      </w:pPr>
    </w:p>
    <w:p w14:paraId="6418B54F">
      <w:pPr>
        <w:bidi w:val="0"/>
        <w:jc w:val="both"/>
        <w:rPr>
          <w:rFonts w:hint="default"/>
          <w:lang w:val="en-US" w:eastAsia="zh-CN"/>
        </w:rPr>
      </w:pPr>
    </w:p>
    <w:p w14:paraId="3B5981C7">
      <w:pPr>
        <w:bidi w:val="0"/>
        <w:jc w:val="both"/>
        <w:rPr>
          <w:rFonts w:hint="default"/>
          <w:lang w:val="en-US" w:eastAsia="zh-CN"/>
        </w:rPr>
      </w:pPr>
    </w:p>
    <w:p w14:paraId="0B189598">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楷体_GB2312" w:hAnsi="楷体_GB2312" w:eastAsia="楷体_GB2312" w:cs="楷体_GB2312"/>
          <w:b/>
          <w:bCs/>
          <w:color w:val="000000"/>
          <w:kern w:val="0"/>
          <w:sz w:val="36"/>
          <w:szCs w:val="36"/>
          <w:lang w:val="en-US" w:eastAsia="zh-CN" w:bidi="ar"/>
        </w:rPr>
      </w:pPr>
      <w:r>
        <w:rPr>
          <w:rFonts w:hint="eastAsia" w:ascii="楷体_GB2312" w:hAnsi="楷体_GB2312" w:eastAsia="楷体_GB2312" w:cs="楷体_GB2312"/>
          <w:b/>
          <w:bCs/>
          <w:color w:val="000000"/>
          <w:kern w:val="0"/>
          <w:sz w:val="36"/>
          <w:szCs w:val="36"/>
          <w:lang w:val="en-US" w:eastAsia="zh-CN" w:bidi="ar"/>
        </w:rPr>
        <w:t>（三）党纪学习教育</w:t>
      </w:r>
      <w:r>
        <w:rPr>
          <w:rFonts w:hint="default" w:ascii="楷体_GB2312" w:hAnsi="楷体_GB2312" w:eastAsia="楷体_GB2312" w:cs="楷体_GB2312"/>
          <w:b/>
          <w:bCs/>
          <w:color w:val="000000"/>
          <w:kern w:val="0"/>
          <w:sz w:val="36"/>
          <w:szCs w:val="36"/>
          <w:lang w:val="en-US" w:eastAsia="zh-CN" w:bidi="ar"/>
        </w:rPr>
        <w:t>项目自评表</w:t>
      </w:r>
    </w:p>
    <w:p w14:paraId="47BD9CBC">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小标宋简体" w:cs="Times New Roman"/>
          <w:b w:val="0"/>
          <w:bCs w:val="0"/>
          <w:color w:val="000000"/>
          <w:kern w:val="0"/>
          <w:sz w:val="40"/>
          <w:szCs w:val="40"/>
          <w:lang w:val="en-US" w:eastAsia="zh-CN" w:bidi="ar"/>
        </w:rPr>
      </w:pPr>
    </w:p>
    <w:tbl>
      <w:tblPr>
        <w:tblStyle w:val="5"/>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709"/>
        <w:gridCol w:w="413"/>
        <w:gridCol w:w="1319"/>
        <w:gridCol w:w="505"/>
        <w:gridCol w:w="812"/>
        <w:gridCol w:w="1425"/>
        <w:gridCol w:w="41"/>
        <w:gridCol w:w="1493"/>
        <w:gridCol w:w="969"/>
      </w:tblGrid>
      <w:tr w14:paraId="0A75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237" w:type="dxa"/>
            <w:gridSpan w:val="2"/>
            <w:vAlign w:val="center"/>
          </w:tcPr>
          <w:p w14:paraId="27705632">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项目名称</w:t>
            </w:r>
          </w:p>
        </w:tc>
        <w:tc>
          <w:tcPr>
            <w:tcW w:w="2237" w:type="dxa"/>
            <w:gridSpan w:val="3"/>
            <w:vAlign w:val="center"/>
          </w:tcPr>
          <w:p w14:paraId="7F426AA2">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党纪学习教育</w:t>
            </w:r>
            <w:r>
              <w:rPr>
                <w:rFonts w:hint="default" w:ascii="Times New Roman" w:hAnsi="Times New Roman" w:eastAsia="宋体" w:cs="Times New Roman"/>
                <w:kern w:val="0"/>
                <w:sz w:val="21"/>
                <w:szCs w:val="21"/>
                <w:highlight w:val="none"/>
                <w:lang w:eastAsia="zh-CN"/>
              </w:rPr>
              <w:t>　</w:t>
            </w:r>
          </w:p>
        </w:tc>
        <w:tc>
          <w:tcPr>
            <w:tcW w:w="2237" w:type="dxa"/>
            <w:gridSpan w:val="2"/>
            <w:vAlign w:val="center"/>
          </w:tcPr>
          <w:p w14:paraId="00252CE9">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项目实施单位</w:t>
            </w:r>
          </w:p>
        </w:tc>
        <w:tc>
          <w:tcPr>
            <w:tcW w:w="2503" w:type="dxa"/>
            <w:gridSpan w:val="3"/>
            <w:vAlign w:val="center"/>
          </w:tcPr>
          <w:p w14:paraId="67E6D665">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中共随州市委组织部</w:t>
            </w:r>
          </w:p>
        </w:tc>
      </w:tr>
      <w:tr w14:paraId="5D34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237" w:type="dxa"/>
            <w:gridSpan w:val="2"/>
            <w:vAlign w:val="center"/>
          </w:tcPr>
          <w:p w14:paraId="7E9342AD">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项目主管单位</w:t>
            </w:r>
          </w:p>
        </w:tc>
        <w:tc>
          <w:tcPr>
            <w:tcW w:w="2237" w:type="dxa"/>
            <w:gridSpan w:val="3"/>
            <w:vAlign w:val="center"/>
          </w:tcPr>
          <w:p w14:paraId="7CF87A1E">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中共随州市委组织部</w:t>
            </w:r>
          </w:p>
        </w:tc>
        <w:tc>
          <w:tcPr>
            <w:tcW w:w="2237" w:type="dxa"/>
            <w:gridSpan w:val="2"/>
            <w:vAlign w:val="center"/>
          </w:tcPr>
          <w:p w14:paraId="702A6C81">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项目负责人</w:t>
            </w:r>
          </w:p>
        </w:tc>
        <w:tc>
          <w:tcPr>
            <w:tcW w:w="2503" w:type="dxa"/>
            <w:gridSpan w:val="3"/>
            <w:vAlign w:val="center"/>
          </w:tcPr>
          <w:p w14:paraId="2E2B7257">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李玉诚</w:t>
            </w:r>
          </w:p>
        </w:tc>
      </w:tr>
      <w:tr w14:paraId="66D9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528" w:type="dxa"/>
            <w:vAlign w:val="center"/>
          </w:tcPr>
          <w:p w14:paraId="72619FC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资金性质</w:t>
            </w:r>
          </w:p>
        </w:tc>
        <w:tc>
          <w:tcPr>
            <w:tcW w:w="7686" w:type="dxa"/>
            <w:gridSpan w:val="9"/>
            <w:vAlign w:val="center"/>
          </w:tcPr>
          <w:p w14:paraId="01226007">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highlight w:val="none"/>
              </w:rPr>
              <w:t xml:space="preserve">1、持续性项目 </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2、</w:t>
            </w:r>
            <w:r>
              <w:rPr>
                <w:rFonts w:hint="default" w:ascii="Times New Roman" w:hAnsi="Times New Roman" w:eastAsia="宋体" w:cs="Times New Roman"/>
                <w:kern w:val="0"/>
                <w:sz w:val="21"/>
                <w:szCs w:val="21"/>
                <w:highlight w:val="none"/>
                <w:lang w:eastAsia="zh-CN"/>
              </w:rPr>
              <w:t>一次</w:t>
            </w:r>
            <w:r>
              <w:rPr>
                <w:rFonts w:hint="default" w:ascii="Times New Roman" w:hAnsi="Times New Roman" w:eastAsia="宋体" w:cs="Times New Roman"/>
                <w:kern w:val="0"/>
                <w:sz w:val="21"/>
                <w:szCs w:val="21"/>
                <w:highlight w:val="none"/>
              </w:rPr>
              <w:t xml:space="preserve">性项目 </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 xml:space="preserve"> </w:t>
            </w:r>
            <w:r>
              <w:rPr>
                <w:rFonts w:hint="default" w:ascii="Times New Roman" w:hAnsi="Times New Roman" w:eastAsia="宋体" w:cs="Times New Roman"/>
                <w:kern w:val="0"/>
                <w:sz w:val="21"/>
                <w:szCs w:val="21"/>
                <w:highlight w:val="none"/>
              </w:rPr>
              <w:t xml:space="preserve"> </w:t>
            </w:r>
            <w:r>
              <w:rPr>
                <w:rFonts w:hint="default" w:ascii="Times New Roman" w:hAnsi="Times New Roman" w:eastAsia="宋体" w:cs="Times New Roman"/>
                <w:kern w:val="0"/>
                <w:sz w:val="21"/>
                <w:szCs w:val="21"/>
                <w:highlight w:val="none"/>
                <w:lang w:val="en-US" w:eastAsia="zh-CN"/>
              </w:rPr>
              <w:t>3、债券项目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w:t>
            </w:r>
          </w:p>
        </w:tc>
      </w:tr>
      <w:tr w14:paraId="776D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28" w:type="dxa"/>
            <w:vMerge w:val="restart"/>
            <w:vAlign w:val="center"/>
          </w:tcPr>
          <w:p w14:paraId="67AA04BD">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项目资金来源</w:t>
            </w:r>
          </w:p>
          <w:p w14:paraId="38812A71">
            <w:pPr>
              <w:keepNext w:val="0"/>
              <w:keepLines w:val="0"/>
              <w:pageBreakBefore w:val="0"/>
              <w:widowControl/>
              <w:kinsoku/>
              <w:wordWrap/>
              <w:overflowPunct/>
              <w:topLinePunct w:val="0"/>
              <w:autoSpaceDE/>
              <w:autoSpaceDN/>
              <w:bidi w:val="0"/>
              <w:adjustRightInd/>
              <w:snapToGrid w:val="0"/>
              <w:spacing w:line="260" w:lineRule="exact"/>
              <w:ind w:firstLine="210" w:firstLineChars="10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（万元）</w:t>
            </w:r>
          </w:p>
        </w:tc>
        <w:tc>
          <w:tcPr>
            <w:tcW w:w="2441" w:type="dxa"/>
            <w:gridSpan w:val="3"/>
            <w:vAlign w:val="center"/>
          </w:tcPr>
          <w:p w14:paraId="1C53CE85">
            <w:pPr>
              <w:keepNext w:val="0"/>
              <w:keepLines w:val="0"/>
              <w:pageBreakBefore w:val="0"/>
              <w:widowControl/>
              <w:kinsoku/>
              <w:wordWrap/>
              <w:overflowPunct/>
              <w:topLinePunct w:val="0"/>
              <w:autoSpaceDE/>
              <w:autoSpaceDN/>
              <w:bidi w:val="0"/>
              <w:adjustRightInd/>
              <w:snapToGrid w:val="0"/>
              <w:spacing w:line="260" w:lineRule="exact"/>
              <w:ind w:firstLine="630" w:firstLineChars="30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中央、省级</w:t>
            </w:r>
          </w:p>
        </w:tc>
        <w:tc>
          <w:tcPr>
            <w:tcW w:w="1317" w:type="dxa"/>
            <w:gridSpan w:val="2"/>
            <w:vAlign w:val="center"/>
          </w:tcPr>
          <w:p w14:paraId="7A2257F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本级</w:t>
            </w:r>
          </w:p>
        </w:tc>
        <w:tc>
          <w:tcPr>
            <w:tcW w:w="1466" w:type="dxa"/>
            <w:gridSpan w:val="2"/>
            <w:vAlign w:val="center"/>
          </w:tcPr>
          <w:p w14:paraId="31C94E2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其他</w:t>
            </w:r>
          </w:p>
        </w:tc>
        <w:tc>
          <w:tcPr>
            <w:tcW w:w="2462" w:type="dxa"/>
            <w:gridSpan w:val="2"/>
            <w:vAlign w:val="center"/>
          </w:tcPr>
          <w:p w14:paraId="5B1CD68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合计</w:t>
            </w:r>
          </w:p>
        </w:tc>
      </w:tr>
      <w:tr w14:paraId="12E2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528" w:type="dxa"/>
            <w:vMerge w:val="continue"/>
            <w:vAlign w:val="center"/>
          </w:tcPr>
          <w:p w14:paraId="02246E3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41" w:type="dxa"/>
            <w:gridSpan w:val="3"/>
            <w:vAlign w:val="center"/>
          </w:tcPr>
          <w:p w14:paraId="184ACAE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7" w:type="dxa"/>
            <w:gridSpan w:val="2"/>
            <w:vAlign w:val="center"/>
          </w:tcPr>
          <w:p w14:paraId="7CA18A4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1466" w:type="dxa"/>
            <w:gridSpan w:val="2"/>
            <w:vAlign w:val="center"/>
          </w:tcPr>
          <w:p w14:paraId="33D748F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62" w:type="dxa"/>
            <w:gridSpan w:val="2"/>
            <w:vAlign w:val="center"/>
          </w:tcPr>
          <w:p w14:paraId="5784AA8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3AE8C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8" w:type="dxa"/>
            <w:vMerge w:val="restart"/>
            <w:vAlign w:val="center"/>
          </w:tcPr>
          <w:p w14:paraId="18A577F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预算执行情况（万元）</w:t>
            </w:r>
          </w:p>
          <w:p w14:paraId="6F1F70A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w:t>
            </w:r>
          </w:p>
        </w:tc>
        <w:tc>
          <w:tcPr>
            <w:tcW w:w="1122" w:type="dxa"/>
            <w:gridSpan w:val="2"/>
            <w:vAlign w:val="center"/>
          </w:tcPr>
          <w:p w14:paraId="0FEEFAD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9" w:type="dxa"/>
            <w:vAlign w:val="center"/>
          </w:tcPr>
          <w:p w14:paraId="575CBD6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预算数（A）</w:t>
            </w:r>
          </w:p>
        </w:tc>
        <w:tc>
          <w:tcPr>
            <w:tcW w:w="1317" w:type="dxa"/>
            <w:gridSpan w:val="2"/>
            <w:vAlign w:val="center"/>
          </w:tcPr>
          <w:p w14:paraId="217438D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执行数（B）</w:t>
            </w:r>
          </w:p>
        </w:tc>
        <w:tc>
          <w:tcPr>
            <w:tcW w:w="1466" w:type="dxa"/>
            <w:gridSpan w:val="2"/>
            <w:vAlign w:val="center"/>
          </w:tcPr>
          <w:p w14:paraId="0B93238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执行率</w:t>
            </w:r>
          </w:p>
          <w:p w14:paraId="4F7E4DC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（B/A）</w:t>
            </w:r>
          </w:p>
        </w:tc>
        <w:tc>
          <w:tcPr>
            <w:tcW w:w="2462" w:type="dxa"/>
            <w:gridSpan w:val="2"/>
            <w:vAlign w:val="center"/>
          </w:tcPr>
          <w:p w14:paraId="1C8D781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p w14:paraId="620D7D9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（20分*执行率）</w:t>
            </w:r>
          </w:p>
        </w:tc>
      </w:tr>
      <w:tr w14:paraId="53A3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8" w:type="dxa"/>
            <w:vMerge w:val="continue"/>
            <w:vAlign w:val="center"/>
          </w:tcPr>
          <w:p w14:paraId="36EDDC9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79C0A3C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年度财政资金总额</w:t>
            </w:r>
          </w:p>
        </w:tc>
        <w:tc>
          <w:tcPr>
            <w:tcW w:w="1319" w:type="dxa"/>
            <w:vAlign w:val="center"/>
          </w:tcPr>
          <w:p w14:paraId="1596235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c>
          <w:tcPr>
            <w:tcW w:w="1317" w:type="dxa"/>
            <w:gridSpan w:val="2"/>
            <w:vAlign w:val="center"/>
          </w:tcPr>
          <w:p w14:paraId="1CBF8A8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19.5437</w:t>
            </w:r>
          </w:p>
        </w:tc>
        <w:tc>
          <w:tcPr>
            <w:tcW w:w="1466" w:type="dxa"/>
            <w:gridSpan w:val="2"/>
            <w:vAlign w:val="center"/>
          </w:tcPr>
          <w:p w14:paraId="14A983C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97.72</w:t>
            </w:r>
            <w:r>
              <w:rPr>
                <w:rFonts w:hint="eastAsia" w:ascii="Times New Roman" w:hAnsi="Times New Roman" w:eastAsia="宋体" w:cs="Times New Roman"/>
                <w:kern w:val="0"/>
                <w:sz w:val="21"/>
                <w:szCs w:val="21"/>
                <w:lang w:val="en-US" w:eastAsia="zh-CN"/>
              </w:rPr>
              <w:t>%</w:t>
            </w:r>
          </w:p>
        </w:tc>
        <w:tc>
          <w:tcPr>
            <w:tcW w:w="2462" w:type="dxa"/>
            <w:gridSpan w:val="2"/>
            <w:vAlign w:val="center"/>
          </w:tcPr>
          <w:p w14:paraId="5F99832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19.54</w:t>
            </w:r>
          </w:p>
        </w:tc>
      </w:tr>
      <w:tr w14:paraId="16DF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28" w:type="dxa"/>
            <w:vMerge w:val="restart"/>
            <w:vAlign w:val="center"/>
          </w:tcPr>
          <w:p w14:paraId="4A27F2E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年度绩效目标</w:t>
            </w:r>
          </w:p>
          <w:p w14:paraId="49948B9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r>
              <w:rPr>
                <w:rFonts w:hint="default" w:ascii="Times New Roman" w:hAnsi="Times New Roman" w:eastAsia="宋体" w:cs="Times New Roman"/>
                <w:kern w:val="0"/>
                <w:sz w:val="21"/>
                <w:szCs w:val="21"/>
                <w:lang w:val="en-US" w:eastAsia="zh-CN"/>
              </w:rPr>
              <w:t>80</w:t>
            </w:r>
            <w:r>
              <w:rPr>
                <w:rFonts w:hint="default" w:ascii="Times New Roman" w:hAnsi="Times New Roman" w:eastAsia="宋体" w:cs="Times New Roman"/>
                <w:kern w:val="0"/>
                <w:sz w:val="21"/>
                <w:szCs w:val="21"/>
              </w:rPr>
              <w:t>分）</w:t>
            </w:r>
          </w:p>
        </w:tc>
        <w:tc>
          <w:tcPr>
            <w:tcW w:w="1122" w:type="dxa"/>
            <w:gridSpan w:val="2"/>
            <w:vAlign w:val="center"/>
          </w:tcPr>
          <w:p w14:paraId="50F2DEF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一级指标</w:t>
            </w:r>
          </w:p>
        </w:tc>
        <w:tc>
          <w:tcPr>
            <w:tcW w:w="1319" w:type="dxa"/>
            <w:vAlign w:val="center"/>
          </w:tcPr>
          <w:p w14:paraId="105881E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二级</w:t>
            </w:r>
            <w:r>
              <w:rPr>
                <w:rFonts w:hint="default" w:ascii="Times New Roman" w:hAnsi="Times New Roman" w:eastAsia="宋体" w:cs="Times New Roman"/>
                <w:kern w:val="0"/>
                <w:sz w:val="21"/>
                <w:szCs w:val="21"/>
              </w:rPr>
              <w:t>指标</w:t>
            </w:r>
          </w:p>
        </w:tc>
        <w:tc>
          <w:tcPr>
            <w:tcW w:w="1317" w:type="dxa"/>
            <w:gridSpan w:val="2"/>
            <w:vAlign w:val="center"/>
          </w:tcPr>
          <w:p w14:paraId="2A94771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年初目标值（A）</w:t>
            </w:r>
          </w:p>
        </w:tc>
        <w:tc>
          <w:tcPr>
            <w:tcW w:w="2959" w:type="dxa"/>
            <w:gridSpan w:val="3"/>
            <w:vAlign w:val="center"/>
          </w:tcPr>
          <w:p w14:paraId="3CBAFE3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实际完成值（B）</w:t>
            </w:r>
          </w:p>
        </w:tc>
        <w:tc>
          <w:tcPr>
            <w:tcW w:w="969" w:type="dxa"/>
            <w:vAlign w:val="center"/>
          </w:tcPr>
          <w:p w14:paraId="65F49B8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tc>
      </w:tr>
      <w:tr w14:paraId="31B3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exact"/>
          <w:jc w:val="center"/>
        </w:trPr>
        <w:tc>
          <w:tcPr>
            <w:tcW w:w="1528" w:type="dxa"/>
            <w:vMerge w:val="continue"/>
            <w:vAlign w:val="center"/>
          </w:tcPr>
          <w:p w14:paraId="157F177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146B716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成本指标</w:t>
            </w:r>
          </w:p>
          <w:p w14:paraId="201D8BD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（20分）</w:t>
            </w:r>
          </w:p>
        </w:tc>
        <w:tc>
          <w:tcPr>
            <w:tcW w:w="1319" w:type="dxa"/>
            <w:vAlign w:val="center"/>
          </w:tcPr>
          <w:p w14:paraId="443AAA2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活动开展频次</w:t>
            </w:r>
          </w:p>
          <w:p w14:paraId="56A9C41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20C36D5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bidi="ar-SA"/>
              </w:rPr>
              <w:t>培训不少于3次</w:t>
            </w:r>
          </w:p>
        </w:tc>
        <w:tc>
          <w:tcPr>
            <w:tcW w:w="2959" w:type="dxa"/>
            <w:gridSpan w:val="3"/>
            <w:vAlign w:val="center"/>
          </w:tcPr>
          <w:p w14:paraId="7FD0056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分层分类</w:t>
            </w:r>
            <w:r>
              <w:rPr>
                <w:rFonts w:hint="eastAsia" w:ascii="Times New Roman" w:hAnsi="Times New Roman" w:eastAsia="宋体" w:cs="Times New Roman"/>
                <w:kern w:val="0"/>
                <w:sz w:val="21"/>
                <w:szCs w:val="21"/>
                <w:lang w:val="en-US" w:eastAsia="zh-CN"/>
              </w:rPr>
              <w:t>对</w:t>
            </w:r>
            <w:r>
              <w:rPr>
                <w:rFonts w:hint="default" w:ascii="Times New Roman" w:hAnsi="Times New Roman" w:eastAsia="宋体" w:cs="Times New Roman"/>
                <w:kern w:val="0"/>
                <w:sz w:val="21"/>
                <w:szCs w:val="21"/>
                <w:lang w:val="en-US" w:eastAsia="zh-CN"/>
              </w:rPr>
              <w:t>新提拔干部、年轻干部、关键岗位干部，党政机关、国有企业、金融、高校、医药等重点领域及重要岗位干部，开展培训轮训</w:t>
            </w:r>
            <w:r>
              <w:rPr>
                <w:rFonts w:hint="eastAsia" w:ascii="Times New Roman" w:hAnsi="Times New Roman" w:eastAsia="宋体" w:cs="Times New Roman"/>
                <w:kern w:val="0"/>
                <w:sz w:val="21"/>
                <w:szCs w:val="21"/>
                <w:lang w:val="en-US" w:eastAsia="zh-CN"/>
              </w:rPr>
              <w:t>。</w:t>
            </w:r>
          </w:p>
        </w:tc>
        <w:tc>
          <w:tcPr>
            <w:tcW w:w="969" w:type="dxa"/>
            <w:vAlign w:val="center"/>
          </w:tcPr>
          <w:p w14:paraId="1A91356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6DE2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exact"/>
          <w:jc w:val="center"/>
        </w:trPr>
        <w:tc>
          <w:tcPr>
            <w:tcW w:w="1528" w:type="dxa"/>
            <w:vMerge w:val="continue"/>
            <w:vAlign w:val="center"/>
          </w:tcPr>
          <w:p w14:paraId="207A98E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61FD1ED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产出指标</w:t>
            </w:r>
          </w:p>
          <w:p w14:paraId="078A4F2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（20分）</w:t>
            </w:r>
          </w:p>
        </w:tc>
        <w:tc>
          <w:tcPr>
            <w:tcW w:w="1319" w:type="dxa"/>
            <w:shd w:val="clear" w:color="auto" w:fill="auto"/>
            <w:vAlign w:val="center"/>
          </w:tcPr>
          <w:p w14:paraId="1F76D34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学习覆盖率</w:t>
            </w:r>
          </w:p>
          <w:p w14:paraId="39410E7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（20分）</w:t>
            </w:r>
          </w:p>
        </w:tc>
        <w:tc>
          <w:tcPr>
            <w:tcW w:w="1317" w:type="dxa"/>
            <w:gridSpan w:val="2"/>
            <w:shd w:val="clear" w:color="auto" w:fill="auto"/>
            <w:vAlign w:val="center"/>
          </w:tcPr>
          <w:p w14:paraId="0069CD3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≥9</w:t>
            </w:r>
            <w:r>
              <w:rPr>
                <w:rFonts w:hint="eastAsia" w:ascii="Times New Roman" w:hAnsi="Times New Roman" w:eastAsia="宋体" w:cs="Times New Roman"/>
                <w:kern w:val="0"/>
                <w:sz w:val="21"/>
                <w:szCs w:val="21"/>
                <w:lang w:val="en-US" w:eastAsia="zh-CN"/>
              </w:rPr>
              <w:t>0</w:t>
            </w:r>
            <w:r>
              <w:rPr>
                <w:rFonts w:hint="default" w:ascii="Times New Roman" w:hAnsi="Times New Roman" w:eastAsia="宋体" w:cs="Times New Roman"/>
                <w:kern w:val="0"/>
                <w:sz w:val="21"/>
                <w:szCs w:val="21"/>
                <w:lang w:val="en-US" w:eastAsia="zh-CN"/>
              </w:rPr>
              <w:t>%</w:t>
            </w:r>
          </w:p>
        </w:tc>
        <w:tc>
          <w:tcPr>
            <w:tcW w:w="2959" w:type="dxa"/>
            <w:gridSpan w:val="3"/>
            <w:shd w:val="clear" w:color="auto" w:fill="auto"/>
            <w:vAlign w:val="center"/>
          </w:tcPr>
          <w:p w14:paraId="5686CDC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参与党纪学习教育的党员占全体党员总数的比例</w:t>
            </w:r>
            <w:r>
              <w:rPr>
                <w:rFonts w:hint="eastAsia" w:ascii="Times New Roman" w:hAnsi="Times New Roman" w:eastAsia="宋体" w:cs="Times New Roman"/>
                <w:kern w:val="0"/>
                <w:sz w:val="21"/>
                <w:szCs w:val="21"/>
                <w:lang w:val="en-US" w:eastAsia="zh-CN"/>
              </w:rPr>
              <w:t>达95%以上，党员广泛参与学习，对党纪知识的知晓程度全面提升。</w:t>
            </w:r>
          </w:p>
        </w:tc>
        <w:tc>
          <w:tcPr>
            <w:tcW w:w="969" w:type="dxa"/>
            <w:vAlign w:val="center"/>
          </w:tcPr>
          <w:p w14:paraId="7CDF53F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3DC3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exact"/>
          <w:jc w:val="center"/>
        </w:trPr>
        <w:tc>
          <w:tcPr>
            <w:tcW w:w="1528" w:type="dxa"/>
            <w:vMerge w:val="continue"/>
            <w:vAlign w:val="center"/>
          </w:tcPr>
          <w:p w14:paraId="15C36BF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170DD66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效益指标</w:t>
            </w:r>
          </w:p>
          <w:p w14:paraId="6F09605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vAlign w:val="center"/>
          </w:tcPr>
          <w:p w14:paraId="2C69837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问题整改情况</w:t>
            </w:r>
          </w:p>
          <w:p w14:paraId="6983C98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27F6C1B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lang w:val="en-US" w:eastAsia="zh-CN"/>
              </w:rPr>
              <w:t>90</w:t>
            </w:r>
            <w:r>
              <w:rPr>
                <w:rFonts w:hint="default" w:ascii="Times New Roman" w:hAnsi="Times New Roman" w:eastAsia="宋体" w:cs="Times New Roman"/>
                <w:kern w:val="0"/>
                <w:sz w:val="21"/>
                <w:szCs w:val="21"/>
                <w:lang w:val="en-US" w:eastAsia="zh-CN"/>
              </w:rPr>
              <w:t>%</w:t>
            </w:r>
          </w:p>
        </w:tc>
        <w:tc>
          <w:tcPr>
            <w:tcW w:w="2959" w:type="dxa"/>
            <w:gridSpan w:val="3"/>
            <w:vAlign w:val="center"/>
          </w:tcPr>
          <w:p w14:paraId="74A7C18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color w:val="auto"/>
                <w:kern w:val="0"/>
                <w:sz w:val="13"/>
                <w:szCs w:val="13"/>
                <w:lang w:val="en-US" w:eastAsia="zh-CN"/>
              </w:rPr>
            </w:pPr>
            <w:r>
              <w:rPr>
                <w:rFonts w:hint="default" w:ascii="Times New Roman" w:hAnsi="Times New Roman" w:eastAsia="宋体" w:cs="Times New Roman"/>
                <w:kern w:val="0"/>
                <w:sz w:val="21"/>
                <w:szCs w:val="21"/>
                <w:lang w:val="en-US" w:eastAsia="zh-CN"/>
              </w:rPr>
              <w:t>针对学习教育中查摆问题，结合民主生活会、组织生活会查摆问题清单，跟踪整改落实情况，问题整改完成率</w:t>
            </w:r>
            <w:r>
              <w:rPr>
                <w:rFonts w:hint="eastAsia" w:ascii="Times New Roman" w:hAnsi="Times New Roman" w:eastAsia="宋体" w:cs="Times New Roman"/>
                <w:kern w:val="0"/>
                <w:sz w:val="21"/>
                <w:szCs w:val="21"/>
                <w:lang w:val="en-US" w:eastAsia="zh-CN"/>
              </w:rPr>
              <w:t>95%以上，党纪学习成果转化为推动实际工作成效。</w:t>
            </w:r>
          </w:p>
        </w:tc>
        <w:tc>
          <w:tcPr>
            <w:tcW w:w="969" w:type="dxa"/>
            <w:vAlign w:val="center"/>
          </w:tcPr>
          <w:p w14:paraId="209F298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175C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exact"/>
          <w:jc w:val="center"/>
        </w:trPr>
        <w:tc>
          <w:tcPr>
            <w:tcW w:w="1528" w:type="dxa"/>
            <w:vMerge w:val="continue"/>
            <w:vAlign w:val="center"/>
          </w:tcPr>
          <w:p w14:paraId="0C427EB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p>
        </w:tc>
        <w:tc>
          <w:tcPr>
            <w:tcW w:w="1122" w:type="dxa"/>
            <w:gridSpan w:val="2"/>
            <w:vAlign w:val="center"/>
          </w:tcPr>
          <w:p w14:paraId="0B667A6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eastAsia="zh-CN"/>
              </w:rPr>
              <w:t>满意度指标（</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vAlign w:val="center"/>
          </w:tcPr>
          <w:p w14:paraId="7A618E2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党员满意度</w:t>
            </w:r>
          </w:p>
          <w:p w14:paraId="36D46A1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5E6225E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w:t>
            </w:r>
            <w:r>
              <w:rPr>
                <w:rFonts w:hint="eastAsia" w:ascii="Times New Roman" w:hAnsi="Times New Roman" w:eastAsia="宋体" w:cs="Times New Roman"/>
                <w:kern w:val="0"/>
                <w:sz w:val="21"/>
                <w:szCs w:val="21"/>
                <w:lang w:val="en-US" w:eastAsia="zh-CN"/>
              </w:rPr>
              <w:t>90</w:t>
            </w:r>
            <w:r>
              <w:rPr>
                <w:rFonts w:hint="default" w:ascii="Times New Roman" w:hAnsi="Times New Roman" w:eastAsia="宋体" w:cs="Times New Roman"/>
                <w:kern w:val="0"/>
                <w:sz w:val="21"/>
                <w:szCs w:val="21"/>
                <w:lang w:val="en-US" w:eastAsia="zh-CN"/>
              </w:rPr>
              <w:t>%</w:t>
            </w:r>
          </w:p>
        </w:tc>
        <w:tc>
          <w:tcPr>
            <w:tcW w:w="2959" w:type="dxa"/>
            <w:gridSpan w:val="3"/>
            <w:vAlign w:val="center"/>
          </w:tcPr>
          <w:p w14:paraId="77FE435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通过问卷调查、座谈会等形式，收集党员对党纪学习教育项目的满意度评价，</w:t>
            </w:r>
            <w:r>
              <w:rPr>
                <w:rFonts w:hint="eastAsia" w:ascii="Times New Roman" w:hAnsi="Times New Roman" w:eastAsia="宋体" w:cs="Times New Roman"/>
                <w:kern w:val="0"/>
                <w:sz w:val="21"/>
                <w:szCs w:val="21"/>
                <w:lang w:eastAsia="zh-CN"/>
              </w:rPr>
              <w:t>达到</w:t>
            </w:r>
            <w:r>
              <w:rPr>
                <w:rFonts w:hint="default" w:ascii="Times New Roman" w:hAnsi="Times New Roman" w:eastAsia="宋体" w:cs="Times New Roman"/>
                <w:kern w:val="0"/>
                <w:sz w:val="21"/>
                <w:szCs w:val="21"/>
                <w:lang w:eastAsia="zh-CN"/>
              </w:rPr>
              <w:t>9</w:t>
            </w:r>
            <w:r>
              <w:rPr>
                <w:rFonts w:hint="eastAsia" w:ascii="Times New Roman" w:hAnsi="Times New Roman" w:eastAsia="宋体" w:cs="Times New Roman"/>
                <w:kern w:val="0"/>
                <w:sz w:val="21"/>
                <w:szCs w:val="21"/>
                <w:lang w:val="en-US" w:eastAsia="zh-CN"/>
              </w:rPr>
              <w:t>5</w:t>
            </w:r>
            <w:r>
              <w:rPr>
                <w:rFonts w:hint="default" w:ascii="Times New Roman" w:hAnsi="Times New Roman" w:eastAsia="宋体" w:cs="Times New Roman"/>
                <w:kern w:val="0"/>
                <w:sz w:val="21"/>
                <w:szCs w:val="21"/>
                <w:lang w:eastAsia="zh-CN"/>
              </w:rPr>
              <w:t>%以上，党员参与积极性和学习体验</w:t>
            </w:r>
            <w:r>
              <w:rPr>
                <w:rFonts w:hint="eastAsia" w:ascii="Times New Roman" w:hAnsi="Times New Roman" w:eastAsia="宋体" w:cs="Times New Roman"/>
                <w:kern w:val="0"/>
                <w:sz w:val="21"/>
                <w:szCs w:val="21"/>
                <w:lang w:eastAsia="zh-CN"/>
              </w:rPr>
              <w:t>得到</w:t>
            </w:r>
            <w:r>
              <w:rPr>
                <w:rFonts w:hint="default" w:ascii="Times New Roman" w:hAnsi="Times New Roman" w:eastAsia="宋体" w:cs="Times New Roman"/>
                <w:kern w:val="0"/>
                <w:sz w:val="21"/>
                <w:szCs w:val="21"/>
                <w:lang w:eastAsia="zh-CN"/>
              </w:rPr>
              <w:t>提升。</w:t>
            </w:r>
          </w:p>
        </w:tc>
        <w:tc>
          <w:tcPr>
            <w:tcW w:w="969" w:type="dxa"/>
            <w:vAlign w:val="center"/>
          </w:tcPr>
          <w:p w14:paraId="7D673A5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3835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8" w:type="dxa"/>
            <w:vAlign w:val="center"/>
          </w:tcPr>
          <w:p w14:paraId="13FC175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总分</w:t>
            </w:r>
          </w:p>
        </w:tc>
        <w:tc>
          <w:tcPr>
            <w:tcW w:w="7686" w:type="dxa"/>
            <w:gridSpan w:val="9"/>
            <w:vAlign w:val="center"/>
          </w:tcPr>
          <w:p w14:paraId="5E8AC28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99.54</w:t>
            </w:r>
          </w:p>
        </w:tc>
      </w:tr>
    </w:tbl>
    <w:p w14:paraId="664D189D">
      <w:pPr>
        <w:bidi w:val="0"/>
        <w:jc w:val="both"/>
        <w:rPr>
          <w:rFonts w:hint="default"/>
          <w:lang w:val="en-US" w:eastAsia="zh-CN"/>
        </w:rPr>
      </w:pPr>
    </w:p>
    <w:p w14:paraId="0158E71A">
      <w:pPr>
        <w:bidi w:val="0"/>
        <w:jc w:val="both"/>
        <w:rPr>
          <w:rFonts w:hint="default"/>
          <w:lang w:val="en-US" w:eastAsia="zh-CN"/>
        </w:rPr>
      </w:pPr>
    </w:p>
    <w:p w14:paraId="6364BF99">
      <w:pPr>
        <w:bidi w:val="0"/>
        <w:jc w:val="both"/>
        <w:rPr>
          <w:rFonts w:hint="default"/>
          <w:lang w:val="en-US" w:eastAsia="zh-CN"/>
        </w:rPr>
      </w:pPr>
    </w:p>
    <w:p w14:paraId="5512EFE4">
      <w:pPr>
        <w:bidi w:val="0"/>
        <w:jc w:val="both"/>
        <w:rPr>
          <w:rFonts w:hint="default"/>
          <w:lang w:val="en-US" w:eastAsia="zh-CN"/>
        </w:rPr>
      </w:pPr>
    </w:p>
    <w:p w14:paraId="706EAA0C">
      <w:pPr>
        <w:bidi w:val="0"/>
        <w:jc w:val="both"/>
        <w:rPr>
          <w:rFonts w:hint="default"/>
          <w:lang w:val="en-US" w:eastAsia="zh-CN"/>
        </w:rPr>
      </w:pPr>
    </w:p>
    <w:p w14:paraId="222A7923">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楷体_GB2312" w:hAnsi="楷体_GB2312" w:eastAsia="楷体_GB2312" w:cs="楷体_GB2312"/>
          <w:b/>
          <w:bCs/>
          <w:color w:val="000000"/>
          <w:kern w:val="0"/>
          <w:sz w:val="36"/>
          <w:szCs w:val="36"/>
          <w:lang w:val="en-US" w:eastAsia="zh-CN" w:bidi="ar"/>
        </w:rPr>
      </w:pPr>
      <w:r>
        <w:rPr>
          <w:rFonts w:hint="eastAsia" w:ascii="楷体_GB2312" w:hAnsi="楷体_GB2312" w:eastAsia="楷体_GB2312" w:cs="楷体_GB2312"/>
          <w:b/>
          <w:bCs/>
          <w:color w:val="000000"/>
          <w:kern w:val="0"/>
          <w:sz w:val="36"/>
          <w:szCs w:val="36"/>
          <w:lang w:val="en-US" w:eastAsia="zh-CN" w:bidi="ar"/>
        </w:rPr>
        <w:t>（四）</w:t>
      </w:r>
      <w:r>
        <w:rPr>
          <w:rFonts w:hint="default" w:ascii="楷体_GB2312" w:hAnsi="楷体_GB2312" w:eastAsia="楷体_GB2312" w:cs="楷体_GB2312"/>
          <w:b/>
          <w:bCs/>
          <w:color w:val="000000"/>
          <w:kern w:val="0"/>
          <w:sz w:val="36"/>
          <w:szCs w:val="36"/>
          <w:lang w:val="en-US" w:eastAsia="zh-CN" w:bidi="ar"/>
        </w:rPr>
        <w:t>学习贯彻习近平新时代中国特色社会主义思想主题教育项目自评结果</w:t>
      </w:r>
      <w:bookmarkStart w:id="7" w:name="_GoBack"/>
      <w:bookmarkEnd w:id="7"/>
    </w:p>
    <w:p w14:paraId="21D12BD9">
      <w:pPr>
        <w:bidi w:val="0"/>
        <w:jc w:val="both"/>
        <w:rPr>
          <w:rFonts w:hint="default"/>
          <w:lang w:val="en-US" w:eastAsia="zh-CN"/>
        </w:rPr>
      </w:pPr>
    </w:p>
    <w:tbl>
      <w:tblPr>
        <w:tblStyle w:val="5"/>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709"/>
        <w:gridCol w:w="413"/>
        <w:gridCol w:w="1319"/>
        <w:gridCol w:w="505"/>
        <w:gridCol w:w="812"/>
        <w:gridCol w:w="1425"/>
        <w:gridCol w:w="41"/>
        <w:gridCol w:w="1319"/>
        <w:gridCol w:w="1143"/>
      </w:tblGrid>
      <w:tr w14:paraId="5747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237" w:type="dxa"/>
            <w:gridSpan w:val="2"/>
            <w:vAlign w:val="center"/>
          </w:tcPr>
          <w:p w14:paraId="7BEC701F">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项目名称</w:t>
            </w:r>
          </w:p>
        </w:tc>
        <w:tc>
          <w:tcPr>
            <w:tcW w:w="2237" w:type="dxa"/>
            <w:gridSpan w:val="3"/>
            <w:vAlign w:val="center"/>
          </w:tcPr>
          <w:p w14:paraId="3158AA43">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学习贯彻习近平新时代中国特色社会主义思想主题教育</w:t>
            </w:r>
            <w:r>
              <w:rPr>
                <w:rFonts w:hint="default" w:ascii="Times New Roman" w:hAnsi="Times New Roman" w:eastAsia="宋体" w:cs="Times New Roman"/>
                <w:kern w:val="0"/>
                <w:sz w:val="21"/>
                <w:szCs w:val="21"/>
                <w:highlight w:val="none"/>
                <w:lang w:eastAsia="zh-CN"/>
              </w:rPr>
              <w:t>　</w:t>
            </w:r>
          </w:p>
        </w:tc>
        <w:tc>
          <w:tcPr>
            <w:tcW w:w="2237" w:type="dxa"/>
            <w:gridSpan w:val="2"/>
            <w:vAlign w:val="center"/>
          </w:tcPr>
          <w:p w14:paraId="216D13B9">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default" w:ascii="Times New Roman" w:hAnsi="Times New Roman" w:eastAsia="宋体" w:cs="Times New Roman"/>
                <w:kern w:val="0"/>
                <w:sz w:val="21"/>
                <w:szCs w:val="21"/>
                <w:highlight w:val="none"/>
                <w:lang w:eastAsia="zh-CN"/>
              </w:rPr>
              <w:t>项目实施单位</w:t>
            </w:r>
          </w:p>
        </w:tc>
        <w:tc>
          <w:tcPr>
            <w:tcW w:w="2503" w:type="dxa"/>
            <w:gridSpan w:val="3"/>
            <w:vAlign w:val="center"/>
          </w:tcPr>
          <w:p w14:paraId="61E01528">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none"/>
                <w:lang w:eastAsia="zh-CN"/>
              </w:rPr>
            </w:pPr>
            <w:r>
              <w:rPr>
                <w:rFonts w:hint="eastAsia" w:ascii="Times New Roman" w:hAnsi="Times New Roman" w:eastAsia="宋体" w:cs="Times New Roman"/>
                <w:kern w:val="0"/>
                <w:sz w:val="21"/>
                <w:szCs w:val="21"/>
                <w:highlight w:val="none"/>
                <w:lang w:eastAsia="zh-CN"/>
              </w:rPr>
              <w:t>中共随州市委组织部</w:t>
            </w:r>
          </w:p>
        </w:tc>
      </w:tr>
      <w:tr w14:paraId="70BD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237" w:type="dxa"/>
            <w:gridSpan w:val="2"/>
            <w:vAlign w:val="center"/>
          </w:tcPr>
          <w:p w14:paraId="1B70D294">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yellow"/>
                <w:lang w:val="en-US" w:eastAsia="zh-CN"/>
              </w:rPr>
            </w:pPr>
            <w:r>
              <w:rPr>
                <w:rFonts w:hint="default" w:ascii="Times New Roman" w:hAnsi="Times New Roman" w:eastAsia="宋体" w:cs="Times New Roman"/>
                <w:kern w:val="0"/>
                <w:sz w:val="21"/>
                <w:szCs w:val="21"/>
                <w:highlight w:val="none"/>
                <w:lang w:val="en-US" w:eastAsia="zh-CN"/>
              </w:rPr>
              <w:t>项目主管单位</w:t>
            </w:r>
          </w:p>
        </w:tc>
        <w:tc>
          <w:tcPr>
            <w:tcW w:w="2237" w:type="dxa"/>
            <w:gridSpan w:val="3"/>
            <w:vAlign w:val="center"/>
          </w:tcPr>
          <w:p w14:paraId="3A435BF4">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highlight w:val="yellow"/>
                <w:lang w:eastAsia="zh-CN"/>
              </w:rPr>
            </w:pPr>
            <w:r>
              <w:rPr>
                <w:rFonts w:hint="default" w:ascii="Times New Roman" w:hAnsi="Times New Roman" w:eastAsia="宋体" w:cs="Times New Roman"/>
                <w:kern w:val="0"/>
                <w:sz w:val="21"/>
                <w:szCs w:val="21"/>
                <w:highlight w:val="none"/>
                <w:lang w:eastAsia="zh-CN"/>
              </w:rPr>
              <w:t>中共随州市委组织部</w:t>
            </w:r>
          </w:p>
        </w:tc>
        <w:tc>
          <w:tcPr>
            <w:tcW w:w="2237" w:type="dxa"/>
            <w:gridSpan w:val="2"/>
            <w:vAlign w:val="center"/>
          </w:tcPr>
          <w:p w14:paraId="52FA0FBD">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yellow"/>
                <w:lang w:eastAsia="zh-CN"/>
              </w:rPr>
            </w:pPr>
            <w:r>
              <w:rPr>
                <w:rFonts w:hint="default" w:ascii="Times New Roman" w:hAnsi="Times New Roman" w:eastAsia="宋体" w:cs="Times New Roman"/>
                <w:kern w:val="0"/>
                <w:sz w:val="21"/>
                <w:szCs w:val="21"/>
                <w:highlight w:val="none"/>
                <w:lang w:eastAsia="zh-CN"/>
              </w:rPr>
              <w:t>项目负责人</w:t>
            </w:r>
          </w:p>
        </w:tc>
        <w:tc>
          <w:tcPr>
            <w:tcW w:w="2503" w:type="dxa"/>
            <w:gridSpan w:val="3"/>
            <w:vAlign w:val="center"/>
          </w:tcPr>
          <w:p w14:paraId="52174C55">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highlight w:val="yellow"/>
                <w:lang w:eastAsia="zh-CN"/>
              </w:rPr>
            </w:pPr>
            <w:r>
              <w:rPr>
                <w:rFonts w:hint="eastAsia" w:ascii="Times New Roman" w:hAnsi="Times New Roman" w:eastAsia="宋体" w:cs="Times New Roman"/>
                <w:kern w:val="0"/>
                <w:sz w:val="21"/>
                <w:szCs w:val="21"/>
                <w:highlight w:val="none"/>
                <w:lang w:eastAsia="zh-CN"/>
              </w:rPr>
              <w:t>李玉诚</w:t>
            </w:r>
          </w:p>
        </w:tc>
      </w:tr>
      <w:tr w14:paraId="200F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528" w:type="dxa"/>
            <w:vAlign w:val="center"/>
          </w:tcPr>
          <w:p w14:paraId="158902C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资金性质</w:t>
            </w:r>
          </w:p>
        </w:tc>
        <w:tc>
          <w:tcPr>
            <w:tcW w:w="7686" w:type="dxa"/>
            <w:gridSpan w:val="9"/>
            <w:vAlign w:val="center"/>
          </w:tcPr>
          <w:p w14:paraId="15D26A15">
            <w:pPr>
              <w:keepNext w:val="0"/>
              <w:keepLines w:val="0"/>
              <w:pageBreakBefore w:val="0"/>
              <w:widowControl/>
              <w:kinsoku/>
              <w:wordWrap/>
              <w:overflowPunct/>
              <w:topLinePunct w:val="0"/>
              <w:autoSpaceDE/>
              <w:autoSpaceDN/>
              <w:bidi w:val="0"/>
              <w:adjustRightInd/>
              <w:snapToGrid w:val="0"/>
              <w:spacing w:line="260" w:lineRule="exact"/>
              <w:ind w:firstLine="420" w:firstLineChars="20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highlight w:val="none"/>
              </w:rPr>
              <w:t xml:space="preserve">1、持续性项目 </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 xml:space="preserve"> </w:t>
            </w:r>
            <w:r>
              <w:rPr>
                <w:rFonts w:hint="default" w:ascii="Times New Roman" w:hAnsi="Times New Roman" w:eastAsia="宋体" w:cs="Times New Roman"/>
                <w:kern w:val="0"/>
                <w:sz w:val="21"/>
                <w:szCs w:val="21"/>
                <w:highlight w:val="none"/>
              </w:rPr>
              <w:t xml:space="preserve">   2、</w:t>
            </w:r>
            <w:r>
              <w:rPr>
                <w:rFonts w:hint="default" w:ascii="Times New Roman" w:hAnsi="Times New Roman" w:eastAsia="宋体" w:cs="Times New Roman"/>
                <w:kern w:val="0"/>
                <w:sz w:val="21"/>
                <w:szCs w:val="21"/>
                <w:highlight w:val="none"/>
                <w:lang w:eastAsia="zh-CN"/>
              </w:rPr>
              <w:t>一次</w:t>
            </w:r>
            <w:r>
              <w:rPr>
                <w:rFonts w:hint="default" w:ascii="Times New Roman" w:hAnsi="Times New Roman" w:eastAsia="宋体" w:cs="Times New Roman"/>
                <w:kern w:val="0"/>
                <w:sz w:val="21"/>
                <w:szCs w:val="21"/>
                <w:highlight w:val="none"/>
              </w:rPr>
              <w:t xml:space="preserve">性项目 </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 xml:space="preserve"> </w:t>
            </w:r>
            <w:r>
              <w:rPr>
                <w:rFonts w:hint="default" w:ascii="Times New Roman" w:hAnsi="Times New Roman" w:eastAsia="宋体" w:cs="Times New Roman"/>
                <w:kern w:val="0"/>
                <w:sz w:val="21"/>
                <w:szCs w:val="21"/>
                <w:highlight w:val="none"/>
              </w:rPr>
              <w:t xml:space="preserve"> </w:t>
            </w:r>
            <w:r>
              <w:rPr>
                <w:rFonts w:hint="default" w:ascii="Times New Roman" w:hAnsi="Times New Roman" w:eastAsia="宋体" w:cs="Times New Roman"/>
                <w:kern w:val="0"/>
                <w:sz w:val="21"/>
                <w:szCs w:val="21"/>
                <w:highlight w:val="none"/>
                <w:lang w:val="en-US" w:eastAsia="zh-CN"/>
              </w:rPr>
              <w:t>3、债券项目</w:t>
            </w:r>
            <w:r>
              <w:rPr>
                <w:rFonts w:hint="eastAsia"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rPr>
              <w:t xml:space="preserve"> </w:t>
            </w:r>
          </w:p>
        </w:tc>
      </w:tr>
      <w:tr w14:paraId="1388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28" w:type="dxa"/>
            <w:vMerge w:val="restart"/>
            <w:vAlign w:val="center"/>
          </w:tcPr>
          <w:p w14:paraId="21C9F23C">
            <w:pPr>
              <w:keepNext w:val="0"/>
              <w:keepLines w:val="0"/>
              <w:pageBreakBefore w:val="0"/>
              <w:widowControl/>
              <w:kinsoku/>
              <w:wordWrap/>
              <w:overflowPunct/>
              <w:topLinePunct w:val="0"/>
              <w:autoSpaceDE/>
              <w:autoSpaceDN/>
              <w:bidi w:val="0"/>
              <w:adjustRightInd/>
              <w:snapToGrid w:val="0"/>
              <w:spacing w:line="260" w:lineRule="exact"/>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项目资金来源</w:t>
            </w:r>
          </w:p>
          <w:p w14:paraId="42E0A709">
            <w:pPr>
              <w:keepNext w:val="0"/>
              <w:keepLines w:val="0"/>
              <w:pageBreakBefore w:val="0"/>
              <w:widowControl/>
              <w:kinsoku/>
              <w:wordWrap/>
              <w:overflowPunct/>
              <w:topLinePunct w:val="0"/>
              <w:autoSpaceDE/>
              <w:autoSpaceDN/>
              <w:bidi w:val="0"/>
              <w:adjustRightInd/>
              <w:snapToGrid w:val="0"/>
              <w:spacing w:line="260" w:lineRule="exact"/>
              <w:ind w:firstLine="210" w:firstLineChars="100"/>
              <w:jc w:val="both"/>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（万元）</w:t>
            </w:r>
          </w:p>
        </w:tc>
        <w:tc>
          <w:tcPr>
            <w:tcW w:w="2441" w:type="dxa"/>
            <w:gridSpan w:val="3"/>
            <w:vAlign w:val="center"/>
          </w:tcPr>
          <w:p w14:paraId="58240380">
            <w:pPr>
              <w:keepNext w:val="0"/>
              <w:keepLines w:val="0"/>
              <w:pageBreakBefore w:val="0"/>
              <w:widowControl/>
              <w:kinsoku/>
              <w:wordWrap/>
              <w:overflowPunct/>
              <w:topLinePunct w:val="0"/>
              <w:autoSpaceDE/>
              <w:autoSpaceDN/>
              <w:bidi w:val="0"/>
              <w:adjustRightInd/>
              <w:snapToGrid w:val="0"/>
              <w:spacing w:line="260" w:lineRule="exact"/>
              <w:ind w:firstLine="630" w:firstLineChars="300"/>
              <w:jc w:val="both"/>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中央、省级</w:t>
            </w:r>
          </w:p>
        </w:tc>
        <w:tc>
          <w:tcPr>
            <w:tcW w:w="1317" w:type="dxa"/>
            <w:gridSpan w:val="2"/>
            <w:vAlign w:val="center"/>
          </w:tcPr>
          <w:p w14:paraId="6C983CC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本级</w:t>
            </w:r>
          </w:p>
        </w:tc>
        <w:tc>
          <w:tcPr>
            <w:tcW w:w="1466" w:type="dxa"/>
            <w:gridSpan w:val="2"/>
            <w:vAlign w:val="center"/>
          </w:tcPr>
          <w:p w14:paraId="584561C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其他</w:t>
            </w:r>
          </w:p>
        </w:tc>
        <w:tc>
          <w:tcPr>
            <w:tcW w:w="2462" w:type="dxa"/>
            <w:gridSpan w:val="2"/>
            <w:vAlign w:val="center"/>
          </w:tcPr>
          <w:p w14:paraId="2C74F28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合计</w:t>
            </w:r>
          </w:p>
        </w:tc>
      </w:tr>
      <w:tr w14:paraId="484EC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528" w:type="dxa"/>
            <w:vMerge w:val="continue"/>
            <w:vAlign w:val="center"/>
          </w:tcPr>
          <w:p w14:paraId="29DA95A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41" w:type="dxa"/>
            <w:gridSpan w:val="3"/>
            <w:vAlign w:val="center"/>
          </w:tcPr>
          <w:p w14:paraId="6E5D94F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7" w:type="dxa"/>
            <w:gridSpan w:val="2"/>
            <w:vAlign w:val="center"/>
          </w:tcPr>
          <w:p w14:paraId="6E3D61F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25.7678</w:t>
            </w:r>
          </w:p>
        </w:tc>
        <w:tc>
          <w:tcPr>
            <w:tcW w:w="1466" w:type="dxa"/>
            <w:gridSpan w:val="2"/>
            <w:vAlign w:val="center"/>
          </w:tcPr>
          <w:p w14:paraId="1CDA55B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2462" w:type="dxa"/>
            <w:gridSpan w:val="2"/>
            <w:vAlign w:val="center"/>
          </w:tcPr>
          <w:p w14:paraId="744C7D9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25.7678</w:t>
            </w:r>
          </w:p>
        </w:tc>
      </w:tr>
      <w:tr w14:paraId="2092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8" w:type="dxa"/>
            <w:vMerge w:val="restart"/>
            <w:vAlign w:val="center"/>
          </w:tcPr>
          <w:p w14:paraId="0370977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预算执行情况（万元）</w:t>
            </w:r>
          </w:p>
          <w:p w14:paraId="1BB83C5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w:t>
            </w:r>
          </w:p>
        </w:tc>
        <w:tc>
          <w:tcPr>
            <w:tcW w:w="1122" w:type="dxa"/>
            <w:gridSpan w:val="2"/>
            <w:vAlign w:val="center"/>
          </w:tcPr>
          <w:p w14:paraId="4D2917B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319" w:type="dxa"/>
            <w:vAlign w:val="center"/>
          </w:tcPr>
          <w:p w14:paraId="6EC26DB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预算数（A）</w:t>
            </w:r>
          </w:p>
        </w:tc>
        <w:tc>
          <w:tcPr>
            <w:tcW w:w="1317" w:type="dxa"/>
            <w:gridSpan w:val="2"/>
            <w:vAlign w:val="center"/>
          </w:tcPr>
          <w:p w14:paraId="1737D28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执行数（B）</w:t>
            </w:r>
          </w:p>
        </w:tc>
        <w:tc>
          <w:tcPr>
            <w:tcW w:w="1466" w:type="dxa"/>
            <w:gridSpan w:val="2"/>
            <w:vAlign w:val="center"/>
          </w:tcPr>
          <w:p w14:paraId="71A588B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执行率</w:t>
            </w:r>
          </w:p>
          <w:p w14:paraId="4A4D352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（B/A）</w:t>
            </w:r>
          </w:p>
        </w:tc>
        <w:tc>
          <w:tcPr>
            <w:tcW w:w="2462" w:type="dxa"/>
            <w:gridSpan w:val="2"/>
            <w:vAlign w:val="center"/>
          </w:tcPr>
          <w:p w14:paraId="5FF58F8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p w14:paraId="05DBE5F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（20分*执行率）</w:t>
            </w:r>
          </w:p>
        </w:tc>
      </w:tr>
      <w:tr w14:paraId="6399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528" w:type="dxa"/>
            <w:vMerge w:val="continue"/>
            <w:vAlign w:val="center"/>
          </w:tcPr>
          <w:p w14:paraId="3A1F33B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6B6938C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年度财政资金总额</w:t>
            </w:r>
          </w:p>
        </w:tc>
        <w:tc>
          <w:tcPr>
            <w:tcW w:w="1319" w:type="dxa"/>
            <w:vAlign w:val="center"/>
          </w:tcPr>
          <w:p w14:paraId="3E4CF54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25.7678</w:t>
            </w:r>
          </w:p>
        </w:tc>
        <w:tc>
          <w:tcPr>
            <w:tcW w:w="1317" w:type="dxa"/>
            <w:gridSpan w:val="2"/>
            <w:vAlign w:val="center"/>
          </w:tcPr>
          <w:p w14:paraId="3243E39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25.4015</w:t>
            </w:r>
          </w:p>
        </w:tc>
        <w:tc>
          <w:tcPr>
            <w:tcW w:w="1466" w:type="dxa"/>
            <w:gridSpan w:val="2"/>
            <w:vAlign w:val="center"/>
          </w:tcPr>
          <w:p w14:paraId="0D82A42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98.58%</w:t>
            </w:r>
          </w:p>
        </w:tc>
        <w:tc>
          <w:tcPr>
            <w:tcW w:w="2462" w:type="dxa"/>
            <w:gridSpan w:val="2"/>
            <w:vAlign w:val="center"/>
          </w:tcPr>
          <w:p w14:paraId="5FB6F54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19.72</w:t>
            </w:r>
          </w:p>
        </w:tc>
      </w:tr>
      <w:tr w14:paraId="5E717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28" w:type="dxa"/>
            <w:vMerge w:val="restart"/>
            <w:vAlign w:val="center"/>
          </w:tcPr>
          <w:p w14:paraId="329FDF1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年度绩效目标</w:t>
            </w:r>
          </w:p>
          <w:p w14:paraId="7A8B9A9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r>
              <w:rPr>
                <w:rFonts w:hint="default" w:ascii="Times New Roman" w:hAnsi="Times New Roman" w:eastAsia="宋体" w:cs="Times New Roman"/>
                <w:kern w:val="0"/>
                <w:sz w:val="21"/>
                <w:szCs w:val="21"/>
                <w:lang w:val="en-US" w:eastAsia="zh-CN"/>
              </w:rPr>
              <w:t>80</w:t>
            </w:r>
            <w:r>
              <w:rPr>
                <w:rFonts w:hint="default" w:ascii="Times New Roman" w:hAnsi="Times New Roman" w:eastAsia="宋体" w:cs="Times New Roman"/>
                <w:kern w:val="0"/>
                <w:sz w:val="21"/>
                <w:szCs w:val="21"/>
              </w:rPr>
              <w:t>分）</w:t>
            </w:r>
          </w:p>
        </w:tc>
        <w:tc>
          <w:tcPr>
            <w:tcW w:w="1122" w:type="dxa"/>
            <w:gridSpan w:val="2"/>
            <w:vAlign w:val="center"/>
          </w:tcPr>
          <w:p w14:paraId="515FEF4F">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一级指标</w:t>
            </w:r>
          </w:p>
        </w:tc>
        <w:tc>
          <w:tcPr>
            <w:tcW w:w="1319" w:type="dxa"/>
            <w:vAlign w:val="center"/>
          </w:tcPr>
          <w:p w14:paraId="1A8F4ED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eastAsia" w:ascii="Times New Roman" w:hAnsi="Times New Roman" w:eastAsia="宋体" w:cs="Times New Roman"/>
                <w:kern w:val="0"/>
                <w:sz w:val="21"/>
                <w:szCs w:val="21"/>
                <w:lang w:eastAsia="zh-CN"/>
              </w:rPr>
              <w:t>二级</w:t>
            </w:r>
            <w:r>
              <w:rPr>
                <w:rFonts w:hint="default" w:ascii="Times New Roman" w:hAnsi="Times New Roman" w:eastAsia="宋体" w:cs="Times New Roman"/>
                <w:kern w:val="0"/>
                <w:sz w:val="21"/>
                <w:szCs w:val="21"/>
              </w:rPr>
              <w:t>指标</w:t>
            </w:r>
          </w:p>
        </w:tc>
        <w:tc>
          <w:tcPr>
            <w:tcW w:w="1317" w:type="dxa"/>
            <w:gridSpan w:val="2"/>
            <w:vAlign w:val="center"/>
          </w:tcPr>
          <w:p w14:paraId="5CB16EC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年初目标值（A）</w:t>
            </w:r>
          </w:p>
        </w:tc>
        <w:tc>
          <w:tcPr>
            <w:tcW w:w="2785" w:type="dxa"/>
            <w:gridSpan w:val="3"/>
            <w:vAlign w:val="center"/>
          </w:tcPr>
          <w:p w14:paraId="77231F0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实际完成值（B）</w:t>
            </w:r>
          </w:p>
        </w:tc>
        <w:tc>
          <w:tcPr>
            <w:tcW w:w="1143" w:type="dxa"/>
            <w:vAlign w:val="center"/>
          </w:tcPr>
          <w:p w14:paraId="3DA6C66B">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得分</w:t>
            </w:r>
          </w:p>
        </w:tc>
      </w:tr>
      <w:tr w14:paraId="3E7F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exact"/>
          <w:jc w:val="center"/>
        </w:trPr>
        <w:tc>
          <w:tcPr>
            <w:tcW w:w="1528" w:type="dxa"/>
            <w:vMerge w:val="continue"/>
            <w:vAlign w:val="center"/>
          </w:tcPr>
          <w:p w14:paraId="0E2276A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2330A02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成本指标</w:t>
            </w:r>
          </w:p>
          <w:p w14:paraId="6881AE8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9" w:type="dxa"/>
            <w:shd w:val="clear" w:color="auto" w:fill="auto"/>
            <w:vAlign w:val="center"/>
          </w:tcPr>
          <w:p w14:paraId="660016B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eastAsia="宋体" w:cs="Times New Roman"/>
                <w:kern w:val="0"/>
                <w:sz w:val="21"/>
                <w:szCs w:val="21"/>
                <w:lang w:eastAsia="zh-CN"/>
              </w:rPr>
              <w:t>理论知识</w:t>
            </w:r>
            <w:r>
              <w:rPr>
                <w:rFonts w:hint="eastAsia" w:ascii="Times New Roman" w:hAnsi="Times New Roman" w:eastAsia="宋体" w:cs="Times New Roman"/>
                <w:kern w:val="0"/>
                <w:sz w:val="21"/>
                <w:szCs w:val="21"/>
                <w:lang w:eastAsia="zh-CN"/>
              </w:rPr>
              <w:t>学习情况</w:t>
            </w:r>
          </w:p>
          <w:p w14:paraId="69A4CD8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5500139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≥9</w:t>
            </w:r>
            <w:r>
              <w:rPr>
                <w:rFonts w:hint="eastAsia" w:ascii="Times New Roman" w:hAnsi="Times New Roman" w:eastAsia="宋体" w:cs="Times New Roman"/>
                <w:kern w:val="0"/>
                <w:sz w:val="21"/>
                <w:szCs w:val="21"/>
                <w:lang w:val="en-US" w:eastAsia="zh-CN"/>
              </w:rPr>
              <w:t>0</w:t>
            </w:r>
            <w:r>
              <w:rPr>
                <w:rFonts w:hint="default" w:ascii="Times New Roman" w:hAnsi="Times New Roman" w:eastAsia="宋体" w:cs="Times New Roman"/>
                <w:kern w:val="0"/>
                <w:sz w:val="21"/>
                <w:szCs w:val="21"/>
                <w:lang w:val="en-US" w:eastAsia="zh-CN"/>
              </w:rPr>
              <w:t>%</w:t>
            </w:r>
          </w:p>
        </w:tc>
        <w:tc>
          <w:tcPr>
            <w:tcW w:w="2785" w:type="dxa"/>
            <w:gridSpan w:val="3"/>
            <w:vAlign w:val="center"/>
          </w:tcPr>
          <w:p w14:paraId="7BF0827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参与</w:t>
            </w:r>
            <w:r>
              <w:rPr>
                <w:rFonts w:hint="eastAsia" w:ascii="Times New Roman" w:hAnsi="Times New Roman" w:eastAsia="宋体" w:cs="Times New Roman"/>
                <w:kern w:val="0"/>
                <w:sz w:val="21"/>
                <w:szCs w:val="21"/>
                <w:lang w:val="en-US" w:eastAsia="zh-CN"/>
              </w:rPr>
              <w:t>主题</w:t>
            </w:r>
            <w:r>
              <w:rPr>
                <w:rFonts w:hint="default" w:ascii="Times New Roman" w:hAnsi="Times New Roman" w:eastAsia="宋体" w:cs="Times New Roman"/>
                <w:kern w:val="0"/>
                <w:sz w:val="21"/>
                <w:szCs w:val="21"/>
                <w:lang w:val="en-US" w:eastAsia="zh-CN"/>
              </w:rPr>
              <w:t>教育的党员比例</w:t>
            </w:r>
            <w:r>
              <w:rPr>
                <w:rFonts w:hint="eastAsia" w:ascii="Times New Roman" w:hAnsi="Times New Roman" w:eastAsia="宋体" w:cs="Times New Roman"/>
                <w:kern w:val="0"/>
                <w:sz w:val="21"/>
                <w:szCs w:val="21"/>
                <w:lang w:val="en-US" w:eastAsia="zh-CN"/>
              </w:rPr>
              <w:t>达95%以上，党员认真撰写心得，开展研讨交流。</w:t>
            </w:r>
          </w:p>
        </w:tc>
        <w:tc>
          <w:tcPr>
            <w:tcW w:w="1143" w:type="dxa"/>
            <w:vAlign w:val="center"/>
          </w:tcPr>
          <w:p w14:paraId="5DC5FC2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01FB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exact"/>
          <w:jc w:val="center"/>
        </w:trPr>
        <w:tc>
          <w:tcPr>
            <w:tcW w:w="1528" w:type="dxa"/>
            <w:vMerge w:val="continue"/>
            <w:vAlign w:val="center"/>
          </w:tcPr>
          <w:p w14:paraId="71D57C7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754D8B5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产出指标</w:t>
            </w:r>
          </w:p>
          <w:p w14:paraId="49EE9831">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（20分）</w:t>
            </w:r>
          </w:p>
        </w:tc>
        <w:tc>
          <w:tcPr>
            <w:tcW w:w="1319" w:type="dxa"/>
            <w:shd w:val="clear" w:color="auto" w:fill="auto"/>
            <w:vAlign w:val="center"/>
          </w:tcPr>
          <w:p w14:paraId="26D1A28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实践成果转化</w:t>
            </w:r>
            <w:r>
              <w:rPr>
                <w:rFonts w:hint="eastAsia" w:ascii="Times New Roman" w:hAnsi="Times New Roman" w:eastAsia="宋体" w:cs="Times New Roman"/>
                <w:kern w:val="0"/>
                <w:sz w:val="21"/>
                <w:szCs w:val="21"/>
                <w:lang w:eastAsia="zh-CN"/>
              </w:rPr>
              <w:t>情况</w:t>
            </w:r>
          </w:p>
          <w:p w14:paraId="1CA642B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1BABE08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实践案例不少于1</w:t>
            </w:r>
            <w:r>
              <w:rPr>
                <w:rFonts w:hint="eastAsia" w:ascii="Times New Roman" w:hAnsi="Times New Roman" w:eastAsia="宋体" w:cs="Times New Roman"/>
                <w:kern w:val="0"/>
                <w:sz w:val="21"/>
                <w:szCs w:val="21"/>
                <w:lang w:val="en-US" w:eastAsia="zh-CN"/>
              </w:rPr>
              <w:t>0</w:t>
            </w:r>
            <w:r>
              <w:rPr>
                <w:rFonts w:hint="default" w:ascii="Times New Roman" w:hAnsi="Times New Roman" w:eastAsia="宋体" w:cs="Times New Roman"/>
                <w:kern w:val="0"/>
                <w:sz w:val="21"/>
                <w:szCs w:val="21"/>
                <w:lang w:val="en-US" w:eastAsia="zh-CN"/>
              </w:rPr>
              <w:t>个</w:t>
            </w:r>
          </w:p>
        </w:tc>
        <w:tc>
          <w:tcPr>
            <w:tcW w:w="2785" w:type="dxa"/>
            <w:gridSpan w:val="3"/>
            <w:vAlign w:val="center"/>
          </w:tcPr>
          <w:p w14:paraId="3C4C009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召开</w:t>
            </w:r>
            <w:r>
              <w:rPr>
                <w:rFonts w:hint="default" w:ascii="Times New Roman" w:hAnsi="Times New Roman" w:eastAsia="宋体" w:cs="Times New Roman"/>
                <w:kern w:val="0"/>
                <w:sz w:val="21"/>
                <w:szCs w:val="21"/>
                <w:lang w:val="en-US" w:eastAsia="zh-CN"/>
              </w:rPr>
              <w:t>调研成果交流会，在推动民生项目建设、优化营商环境、化解基层矛盾纠纷等工作中，形成</w:t>
            </w:r>
            <w:r>
              <w:rPr>
                <w:rFonts w:hint="eastAsia" w:ascii="Times New Roman" w:hAnsi="Times New Roman" w:eastAsia="宋体" w:cs="Times New Roman"/>
                <w:kern w:val="0"/>
                <w:sz w:val="21"/>
                <w:szCs w:val="21"/>
                <w:lang w:val="en-US" w:eastAsia="zh-CN"/>
              </w:rPr>
              <w:t>了一批</w:t>
            </w:r>
            <w:r>
              <w:rPr>
                <w:rFonts w:hint="default" w:ascii="Times New Roman" w:hAnsi="Times New Roman" w:eastAsia="宋体" w:cs="Times New Roman"/>
                <w:kern w:val="0"/>
                <w:sz w:val="21"/>
                <w:szCs w:val="21"/>
                <w:lang w:val="en-US" w:eastAsia="zh-CN"/>
              </w:rPr>
              <w:t>能切实提升工作效能或改善群众生活的典型案例</w:t>
            </w:r>
            <w:r>
              <w:rPr>
                <w:rFonts w:hint="eastAsia" w:ascii="Times New Roman" w:hAnsi="Times New Roman" w:eastAsia="宋体" w:cs="Times New Roman"/>
                <w:kern w:val="0"/>
                <w:sz w:val="21"/>
                <w:szCs w:val="21"/>
                <w:lang w:val="en-US" w:eastAsia="zh-CN"/>
              </w:rPr>
              <w:t>。</w:t>
            </w:r>
          </w:p>
        </w:tc>
        <w:tc>
          <w:tcPr>
            <w:tcW w:w="1143" w:type="dxa"/>
            <w:vAlign w:val="center"/>
          </w:tcPr>
          <w:p w14:paraId="29FA3D4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456F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1528" w:type="dxa"/>
            <w:vMerge w:val="continue"/>
            <w:vAlign w:val="center"/>
          </w:tcPr>
          <w:p w14:paraId="24EBB6B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rPr>
            </w:pPr>
          </w:p>
        </w:tc>
        <w:tc>
          <w:tcPr>
            <w:tcW w:w="1122" w:type="dxa"/>
            <w:gridSpan w:val="2"/>
            <w:vAlign w:val="center"/>
          </w:tcPr>
          <w:p w14:paraId="11F9216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效益指标</w:t>
            </w:r>
          </w:p>
          <w:p w14:paraId="357EDC8D">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shd w:val="clear" w:color="auto" w:fill="auto"/>
            <w:vAlign w:val="center"/>
          </w:tcPr>
          <w:p w14:paraId="02CE26FE">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长效机制健全情况</w:t>
            </w:r>
          </w:p>
          <w:p w14:paraId="4622F9D2">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03113504">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形成主题教育长效学习与实践机制</w:t>
            </w:r>
          </w:p>
        </w:tc>
        <w:tc>
          <w:tcPr>
            <w:tcW w:w="2785" w:type="dxa"/>
            <w:gridSpan w:val="3"/>
            <w:vAlign w:val="center"/>
          </w:tcPr>
          <w:p w14:paraId="746AC3D0">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形成了包含对系统学习活动规定、对党员干部日常监督考核体系以及问题反馈与持续改进机制。</w:t>
            </w:r>
          </w:p>
        </w:tc>
        <w:tc>
          <w:tcPr>
            <w:tcW w:w="1143" w:type="dxa"/>
            <w:vAlign w:val="center"/>
          </w:tcPr>
          <w:p w14:paraId="28D2BF0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4963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exact"/>
          <w:jc w:val="center"/>
        </w:trPr>
        <w:tc>
          <w:tcPr>
            <w:tcW w:w="1528" w:type="dxa"/>
            <w:vMerge w:val="continue"/>
            <w:vAlign w:val="center"/>
          </w:tcPr>
          <w:p w14:paraId="7F3A75FC">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p>
        </w:tc>
        <w:tc>
          <w:tcPr>
            <w:tcW w:w="1122" w:type="dxa"/>
            <w:gridSpan w:val="2"/>
            <w:vAlign w:val="center"/>
          </w:tcPr>
          <w:p w14:paraId="448BC445">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eastAsia="zh-CN"/>
              </w:rPr>
              <w:t>满意度指标（</w:t>
            </w:r>
            <w:r>
              <w:rPr>
                <w:rFonts w:hint="eastAsia" w:ascii="Times New Roman" w:hAnsi="Times New Roman" w:eastAsia="宋体" w:cs="Times New Roman"/>
                <w:kern w:val="0"/>
                <w:sz w:val="21"/>
                <w:szCs w:val="21"/>
                <w:lang w:val="en-US" w:eastAsia="zh-CN"/>
              </w:rPr>
              <w:t>20分</w:t>
            </w:r>
            <w:r>
              <w:rPr>
                <w:rFonts w:hint="eastAsia" w:ascii="Times New Roman" w:hAnsi="Times New Roman" w:eastAsia="宋体" w:cs="Times New Roman"/>
                <w:kern w:val="0"/>
                <w:sz w:val="21"/>
                <w:szCs w:val="21"/>
                <w:lang w:eastAsia="zh-CN"/>
              </w:rPr>
              <w:t>）</w:t>
            </w:r>
          </w:p>
        </w:tc>
        <w:tc>
          <w:tcPr>
            <w:tcW w:w="1319" w:type="dxa"/>
            <w:shd w:val="clear" w:color="auto" w:fill="auto"/>
            <w:vAlign w:val="center"/>
          </w:tcPr>
          <w:p w14:paraId="112A788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群众满意度反馈情况</w:t>
            </w:r>
          </w:p>
          <w:p w14:paraId="573FB813">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rPr>
              <w:t>（20分）</w:t>
            </w:r>
          </w:p>
        </w:tc>
        <w:tc>
          <w:tcPr>
            <w:tcW w:w="1317" w:type="dxa"/>
            <w:gridSpan w:val="2"/>
            <w:vAlign w:val="center"/>
          </w:tcPr>
          <w:p w14:paraId="5C38F2C6">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综合满意度需达到 90% 以上</w:t>
            </w:r>
          </w:p>
        </w:tc>
        <w:tc>
          <w:tcPr>
            <w:tcW w:w="2785" w:type="dxa"/>
            <w:gridSpan w:val="3"/>
            <w:vAlign w:val="center"/>
          </w:tcPr>
          <w:p w14:paraId="4BD8D887">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eastAsia="zh-CN"/>
              </w:rPr>
              <w:t>服务对象、基层群众对党员干部在主题教育期间工作作风转变、服务质量提升、解决民生问题成效等方面的满意度评价</w:t>
            </w:r>
            <w:r>
              <w:rPr>
                <w:rFonts w:hint="eastAsia" w:ascii="Times New Roman" w:hAnsi="Times New Roman" w:eastAsia="宋体" w:cs="Times New Roman"/>
                <w:kern w:val="0"/>
                <w:sz w:val="21"/>
                <w:szCs w:val="21"/>
                <w:lang w:val="en-US" w:eastAsia="zh-CN"/>
              </w:rPr>
              <w:t>95%以上。</w:t>
            </w:r>
          </w:p>
        </w:tc>
        <w:tc>
          <w:tcPr>
            <w:tcW w:w="1143" w:type="dxa"/>
            <w:vAlign w:val="center"/>
          </w:tcPr>
          <w:p w14:paraId="3A67B8A9">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20</w:t>
            </w:r>
          </w:p>
        </w:tc>
      </w:tr>
      <w:tr w14:paraId="4F77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528" w:type="dxa"/>
            <w:vAlign w:val="center"/>
          </w:tcPr>
          <w:p w14:paraId="32225278">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总分</w:t>
            </w:r>
          </w:p>
        </w:tc>
        <w:tc>
          <w:tcPr>
            <w:tcW w:w="7686" w:type="dxa"/>
            <w:gridSpan w:val="9"/>
            <w:vAlign w:val="center"/>
          </w:tcPr>
          <w:p w14:paraId="1E299C2A">
            <w:pPr>
              <w:keepNext w:val="0"/>
              <w:keepLines w:val="0"/>
              <w:pageBreakBefore w:val="0"/>
              <w:widowControl/>
              <w:kinsoku/>
              <w:wordWrap/>
              <w:overflowPunct/>
              <w:topLinePunct w:val="0"/>
              <w:autoSpaceDE/>
              <w:autoSpaceDN/>
              <w:bidi w:val="0"/>
              <w:adjustRightInd/>
              <w:snapToGrid w:val="0"/>
              <w:spacing w:line="260" w:lineRule="exact"/>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99.72</w:t>
            </w:r>
          </w:p>
        </w:tc>
      </w:tr>
    </w:tbl>
    <w:p w14:paraId="7552E7C3">
      <w:pPr>
        <w:bidi w:val="0"/>
        <w:jc w:val="both"/>
        <w:rPr>
          <w:rFonts w:hint="default"/>
          <w:lang w:val="en-US" w:eastAsia="zh-CN"/>
        </w:rPr>
      </w:pPr>
    </w:p>
    <w:p w14:paraId="181F40A6">
      <w:pPr>
        <w:bidi w:val="0"/>
        <w:jc w:val="both"/>
        <w:rPr>
          <w:rFonts w:hint="default"/>
          <w:lang w:val="en-US" w:eastAsia="zh-CN"/>
        </w:rPr>
      </w:pPr>
    </w:p>
    <w:p w14:paraId="29E40B3A">
      <w:pPr>
        <w:bidi w:val="0"/>
        <w:jc w:val="both"/>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宋体"/>
    <w:panose1 w:val="00000000000000000000"/>
    <w:charset w:val="86"/>
    <w:family w:val="roman"/>
    <w:pitch w:val="default"/>
    <w:sig w:usb0="00000000" w:usb1="00000000" w:usb2="00000010" w:usb3="00000000" w:csb0="00040000" w:csb1="00000000"/>
  </w:font>
  <w:font w:name="FangSong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E9B42">
    <w:pPr>
      <w:pStyle w:val="2"/>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6D4E70">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tfkbd0BAAC/AwAADgAAAGRycy9lMm9Eb2MueG1srVNBrtMwEN0jcQfL&#10;e5q0E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tAnPOXPC0sQv379dfvy6/PzK&#10;lkmf3seK0u48JeLwCgbKnf2RnIn20Aab/kSIUZzUPV/VVQMymS6tV+t1SSFJsflA+MX9dR8ivlFg&#10;WTJqHmh8WVVxehdxTJ1TUjUHt9qYPELj/nIQZvIUqfexx2ThsB8mQntozsSH3gHV6SB84aynLai5&#10;o6XnzLx1JHJamNkIs7GfDeEkXaw5cjaar3FcrKMP+tAR7jI3H/3LI1KnmUBqY6w9dUdzzRJMO5gW&#10;589zzrp/d9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CbX5G3dAQAAvwMAAA4AAAAAAAAA&#10;AQAgAAAAHgEAAGRycy9lMm9Eb2MueG1sUEsFBgAAAAAGAAYAWQEAAG0FAAAAAA==&#10;">
              <v:fill on="f" focussize="0,0"/>
              <v:stroke on="f"/>
              <v:imagedata o:title=""/>
              <o:lock v:ext="edit" aspectratio="f"/>
              <v:textbox inset="0mm,0mm,0mm,0mm" style="mso-fit-shape-to-text:t;">
                <w:txbxContent>
                  <w:p w14:paraId="256D4E70">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2E1YWIwOTNjZTA5NDA2OGQ2YTFlYTJmMjY4YjYifQ=="/>
  </w:docVars>
  <w:rsids>
    <w:rsidRoot w:val="00172A27"/>
    <w:rsid w:val="01413E5F"/>
    <w:rsid w:val="01913FB9"/>
    <w:rsid w:val="022C24DE"/>
    <w:rsid w:val="02B13BCB"/>
    <w:rsid w:val="031A4A2D"/>
    <w:rsid w:val="04814D63"/>
    <w:rsid w:val="04E62E18"/>
    <w:rsid w:val="051F02A6"/>
    <w:rsid w:val="05A36F5B"/>
    <w:rsid w:val="06007F0A"/>
    <w:rsid w:val="06A411DD"/>
    <w:rsid w:val="07261BF2"/>
    <w:rsid w:val="072B545A"/>
    <w:rsid w:val="0739188B"/>
    <w:rsid w:val="07EF46DA"/>
    <w:rsid w:val="082500FC"/>
    <w:rsid w:val="083640B7"/>
    <w:rsid w:val="0A426D43"/>
    <w:rsid w:val="0A6E5D8A"/>
    <w:rsid w:val="0AC0410C"/>
    <w:rsid w:val="0BE8391A"/>
    <w:rsid w:val="0C405504"/>
    <w:rsid w:val="0CCC66B9"/>
    <w:rsid w:val="0D1C7D1F"/>
    <w:rsid w:val="0DB53C92"/>
    <w:rsid w:val="0E910299"/>
    <w:rsid w:val="0E99714E"/>
    <w:rsid w:val="0F9A317D"/>
    <w:rsid w:val="0FF705D0"/>
    <w:rsid w:val="10412071"/>
    <w:rsid w:val="10482BD9"/>
    <w:rsid w:val="11AE5779"/>
    <w:rsid w:val="11DE1CDD"/>
    <w:rsid w:val="13207E3D"/>
    <w:rsid w:val="14704948"/>
    <w:rsid w:val="148C6D03"/>
    <w:rsid w:val="14977C8B"/>
    <w:rsid w:val="15095AC8"/>
    <w:rsid w:val="155E2E9F"/>
    <w:rsid w:val="158F12AA"/>
    <w:rsid w:val="15E93B2E"/>
    <w:rsid w:val="179537FA"/>
    <w:rsid w:val="17E21B65"/>
    <w:rsid w:val="18C843E2"/>
    <w:rsid w:val="1B922EC7"/>
    <w:rsid w:val="1CAC629E"/>
    <w:rsid w:val="1CAE12F2"/>
    <w:rsid w:val="1CF57FD0"/>
    <w:rsid w:val="1ED3045A"/>
    <w:rsid w:val="1F86727A"/>
    <w:rsid w:val="221D6C29"/>
    <w:rsid w:val="24A80E68"/>
    <w:rsid w:val="24C3158E"/>
    <w:rsid w:val="25AE752B"/>
    <w:rsid w:val="25F767DC"/>
    <w:rsid w:val="26C62652"/>
    <w:rsid w:val="291E22D1"/>
    <w:rsid w:val="292875F4"/>
    <w:rsid w:val="296028EA"/>
    <w:rsid w:val="29A6660E"/>
    <w:rsid w:val="29C2556E"/>
    <w:rsid w:val="2B2C0F26"/>
    <w:rsid w:val="2BA72A52"/>
    <w:rsid w:val="2BAC47A7"/>
    <w:rsid w:val="2C7E7C57"/>
    <w:rsid w:val="2E0C3040"/>
    <w:rsid w:val="2F022441"/>
    <w:rsid w:val="30297EDA"/>
    <w:rsid w:val="30D970DA"/>
    <w:rsid w:val="30F960DF"/>
    <w:rsid w:val="31225500"/>
    <w:rsid w:val="32494863"/>
    <w:rsid w:val="32CE4D68"/>
    <w:rsid w:val="334943EF"/>
    <w:rsid w:val="34627E5E"/>
    <w:rsid w:val="35505F08"/>
    <w:rsid w:val="35907136"/>
    <w:rsid w:val="35977693"/>
    <w:rsid w:val="35C0308E"/>
    <w:rsid w:val="366F5E34"/>
    <w:rsid w:val="36EF52AD"/>
    <w:rsid w:val="3703155C"/>
    <w:rsid w:val="378E2D18"/>
    <w:rsid w:val="382B67B9"/>
    <w:rsid w:val="390414E4"/>
    <w:rsid w:val="39161217"/>
    <w:rsid w:val="39FC040D"/>
    <w:rsid w:val="39FF3A59"/>
    <w:rsid w:val="3AAA7E69"/>
    <w:rsid w:val="3CBE720A"/>
    <w:rsid w:val="3D841C8B"/>
    <w:rsid w:val="3E3A7756"/>
    <w:rsid w:val="3F435506"/>
    <w:rsid w:val="3FCA68B7"/>
    <w:rsid w:val="401A15ED"/>
    <w:rsid w:val="41EF2605"/>
    <w:rsid w:val="42F73E67"/>
    <w:rsid w:val="42F9198D"/>
    <w:rsid w:val="44F87A23"/>
    <w:rsid w:val="45F3367D"/>
    <w:rsid w:val="462211FB"/>
    <w:rsid w:val="47705F96"/>
    <w:rsid w:val="4AEB2504"/>
    <w:rsid w:val="4AF764DB"/>
    <w:rsid w:val="4BEF7DD1"/>
    <w:rsid w:val="50C3182D"/>
    <w:rsid w:val="520C4646"/>
    <w:rsid w:val="529C2921"/>
    <w:rsid w:val="52E2243E"/>
    <w:rsid w:val="52F061DD"/>
    <w:rsid w:val="535677D6"/>
    <w:rsid w:val="554300CF"/>
    <w:rsid w:val="56CA56C3"/>
    <w:rsid w:val="586D0244"/>
    <w:rsid w:val="5947124D"/>
    <w:rsid w:val="5C3B671B"/>
    <w:rsid w:val="5CB337F7"/>
    <w:rsid w:val="5DC0337C"/>
    <w:rsid w:val="5DE02E4F"/>
    <w:rsid w:val="5E377974"/>
    <w:rsid w:val="5E8C75FF"/>
    <w:rsid w:val="5F7C39F1"/>
    <w:rsid w:val="604A63EF"/>
    <w:rsid w:val="615564D1"/>
    <w:rsid w:val="625D189B"/>
    <w:rsid w:val="63AC6BB8"/>
    <w:rsid w:val="63E1229E"/>
    <w:rsid w:val="651915C4"/>
    <w:rsid w:val="666C3197"/>
    <w:rsid w:val="669569CB"/>
    <w:rsid w:val="6703077D"/>
    <w:rsid w:val="673100D9"/>
    <w:rsid w:val="675863D3"/>
    <w:rsid w:val="68295FC1"/>
    <w:rsid w:val="68436ED9"/>
    <w:rsid w:val="697D4817"/>
    <w:rsid w:val="69DA3C5F"/>
    <w:rsid w:val="6B4608B8"/>
    <w:rsid w:val="6B6A4927"/>
    <w:rsid w:val="6BE97A28"/>
    <w:rsid w:val="6C4B6506"/>
    <w:rsid w:val="6CAB34E9"/>
    <w:rsid w:val="6DA34120"/>
    <w:rsid w:val="6F563B40"/>
    <w:rsid w:val="6F944668"/>
    <w:rsid w:val="6FD9207B"/>
    <w:rsid w:val="701572ED"/>
    <w:rsid w:val="70310109"/>
    <w:rsid w:val="712205B4"/>
    <w:rsid w:val="715916C6"/>
    <w:rsid w:val="71892679"/>
    <w:rsid w:val="71A768D5"/>
    <w:rsid w:val="71CA611F"/>
    <w:rsid w:val="733C304D"/>
    <w:rsid w:val="73F41B79"/>
    <w:rsid w:val="74B94A52"/>
    <w:rsid w:val="754C4EC9"/>
    <w:rsid w:val="76CE66B2"/>
    <w:rsid w:val="78746DE5"/>
    <w:rsid w:val="79091C23"/>
    <w:rsid w:val="7A0D6076"/>
    <w:rsid w:val="7A7B08FF"/>
    <w:rsid w:val="7A9D6AC7"/>
    <w:rsid w:val="7AA80FC8"/>
    <w:rsid w:val="7B116BBC"/>
    <w:rsid w:val="7B8437E3"/>
    <w:rsid w:val="7B845591"/>
    <w:rsid w:val="7B86755B"/>
    <w:rsid w:val="7C2F71D2"/>
    <w:rsid w:val="7CA852AF"/>
    <w:rsid w:val="7F005876"/>
    <w:rsid w:val="7F007624"/>
    <w:rsid w:val="7FD823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lang w:val="en-US" w:eastAsia="zh-CN"/>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paragraph" w:styleId="4">
    <w:name w:val="footnote text"/>
    <w:basedOn w:val="1"/>
    <w:next w:val="1"/>
    <w:qFormat/>
    <w:uiPriority w:val="0"/>
    <w:pPr>
      <w:snapToGrid w:val="0"/>
      <w:jc w:val="left"/>
    </w:pPr>
    <w:rPr>
      <w:sz w:val="32"/>
      <w:lang w:val="en-US" w:eastAsia="zh-CN"/>
    </w:rPr>
  </w:style>
  <w:style w:type="paragraph" w:customStyle="1" w:styleId="7">
    <w:name w:val="正文缩进 + 首行缩进:  2 字符"/>
    <w:basedOn w:val="1"/>
    <w:qFormat/>
    <w:uiPriority w:val="0"/>
    <w:pPr>
      <w:spacing w:line="560" w:lineRule="exact"/>
      <w:ind w:firstLine="640"/>
      <w:jc w:val="both"/>
    </w:pPr>
    <w:rPr>
      <w:rFonts w:ascii="仿宋" w:hAnsi="仿宋" w:eastAsia="仿宋" w:cs="宋体"/>
      <w:sz w:val="32"/>
      <w:szCs w:val="20"/>
      <w:lang w:val="en-US" w:eastAsia="zh-CN"/>
    </w:rPr>
  </w:style>
  <w:style w:type="paragraph" w:customStyle="1" w:styleId="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
    <w:name w:val="样式1"/>
    <w:basedOn w:val="1"/>
    <w:qFormat/>
    <w:uiPriority w:val="0"/>
    <w:pPr>
      <w:jc w:val="both"/>
    </w:pPr>
    <w:rPr>
      <w:lang w:val="en-US" w:eastAsia="zh-CN"/>
    </w:rPr>
  </w:style>
  <w:style w:type="character" w:customStyle="1" w:styleId="10">
    <w:name w:val="font11"/>
    <w:basedOn w:val="6"/>
    <w:qFormat/>
    <w:uiPriority w:val="0"/>
    <w:rPr>
      <w:rFonts w:hint="default" w:ascii="Times New Roman" w:hAnsi="Times New Roman" w:cs="Times New Roman"/>
      <w:color w:val="000000"/>
      <w:sz w:val="40"/>
      <w:szCs w:val="40"/>
      <w:u w:val="none"/>
    </w:rPr>
  </w:style>
  <w:style w:type="character" w:customStyle="1" w:styleId="11">
    <w:name w:val="font81"/>
    <w:basedOn w:val="6"/>
    <w:qFormat/>
    <w:uiPriority w:val="0"/>
    <w:rPr>
      <w:rFonts w:ascii="方正小标宋简体" w:hAnsi="方正小标宋简体" w:eastAsia="方正小标宋简体" w:cs="方正小标宋简体"/>
      <w:color w:val="000000"/>
      <w:sz w:val="40"/>
      <w:szCs w:val="40"/>
      <w:u w:val="none"/>
    </w:rPr>
  </w:style>
  <w:style w:type="character" w:customStyle="1" w:styleId="12">
    <w:name w:val="font51"/>
    <w:basedOn w:val="6"/>
    <w:qFormat/>
    <w:uiPriority w:val="0"/>
    <w:rPr>
      <w:rFonts w:hint="default" w:ascii="Arial" w:hAnsi="Arial" w:cs="Arial"/>
      <w:color w:val="000000"/>
      <w:sz w:val="20"/>
      <w:szCs w:val="20"/>
      <w:u w:val="none"/>
    </w:rPr>
  </w:style>
  <w:style w:type="character" w:customStyle="1" w:styleId="13">
    <w:name w:val="font41"/>
    <w:basedOn w:val="6"/>
    <w:qFormat/>
    <w:uiPriority w:val="0"/>
    <w:rPr>
      <w:rFonts w:hint="eastAsia" w:ascii="宋体" w:hAnsi="宋体" w:eastAsia="宋体" w:cs="宋体"/>
      <w:color w:val="000000"/>
      <w:sz w:val="20"/>
      <w:szCs w:val="20"/>
      <w:u w:val="none"/>
    </w:rPr>
  </w:style>
  <w:style w:type="character" w:customStyle="1" w:styleId="14">
    <w:name w:val="font6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13068</Words>
  <Characters>14220</Characters>
  <Lines>0</Lines>
  <Paragraphs>0</Paragraphs>
  <TotalTime>0</TotalTime>
  <ScaleCrop>false</ScaleCrop>
  <LinksUpToDate>false</LinksUpToDate>
  <CharactersWithSpaces>14360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W</cp:lastModifiedBy>
  <cp:lastPrinted>2024-08-06T01:26:00Z</cp:lastPrinted>
  <dcterms:modified xsi:type="dcterms:W3CDTF">2025-10-28T07:23:49Z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126F90BF0034408A8E02F507EDCD8D17_13</vt:lpwstr>
  </property>
  <property fmtid="{D5CDD505-2E9C-101B-9397-08002B2CF9AE}" pid="4" name="KSOTemplateDocerSaveRecord">
    <vt:lpwstr>eyJoZGlkIjoiYmE4YzA1ZTlmMWYxYTdiZTZmZjhlOThjYTBjOWNmN2UiLCJ1c2VySWQiOiIzOTE4MzkzMzAifQ==</vt:lpwstr>
  </property>
</Properties>
</file>