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rPr>
        <w:t>随州市统计局“统计专项经费”项目</w:t>
      </w:r>
    </w:p>
    <w:p>
      <w:pPr>
        <w:adjustRightInd w:val="0"/>
        <w:snapToGrid w:val="0"/>
        <w:spacing w:line="360" w:lineRule="auto"/>
        <w:jc w:val="center"/>
        <w:rPr>
          <w:rFonts w:asciiTheme="minorEastAsia" w:hAnsiTheme="minorEastAsia" w:eastAsiaTheme="minorEastAsia" w:cstheme="minorEastAsia"/>
          <w:b/>
          <w:bCs/>
          <w:sz w:val="42"/>
          <w:szCs w:val="42"/>
        </w:rPr>
      </w:pPr>
      <w:r>
        <w:rPr>
          <w:rFonts w:hint="eastAsia" w:asciiTheme="minorEastAsia" w:hAnsiTheme="minorEastAsia" w:eastAsiaTheme="minorEastAsia" w:cstheme="minorEastAsia"/>
          <w:b/>
          <w:bCs/>
          <w:sz w:val="36"/>
          <w:szCs w:val="36"/>
        </w:rPr>
        <w:t>2017年度绩效自评报告</w:t>
      </w:r>
    </w:p>
    <w:p>
      <w:pPr>
        <w:adjustRightInd w:val="0"/>
        <w:snapToGrid w:val="0"/>
        <w:spacing w:line="420" w:lineRule="auto"/>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一、基本情况</w:t>
      </w:r>
    </w:p>
    <w:p>
      <w:pPr>
        <w:adjustRightInd w:val="0"/>
        <w:snapToGrid w:val="0"/>
        <w:spacing w:line="420" w:lineRule="auto"/>
        <w:ind w:firstLine="482" w:firstLineChars="200"/>
        <w:outlineLvl w:val="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1.1预算下达情况</w:t>
      </w:r>
    </w:p>
    <w:p>
      <w:pPr>
        <w:adjustRightInd w:val="0"/>
        <w:snapToGrid w:val="0"/>
        <w:spacing w:line="420" w:lineRule="auto"/>
        <w:ind w:firstLine="480" w:firstLineChars="200"/>
        <w:outlineLvl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根据《随州市财政局关于下达2017年市直部门预算的通知》文件，随州市统计局2017年度统计专项经费项目经</w:t>
      </w:r>
      <w:r>
        <w:rPr>
          <w:rFonts w:hint="eastAsia" w:asciiTheme="minorEastAsia" w:hAnsiTheme="minorEastAsia" w:eastAsiaTheme="minorEastAsia" w:cstheme="minorEastAsia"/>
          <w:color w:val="000000" w:themeColor="text1"/>
          <w:sz w:val="24"/>
        </w:rPr>
        <w:t>费为</w:t>
      </w:r>
      <w:r>
        <w:rPr>
          <w:rFonts w:hint="eastAsia" w:asciiTheme="minorEastAsia" w:hAnsiTheme="minorEastAsia" w:eastAsiaTheme="minorEastAsia" w:cstheme="minorEastAsia"/>
          <w:color w:val="000000" w:themeColor="text1"/>
          <w:sz w:val="24"/>
          <w:lang w:val="en-US" w:eastAsia="zh-CN"/>
        </w:rPr>
        <w:t>6</w:t>
      </w:r>
      <w:r>
        <w:rPr>
          <w:rFonts w:hint="eastAsia" w:asciiTheme="minorEastAsia" w:hAnsiTheme="minorEastAsia" w:eastAsiaTheme="minorEastAsia" w:cstheme="minorEastAsia"/>
          <w:color w:val="000000" w:themeColor="text1"/>
          <w:sz w:val="24"/>
        </w:rPr>
        <w:t>0万元</w:t>
      </w:r>
      <w:r>
        <w:rPr>
          <w:rFonts w:hint="eastAsia" w:asciiTheme="minorEastAsia" w:hAnsiTheme="minorEastAsia" w:eastAsiaTheme="minorEastAsia" w:cstheme="minorEastAsia"/>
          <w:sz w:val="24"/>
        </w:rPr>
        <w:t>。</w:t>
      </w:r>
    </w:p>
    <w:p>
      <w:pPr>
        <w:adjustRightInd w:val="0"/>
        <w:snapToGrid w:val="0"/>
        <w:spacing w:line="420" w:lineRule="auto"/>
        <w:ind w:firstLine="360" w:firstLine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用于项目经费的统计专项经费年初预算</w:t>
      </w:r>
      <w:r>
        <w:rPr>
          <w:rFonts w:hint="eastAsia" w:asciiTheme="minorEastAsia" w:hAnsiTheme="minorEastAsia" w:eastAsiaTheme="minorEastAsia" w:cstheme="minorEastAsia"/>
          <w:sz w:val="24"/>
          <w:lang w:val="en-US" w:eastAsia="zh-CN"/>
        </w:rPr>
        <w:t>6</w:t>
      </w:r>
      <w:r>
        <w:rPr>
          <w:rFonts w:hint="eastAsia" w:asciiTheme="minorEastAsia" w:hAnsiTheme="minorEastAsia" w:eastAsiaTheme="minorEastAsia" w:cstheme="minorEastAsia"/>
          <w:sz w:val="24"/>
        </w:rPr>
        <w:t>0万元。</w:t>
      </w:r>
    </w:p>
    <w:p>
      <w:pPr>
        <w:adjustRightInd w:val="0"/>
        <w:snapToGrid w:val="0"/>
        <w:spacing w:line="420" w:lineRule="auto"/>
        <w:ind w:firstLine="482" w:firstLineChars="200"/>
        <w:outlineLvl w:val="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1.2项目绩效目标</w:t>
      </w:r>
      <w:bookmarkStart w:id="0" w:name="_GoBack"/>
      <w:bookmarkEnd w:id="0"/>
    </w:p>
    <w:p>
      <w:pPr>
        <w:adjustRightInd w:val="0"/>
        <w:snapToGrid w:val="0"/>
        <w:spacing w:line="420" w:lineRule="auto"/>
        <w:ind w:firstLine="480" w:firstLineChars="200"/>
        <w:outlineLvl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1.2.1项目绩效总目标</w:t>
      </w:r>
    </w:p>
    <w:p>
      <w:pPr>
        <w:adjustRightInd w:val="0"/>
        <w:snapToGrid w:val="0"/>
        <w:spacing w:line="420" w:lineRule="auto"/>
        <w:ind w:firstLine="480"/>
        <w:outlineLvl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保障各统计专业业务工作正常开展。</w:t>
      </w:r>
    </w:p>
    <w:p>
      <w:pPr>
        <w:adjustRightInd w:val="0"/>
        <w:snapToGrid w:val="0"/>
        <w:spacing w:line="420" w:lineRule="auto"/>
        <w:ind w:firstLine="480"/>
        <w:outlineLvl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1.2.2项目绩效阶段性目标</w:t>
      </w:r>
    </w:p>
    <w:p>
      <w:pPr>
        <w:adjustRightInd w:val="0"/>
        <w:snapToGrid w:val="0"/>
        <w:spacing w:line="420" w:lineRule="auto"/>
        <w:ind w:firstLine="480"/>
        <w:outlineLvl w:val="0"/>
        <w:rPr>
          <w:rFonts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color w:val="000000" w:themeColor="text1"/>
          <w:sz w:val="24"/>
        </w:rPr>
        <w:t>各统计专业开展日常统计业务。</w:t>
      </w:r>
    </w:p>
    <w:p>
      <w:pPr>
        <w:adjustRightInd w:val="0"/>
        <w:snapToGrid w:val="0"/>
        <w:spacing w:line="420" w:lineRule="auto"/>
        <w:rPr>
          <w:rFonts w:asciiTheme="majorEastAsia" w:hAnsiTheme="majorEastAsia" w:eastAsiaTheme="majorEastAsia" w:cstheme="majorEastAsia"/>
          <w:b/>
          <w:sz w:val="24"/>
        </w:rPr>
      </w:pPr>
      <w:r>
        <w:rPr>
          <w:rFonts w:hint="eastAsia" w:asciiTheme="majorEastAsia" w:hAnsiTheme="majorEastAsia" w:eastAsiaTheme="majorEastAsia" w:cstheme="majorEastAsia"/>
          <w:b/>
          <w:sz w:val="24"/>
        </w:rPr>
        <w:t>二、绩效自评工作开展情况</w:t>
      </w:r>
    </w:p>
    <w:p>
      <w:pPr>
        <w:adjustRightInd w:val="0"/>
        <w:snapToGrid w:val="0"/>
        <w:spacing w:line="420" w:lineRule="auto"/>
        <w:rPr>
          <w:rFonts w:asciiTheme="majorEastAsia" w:hAnsiTheme="majorEastAsia" w:eastAsiaTheme="majorEastAsia" w:cstheme="majorEastAsia"/>
          <w:b/>
          <w:sz w:val="24"/>
        </w:rPr>
      </w:pPr>
      <w:r>
        <w:rPr>
          <w:rFonts w:hint="eastAsia" w:asciiTheme="majorEastAsia" w:hAnsiTheme="majorEastAsia" w:eastAsiaTheme="majorEastAsia" w:cstheme="majorEastAsia"/>
          <w:b/>
          <w:sz w:val="24"/>
        </w:rPr>
        <w:t>   2.1前期准备</w:t>
      </w:r>
    </w:p>
    <w:p>
      <w:pPr>
        <w:adjustRightInd w:val="0"/>
        <w:snapToGrid w:val="0"/>
        <w:spacing w:line="420" w:lineRule="auto"/>
        <w:rPr>
          <w:rFonts w:asciiTheme="majorEastAsia" w:hAnsiTheme="majorEastAsia" w:eastAsiaTheme="majorEastAsia" w:cstheme="majorEastAsia"/>
          <w:bCs/>
          <w:sz w:val="24"/>
        </w:rPr>
      </w:pPr>
      <w:r>
        <w:rPr>
          <w:rFonts w:hint="eastAsia" w:asciiTheme="majorEastAsia" w:hAnsiTheme="majorEastAsia" w:eastAsiaTheme="majorEastAsia" w:cstheme="majorEastAsia"/>
          <w:b/>
          <w:sz w:val="24"/>
        </w:rPr>
        <w:t xml:space="preserve">  </w:t>
      </w:r>
      <w:r>
        <w:rPr>
          <w:rFonts w:hint="eastAsia" w:asciiTheme="majorEastAsia" w:hAnsiTheme="majorEastAsia" w:eastAsiaTheme="majorEastAsia" w:cstheme="majorEastAsia"/>
          <w:bCs/>
          <w:sz w:val="24"/>
        </w:rPr>
        <w:t xml:space="preserve"> 2.1.1建立评价小组。随州市统计局针对该项目实际情况，由单位组织绩效评价小组，具体实施评价工作，做好各项基础资料的收集、核实等工作。</w:t>
      </w:r>
    </w:p>
    <w:p>
      <w:pPr>
        <w:adjustRightInd w:val="0"/>
        <w:snapToGrid w:val="0"/>
        <w:spacing w:line="420" w:lineRule="auto"/>
        <w:rPr>
          <w:rFonts w:asciiTheme="minorEastAsia" w:hAnsiTheme="minorEastAsia" w:eastAsiaTheme="minorEastAsia" w:cstheme="minorEastAsia"/>
          <w:bCs/>
          <w:sz w:val="24"/>
        </w:rPr>
      </w:pPr>
      <w:r>
        <w:rPr>
          <w:rFonts w:hint="eastAsia" w:asciiTheme="majorEastAsia" w:hAnsiTheme="majorEastAsia" w:eastAsiaTheme="majorEastAsia" w:cstheme="majorEastAsia"/>
          <w:bCs/>
          <w:sz w:val="24"/>
        </w:rPr>
        <w:t xml:space="preserve">   </w:t>
      </w:r>
      <w:r>
        <w:rPr>
          <w:rFonts w:hint="eastAsia" w:asciiTheme="minorEastAsia" w:hAnsiTheme="minorEastAsia" w:eastAsiaTheme="minorEastAsia" w:cstheme="minorEastAsia"/>
          <w:bCs/>
          <w:sz w:val="24"/>
        </w:rPr>
        <w:t>2.1.2设计评价方案。评价团队根据相关文件资料合理确定绩效评价的目标，并构建绩效评价框架，具体包括绩效评价原则、评价指标体系、绩效标准及评价方法等。</w:t>
      </w:r>
    </w:p>
    <w:p>
      <w:pPr>
        <w:widowControl/>
        <w:shd w:val="clear" w:color="auto" w:fill="FFFFFF"/>
        <w:adjustRightInd w:val="0"/>
        <w:snapToGrid w:val="0"/>
        <w:spacing w:line="420" w:lineRule="auto"/>
        <w:rPr>
          <w:rFonts w:ascii="宋体" w:cs="宋体"/>
          <w:color w:val="000000"/>
          <w:sz w:val="24"/>
        </w:rPr>
      </w:pPr>
      <w:r>
        <w:rPr>
          <w:rFonts w:hint="eastAsia" w:asciiTheme="minorEastAsia" w:hAnsiTheme="minorEastAsia" w:eastAsiaTheme="minorEastAsia" w:cstheme="minorEastAsia"/>
          <w:color w:val="000000"/>
          <w:kern w:val="0"/>
          <w:sz w:val="24"/>
          <w:shd w:val="clear" w:color="auto" w:fill="FFFFFF"/>
        </w:rPr>
        <w:t xml:space="preserve">    2.1.2.1 评价指标体系与绩效标准</w:t>
      </w:r>
      <w:r>
        <w:rPr>
          <w:rFonts w:hint="eastAsia" w:asciiTheme="minorEastAsia" w:hAnsiTheme="minorEastAsia" w:eastAsiaTheme="minorEastAsia" w:cstheme="minorEastAsia"/>
          <w:color w:val="000000"/>
          <w:kern w:val="0"/>
          <w:sz w:val="24"/>
          <w:shd w:val="clear" w:color="auto" w:fill="FFFFFF"/>
        </w:rPr>
        <w:br w:type="textWrapping"/>
      </w:r>
      <w:r>
        <w:rPr>
          <w:rFonts w:hint="eastAsia" w:asciiTheme="minorEastAsia" w:hAnsiTheme="minorEastAsia" w:eastAsiaTheme="minorEastAsia" w:cstheme="minorEastAsia"/>
          <w:color w:val="000000"/>
          <w:kern w:val="0"/>
          <w:sz w:val="24"/>
          <w:shd w:val="clear" w:color="auto" w:fill="FFFFFF"/>
        </w:rPr>
        <w:t>   对指标体系的设计有三个步骤：第一，通过项目支出绩效评价共性指标体系框架和随州市统计局实际确定基本的指标体系框架。第二，制定绩效评价指标体系评分标准。第三，按照统计专项经费项目绩效评价指标体系进行权重分配，得出各指标相应的评价结果。</w:t>
      </w:r>
      <w:r>
        <w:rPr>
          <w:rFonts w:hint="eastAsia" w:asciiTheme="minorEastAsia" w:hAnsiTheme="minorEastAsia" w:eastAsiaTheme="minorEastAsia" w:cstheme="minorEastAsia"/>
          <w:color w:val="000000"/>
          <w:kern w:val="0"/>
          <w:sz w:val="24"/>
          <w:shd w:val="clear" w:color="auto" w:fill="FFFFFF"/>
        </w:rPr>
        <w:br w:type="textWrapping"/>
      </w:r>
      <w:r>
        <w:rPr>
          <w:rFonts w:hint="eastAsia" w:asciiTheme="minorEastAsia" w:hAnsiTheme="minorEastAsia" w:eastAsiaTheme="minorEastAsia" w:cstheme="minorEastAsia"/>
          <w:color w:val="000000"/>
          <w:kern w:val="0"/>
          <w:sz w:val="24"/>
          <w:shd w:val="clear" w:color="auto" w:fill="FFFFFF"/>
        </w:rPr>
        <w:t>   2.1.2.2 绩效评价权重评定</w:t>
      </w:r>
      <w:r>
        <w:rPr>
          <w:rFonts w:hint="eastAsia" w:asciiTheme="minorEastAsia" w:hAnsiTheme="minorEastAsia" w:eastAsiaTheme="minorEastAsia" w:cstheme="minorEastAsia"/>
          <w:color w:val="000000"/>
          <w:kern w:val="0"/>
          <w:sz w:val="24"/>
          <w:shd w:val="clear" w:color="auto" w:fill="FFFFFF"/>
        </w:rPr>
        <w:br w:type="textWrapping"/>
      </w:r>
      <w:r>
        <w:rPr>
          <w:rFonts w:hint="eastAsia" w:asciiTheme="minorEastAsia" w:hAnsiTheme="minorEastAsia" w:eastAsiaTheme="minorEastAsia" w:cstheme="minorEastAsia"/>
          <w:color w:val="000000"/>
          <w:kern w:val="0"/>
          <w:sz w:val="24"/>
          <w:shd w:val="clear" w:color="auto" w:fill="FFFFFF"/>
        </w:rPr>
        <w:t>   在绩效评价的具体实施管理中，采用了绩效指标打分法评分方式，评价团队借鉴了财政部项目支出绩效评价共性指标体系框架，给予投入（20）的权重分值，管理（25）的权重分值，执行（15）的权重分值，总结（40）的权重分值，总分值为100分。</w:t>
      </w:r>
      <w:r>
        <w:rPr>
          <w:rFonts w:hint="eastAsia" w:asciiTheme="minorEastAsia" w:hAnsiTheme="minorEastAsia" w:eastAsiaTheme="minorEastAsia" w:cstheme="minorEastAsia"/>
          <w:color w:val="000000"/>
          <w:kern w:val="0"/>
          <w:sz w:val="24"/>
          <w:shd w:val="clear" w:color="auto" w:fill="FFFFFF"/>
        </w:rPr>
        <w:br w:type="textWrapping"/>
      </w:r>
      <w:r>
        <w:rPr>
          <w:rFonts w:hint="eastAsia" w:asciiTheme="minorEastAsia" w:hAnsiTheme="minorEastAsia" w:eastAsiaTheme="minorEastAsia" w:cstheme="minorEastAsia"/>
          <w:color w:val="000000"/>
          <w:kern w:val="0"/>
          <w:sz w:val="24"/>
          <w:shd w:val="clear" w:color="auto" w:fill="FFFFFF"/>
        </w:rPr>
        <w:t>   一级指标采用相关文件的建议以及评价小组实际经验确定权重，投入、管理、执行、总结分别占20%、25%、15%、40%。二、三级指标权重由评价组依据各指标的重要性集体研究确定。</w:t>
      </w:r>
      <w:r>
        <w:rPr>
          <w:rFonts w:hint="eastAsia" w:asciiTheme="minorEastAsia" w:hAnsiTheme="minorEastAsia" w:eastAsiaTheme="minorEastAsia" w:cstheme="minorEastAsia"/>
          <w:color w:val="000000"/>
          <w:kern w:val="0"/>
          <w:sz w:val="24"/>
          <w:shd w:val="clear" w:color="auto" w:fill="FFFFFF"/>
        </w:rPr>
        <w:br w:type="textWrapping"/>
      </w:r>
      <w:r>
        <w:rPr>
          <w:rFonts w:hint="eastAsia" w:asciiTheme="minorEastAsia" w:hAnsiTheme="minorEastAsia" w:eastAsiaTheme="minorEastAsia" w:cstheme="minorEastAsia"/>
          <w:color w:val="000000"/>
          <w:kern w:val="0"/>
          <w:sz w:val="24"/>
          <w:shd w:val="clear" w:color="auto" w:fill="FFFFFF"/>
        </w:rPr>
        <w:t>   2.1.2.3 绩效评价方法</w:t>
      </w:r>
      <w:r>
        <w:rPr>
          <w:rFonts w:hint="eastAsia" w:asciiTheme="minorEastAsia" w:hAnsiTheme="minorEastAsia" w:eastAsiaTheme="minorEastAsia" w:cstheme="minorEastAsia"/>
          <w:color w:val="000000"/>
          <w:kern w:val="0"/>
          <w:sz w:val="24"/>
          <w:shd w:val="clear" w:color="auto" w:fill="FFFFFF"/>
        </w:rPr>
        <w:br w:type="textWrapping"/>
      </w:r>
      <w:r>
        <w:rPr>
          <w:rFonts w:hint="eastAsia" w:asciiTheme="minorEastAsia" w:hAnsiTheme="minorEastAsia" w:eastAsiaTheme="minorEastAsia" w:cstheme="minorEastAsia"/>
          <w:color w:val="000000"/>
          <w:kern w:val="0"/>
          <w:sz w:val="24"/>
          <w:shd w:val="clear" w:color="auto" w:fill="FFFFFF"/>
        </w:rPr>
        <w:t xml:space="preserve">     基于项目社会公益性的本质属性，在评价管理中我们采取了绩效指标打分法：</w:t>
      </w:r>
      <w:r>
        <w:rPr>
          <w:rFonts w:hint="eastAsia" w:asciiTheme="minorEastAsia" w:hAnsiTheme="minorEastAsia" w:eastAsiaTheme="minorEastAsia" w:cstheme="minorEastAsia"/>
          <w:color w:val="000000"/>
          <w:kern w:val="0"/>
          <w:sz w:val="24"/>
          <w:shd w:val="clear" w:color="auto" w:fill="FFFFFF"/>
        </w:rPr>
        <w:br w:type="textWrapping"/>
      </w:r>
      <w:r>
        <w:rPr>
          <w:rFonts w:hint="eastAsia" w:asciiTheme="minorEastAsia" w:hAnsiTheme="minorEastAsia" w:eastAsiaTheme="minorEastAsia" w:cstheme="minorEastAsia"/>
          <w:color w:val="000000"/>
          <w:kern w:val="0"/>
          <w:sz w:val="24"/>
          <w:shd w:val="clear" w:color="auto" w:fill="FFFFFF"/>
        </w:rPr>
        <w:t>    评价团队借鉴财政部2015年项目支出绩效评价共性指标体系框架，结合项目的现实特点与行业特征，构造部分特性指标，合理设计指标权重，进而根据项目特点进行打分，最后得出分值所处的等级，形成绩效评价结果。</w:t>
      </w:r>
      <w:r>
        <w:rPr>
          <w:rFonts w:hint="eastAsia" w:asciiTheme="minorEastAsia" w:hAnsiTheme="minorEastAsia" w:eastAsiaTheme="minorEastAsia" w:cstheme="minorEastAsia"/>
          <w:color w:val="000000"/>
          <w:kern w:val="0"/>
          <w:sz w:val="24"/>
          <w:shd w:val="clear" w:color="auto" w:fill="FFFFFF"/>
        </w:rPr>
        <w:br w:type="textWrapping"/>
      </w:r>
      <w:r>
        <w:rPr>
          <w:rFonts w:hint="eastAsia" w:asciiTheme="minorEastAsia" w:hAnsiTheme="minorEastAsia" w:eastAsiaTheme="minorEastAsia" w:cstheme="minorEastAsia"/>
          <w:color w:val="000000"/>
          <w:kern w:val="0"/>
          <w:sz w:val="24"/>
          <w:shd w:val="clear" w:color="auto" w:fill="FFFFFF"/>
        </w:rPr>
        <w:t>   2.1.2.4绩效评价总分值100分，根据综合评分结果，85分以上的为优秀、70-85分为良好，60-70分为中等，60分以下为差。</w:t>
      </w:r>
      <w:r>
        <w:rPr>
          <w:rFonts w:hint="eastAsia" w:asciiTheme="minorEastAsia" w:hAnsiTheme="minorEastAsia" w:eastAsiaTheme="minorEastAsia" w:cstheme="minorEastAsia"/>
          <w:color w:val="000000"/>
          <w:kern w:val="0"/>
          <w:sz w:val="24"/>
          <w:shd w:val="clear" w:color="auto" w:fill="FFFFFF"/>
        </w:rPr>
        <w:br w:type="textWrapping"/>
      </w:r>
      <w:r>
        <w:rPr>
          <w:rFonts w:asciiTheme="minorEastAsia" w:hAnsiTheme="minorEastAsia" w:eastAsiaTheme="minorEastAsia" w:cstheme="minorEastAsia"/>
          <w:color w:val="000000"/>
          <w:kern w:val="0"/>
          <w:sz w:val="24"/>
          <w:shd w:val="clear" w:color="auto" w:fill="FFFFFF"/>
        </w:rPr>
        <w:pict>
          <v:shape id="_x0000_i1025" o:spt="75" alt="IMG_261" type="#_x0000_t75" style="height:147.9pt;width:395.15pt;" filled="f" o:preferrelative="t" stroked="f" coordsize="21600,21600">
            <v:path/>
            <v:fill on="f" focussize="0,0"/>
            <v:stroke on="f" joinstyle="miter"/>
            <v:imagedata r:id="rId5" o:title=""/>
            <o:lock v:ext="edit" aspectratio="t"/>
            <w10:wrap type="none"/>
            <w10:anchorlock/>
          </v:shape>
        </w:pict>
      </w:r>
      <w:r>
        <w:rPr>
          <w:rFonts w:ascii="宋体" w:cs="宋体"/>
          <w:color w:val="000000"/>
          <w:kern w:val="0"/>
          <w:sz w:val="24"/>
          <w:shd w:val="clear" w:color="auto" w:fill="FFFFFF"/>
        </w:rPr>
        <w:t> </w:t>
      </w:r>
    </w:p>
    <w:p>
      <w:pPr>
        <w:widowControl/>
        <w:adjustRightInd w:val="0"/>
        <w:snapToGrid w:val="0"/>
        <w:spacing w:line="420" w:lineRule="auto"/>
        <w:jc w:val="left"/>
        <w:rPr>
          <w:rFonts w:asciiTheme="majorEastAsia" w:hAnsiTheme="majorEastAsia" w:eastAsiaTheme="majorEastAsia" w:cstheme="majorEastAsia"/>
          <w:bCs/>
          <w:sz w:val="24"/>
        </w:rPr>
      </w:pPr>
      <w:r>
        <w:rPr>
          <w:rFonts w:ascii="宋体"/>
          <w:color w:val="000000"/>
          <w:sz w:val="24"/>
          <w:shd w:val="clear" w:color="auto" w:fill="FFFFFF"/>
        </w:rPr>
        <w:t> </w:t>
      </w:r>
      <w:r>
        <w:rPr>
          <w:rFonts w:ascii="宋体" w:hAnsi="宋体"/>
          <w:color w:val="000000"/>
          <w:sz w:val="24"/>
          <w:shd w:val="clear" w:color="auto" w:fill="FFFFFF"/>
        </w:rPr>
        <w:t xml:space="preserve"> </w:t>
      </w:r>
      <w:r>
        <w:rPr>
          <w:rFonts w:hint="eastAsia" w:ascii="宋体" w:hAnsi="宋体"/>
          <w:color w:val="000000"/>
          <w:sz w:val="24"/>
          <w:shd w:val="clear" w:color="auto" w:fill="FFFFFF"/>
        </w:rPr>
        <w:t xml:space="preserve"> </w:t>
      </w:r>
      <w:r>
        <w:rPr>
          <w:rFonts w:hint="eastAsia" w:asciiTheme="majorEastAsia" w:hAnsiTheme="majorEastAsia" w:eastAsiaTheme="majorEastAsia" w:cstheme="majorEastAsia"/>
          <w:bCs/>
          <w:sz w:val="24"/>
        </w:rPr>
        <w:t> 2.1.3下达评价通知。随州市统计局提前下达评价通知，将评价内容、时间及需提供的相关资料等具体要求告知随州市统计局各单位。</w:t>
      </w:r>
    </w:p>
    <w:p>
      <w:pPr>
        <w:adjustRightInd w:val="0"/>
        <w:snapToGrid w:val="0"/>
        <w:spacing w:line="420" w:lineRule="auto"/>
        <w:rPr>
          <w:rFonts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   2.1.4汇总整理资料。项目评价团队将所提交的资料、数据进行整理，并归纳总结，为绩效评价提供有力的数据支撑。</w:t>
      </w:r>
    </w:p>
    <w:p>
      <w:pPr>
        <w:adjustRightInd w:val="0"/>
        <w:snapToGrid w:val="0"/>
        <w:spacing w:line="420" w:lineRule="auto"/>
        <w:rPr>
          <w:rFonts w:asciiTheme="majorEastAsia" w:hAnsiTheme="majorEastAsia" w:eastAsiaTheme="majorEastAsia" w:cstheme="majorEastAsia"/>
          <w:b/>
          <w:sz w:val="24"/>
        </w:rPr>
      </w:pPr>
      <w:r>
        <w:rPr>
          <w:rFonts w:hint="eastAsia" w:asciiTheme="majorEastAsia" w:hAnsiTheme="majorEastAsia" w:eastAsiaTheme="majorEastAsia" w:cstheme="majorEastAsia"/>
          <w:bCs/>
          <w:sz w:val="24"/>
        </w:rPr>
        <w:t>   </w:t>
      </w:r>
      <w:r>
        <w:rPr>
          <w:rFonts w:hint="eastAsia" w:asciiTheme="majorEastAsia" w:hAnsiTheme="majorEastAsia" w:eastAsiaTheme="majorEastAsia" w:cstheme="majorEastAsia"/>
          <w:b/>
          <w:sz w:val="24"/>
        </w:rPr>
        <w:t>2.2组织实施</w:t>
      </w:r>
    </w:p>
    <w:p>
      <w:pPr>
        <w:adjustRightInd w:val="0"/>
        <w:snapToGrid w:val="0"/>
        <w:spacing w:line="420" w:lineRule="auto"/>
        <w:rPr>
          <w:rFonts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   在绩效评价的具体实施管理中，采用了绩效指标打分法。</w:t>
      </w:r>
    </w:p>
    <w:p>
      <w:pPr>
        <w:adjustRightInd w:val="0"/>
        <w:snapToGrid w:val="0"/>
        <w:spacing w:line="420" w:lineRule="auto"/>
        <w:rPr>
          <w:rFonts w:asciiTheme="majorEastAsia" w:hAnsiTheme="majorEastAsia" w:eastAsiaTheme="majorEastAsia" w:cstheme="majorEastAsia"/>
          <w:b/>
          <w:sz w:val="24"/>
        </w:rPr>
      </w:pPr>
      <w:r>
        <w:rPr>
          <w:rFonts w:hint="eastAsia" w:asciiTheme="majorEastAsia" w:hAnsiTheme="majorEastAsia" w:eastAsiaTheme="majorEastAsia" w:cstheme="majorEastAsia"/>
          <w:bCs/>
          <w:sz w:val="24"/>
        </w:rPr>
        <w:t>   </w:t>
      </w:r>
      <w:r>
        <w:rPr>
          <w:rFonts w:hint="eastAsia" w:asciiTheme="majorEastAsia" w:hAnsiTheme="majorEastAsia" w:eastAsiaTheme="majorEastAsia" w:cstheme="majorEastAsia"/>
          <w:b/>
          <w:sz w:val="24"/>
        </w:rPr>
        <w:t>2.3分析评价</w:t>
      </w:r>
    </w:p>
    <w:p>
      <w:pPr>
        <w:adjustRightInd w:val="0"/>
        <w:snapToGrid w:val="0"/>
        <w:spacing w:line="420" w:lineRule="auto"/>
        <w:rPr>
          <w:rFonts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   2.3.1根据现场考评工作获得的信息资料，对该项目进行定性、定量的评价，计算各种评价指标，完成评价各类工作表格的整理，根据统计资料分析该项目的实施效果。</w:t>
      </w:r>
    </w:p>
    <w:p>
      <w:pPr>
        <w:adjustRightInd w:val="0"/>
        <w:snapToGrid w:val="0"/>
        <w:spacing w:line="420" w:lineRule="auto"/>
        <w:rPr>
          <w:rFonts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   2.3.2根据评价指标体系与评价标准，得出评价结论，撰写评价报告。</w:t>
      </w:r>
    </w:p>
    <w:p>
      <w:pPr>
        <w:adjustRightInd w:val="0"/>
        <w:snapToGrid w:val="0"/>
        <w:spacing w:line="420" w:lineRule="auto"/>
        <w:rPr>
          <w:rFonts w:asciiTheme="majorEastAsia" w:hAnsiTheme="majorEastAsia" w:eastAsiaTheme="majorEastAsia" w:cstheme="majorEastAsia"/>
          <w:b/>
          <w:sz w:val="24"/>
        </w:rPr>
      </w:pPr>
      <w:r>
        <w:rPr>
          <w:rFonts w:hint="eastAsia" w:asciiTheme="majorEastAsia" w:hAnsiTheme="majorEastAsia" w:eastAsiaTheme="majorEastAsia" w:cstheme="majorEastAsia"/>
          <w:bCs/>
          <w:sz w:val="24"/>
        </w:rPr>
        <w:t>   </w:t>
      </w:r>
      <w:r>
        <w:rPr>
          <w:rFonts w:hint="eastAsia" w:asciiTheme="majorEastAsia" w:hAnsiTheme="majorEastAsia" w:eastAsiaTheme="majorEastAsia" w:cstheme="majorEastAsia"/>
          <w:b/>
          <w:sz w:val="24"/>
        </w:rPr>
        <w:t>2.4撰写报告阶段</w:t>
      </w:r>
    </w:p>
    <w:p>
      <w:pPr>
        <w:adjustRightInd w:val="0"/>
        <w:snapToGrid w:val="0"/>
        <w:spacing w:line="420" w:lineRule="auto"/>
        <w:ind w:firstLine="720" w:firstLineChars="300"/>
        <w:rPr>
          <w:rFonts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在充分交换意见并作必要的修改后，撰写正式的绩效评价报告。</w:t>
      </w:r>
    </w:p>
    <w:p>
      <w:pPr>
        <w:numPr>
          <w:ilvl w:val="0"/>
          <w:numId w:val="1"/>
        </w:numPr>
        <w:adjustRightInd w:val="0"/>
        <w:snapToGrid w:val="0"/>
        <w:spacing w:line="420" w:lineRule="auto"/>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综合评价结论</w:t>
      </w:r>
    </w:p>
    <w:p>
      <w:pPr>
        <w:widowControl/>
        <w:adjustRightInd w:val="0"/>
        <w:snapToGrid w:val="0"/>
        <w:spacing w:line="420" w:lineRule="auto"/>
        <w:ind w:firstLine="482" w:firstLineChars="200"/>
        <w:jc w:val="left"/>
        <w:rPr>
          <w:rFonts w:asciiTheme="minorEastAsia" w:hAnsiTheme="minorEastAsia" w:eastAsiaTheme="minorEastAsia" w:cstheme="minorEastAsia"/>
          <w:b/>
          <w:bCs/>
          <w:color w:val="000000"/>
          <w:kern w:val="0"/>
          <w:sz w:val="24"/>
          <w:shd w:val="clear" w:color="auto" w:fill="FFFFFF"/>
        </w:rPr>
      </w:pPr>
      <w:r>
        <w:rPr>
          <w:rFonts w:hint="eastAsia" w:asciiTheme="minorEastAsia" w:hAnsiTheme="minorEastAsia" w:eastAsiaTheme="minorEastAsia" w:cstheme="minorEastAsia"/>
          <w:b/>
          <w:bCs/>
          <w:color w:val="000000"/>
          <w:kern w:val="0"/>
          <w:sz w:val="24"/>
          <w:shd w:val="clear" w:color="auto" w:fill="FFFFFF"/>
        </w:rPr>
        <w:t>3.1评分结果</w:t>
      </w:r>
    </w:p>
    <w:p>
      <w:pPr>
        <w:widowControl/>
        <w:adjustRightInd w:val="0"/>
        <w:snapToGrid w:val="0"/>
        <w:spacing w:line="42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color w:val="000000" w:themeColor="text1"/>
          <w:kern w:val="0"/>
          <w:sz w:val="24"/>
          <w:shd w:val="clear" w:color="auto" w:fill="FFFFFF"/>
        </w:rPr>
        <w:t>对本次指标体系中的18个三级指标、6个二级指标、4个一级指标，根据绩效小组成员对每项三级指标的等级评价，结合资料收集、现场勘查、座谈、发放调查问卷以及评价分析等评价程序，2017年度随州市统计局统计专项经费项目绩效评定结果综合得分为84分，评价结果类型为A，评价结果级别为优。其中投入20分（满分13分），过程19分（满分25分），执行13分（满分15分），总结35分（满分40分）。</w:t>
      </w:r>
      <w:r>
        <w:rPr>
          <w:rFonts w:hint="eastAsia" w:asciiTheme="minorEastAsia" w:hAnsiTheme="minorEastAsia" w:eastAsiaTheme="minorEastAsia" w:cstheme="minorEastAsia"/>
          <w:color w:val="000000" w:themeColor="text1"/>
          <w:kern w:val="0"/>
          <w:sz w:val="24"/>
          <w:shd w:val="clear" w:color="auto" w:fill="FFFFFF"/>
        </w:rPr>
        <w:br w:type="textWrapping"/>
      </w:r>
      <w:r>
        <w:rPr>
          <w:rFonts w:hint="eastAsia" w:asciiTheme="minorEastAsia" w:hAnsiTheme="minorEastAsia" w:eastAsiaTheme="minorEastAsia" w:cstheme="minorEastAsia"/>
          <w:color w:val="000000"/>
          <w:kern w:val="0"/>
          <w:sz w:val="24"/>
          <w:shd w:val="clear" w:color="auto" w:fill="FFFFFF"/>
        </w:rPr>
        <w:t xml:space="preserve">    </w:t>
      </w:r>
      <w:r>
        <w:rPr>
          <w:rFonts w:hint="eastAsia" w:asciiTheme="minorEastAsia" w:hAnsiTheme="minorEastAsia" w:eastAsiaTheme="minorEastAsia" w:cstheme="minorEastAsia"/>
          <w:b/>
          <w:bCs/>
          <w:color w:val="000000"/>
          <w:kern w:val="0"/>
          <w:sz w:val="24"/>
          <w:shd w:val="clear" w:color="auto" w:fill="FFFFFF"/>
        </w:rPr>
        <w:t>3.2主要结论</w:t>
      </w:r>
      <w:r>
        <w:rPr>
          <w:rFonts w:hint="eastAsia" w:asciiTheme="minorEastAsia" w:hAnsiTheme="minorEastAsia" w:eastAsiaTheme="minorEastAsia" w:cstheme="minorEastAsia"/>
          <w:b/>
          <w:bCs/>
          <w:color w:val="000000"/>
          <w:kern w:val="0"/>
          <w:sz w:val="24"/>
          <w:shd w:val="clear" w:color="auto" w:fill="FFFFFF"/>
        </w:rPr>
        <w:br w:type="textWrapping"/>
      </w:r>
      <w:r>
        <w:rPr>
          <w:rFonts w:hint="eastAsia" w:asciiTheme="minorEastAsia" w:hAnsiTheme="minorEastAsia" w:eastAsiaTheme="minorEastAsia" w:cstheme="minorEastAsia"/>
          <w:color w:val="000000"/>
          <w:kern w:val="0"/>
          <w:sz w:val="24"/>
          <w:shd w:val="clear" w:color="auto" w:fill="FFFFFF"/>
        </w:rPr>
        <w:t>    通过此次绩效评价得出主要结论如下：</w:t>
      </w:r>
      <w:r>
        <w:rPr>
          <w:rFonts w:hint="eastAsia" w:asciiTheme="minorEastAsia" w:hAnsiTheme="minorEastAsia" w:eastAsiaTheme="minorEastAsia" w:cstheme="minorEastAsia"/>
          <w:color w:val="000000"/>
          <w:kern w:val="0"/>
          <w:sz w:val="24"/>
          <w:shd w:val="clear" w:color="auto" w:fill="FFFFFF"/>
        </w:rPr>
        <w:br w:type="textWrapping"/>
      </w:r>
      <w:r>
        <w:rPr>
          <w:rStyle w:val="7"/>
          <w:rFonts w:hint="eastAsia" w:asciiTheme="minorEastAsia" w:hAnsiTheme="minorEastAsia" w:eastAsiaTheme="minorEastAsia" w:cstheme="minorEastAsia"/>
          <w:color w:val="000000"/>
          <w:kern w:val="0"/>
          <w:sz w:val="24"/>
          <w:shd w:val="clear" w:color="auto" w:fill="FFFFFF"/>
        </w:rPr>
        <w:t>    （1）论证充分，规范申报。</w:t>
      </w:r>
      <w:r>
        <w:rPr>
          <w:rFonts w:hint="eastAsia" w:asciiTheme="minorEastAsia" w:hAnsiTheme="minorEastAsia" w:eastAsiaTheme="minorEastAsia" w:cstheme="minorEastAsia"/>
          <w:color w:val="000000"/>
          <w:kern w:val="0"/>
          <w:sz w:val="24"/>
          <w:shd w:val="clear" w:color="auto" w:fill="FFFFFF"/>
        </w:rPr>
        <w:t>统计专项经费项目根据现实需要和未来发展规划等相关内容进行了充分的论证。</w:t>
      </w:r>
      <w:r>
        <w:rPr>
          <w:rFonts w:hint="eastAsia" w:asciiTheme="minorEastAsia" w:hAnsiTheme="minorEastAsia" w:eastAsiaTheme="minorEastAsia" w:cstheme="minorEastAsia"/>
          <w:color w:val="000000"/>
          <w:kern w:val="0"/>
          <w:sz w:val="24"/>
          <w:shd w:val="clear" w:color="auto" w:fill="FFFFFF"/>
        </w:rPr>
        <w:br w:type="textWrapping"/>
      </w:r>
      <w:r>
        <w:rPr>
          <w:rStyle w:val="7"/>
          <w:rFonts w:hint="eastAsia" w:asciiTheme="minorEastAsia" w:hAnsiTheme="minorEastAsia" w:eastAsiaTheme="minorEastAsia" w:cstheme="minorEastAsia"/>
          <w:color w:val="000000"/>
          <w:kern w:val="0"/>
          <w:sz w:val="24"/>
          <w:shd w:val="clear" w:color="auto" w:fill="FFFFFF"/>
        </w:rPr>
        <w:t>    （2）执行有计划，管理有举措。</w:t>
      </w:r>
      <w:r>
        <w:rPr>
          <w:rFonts w:hint="eastAsia" w:asciiTheme="minorEastAsia" w:hAnsiTheme="minorEastAsia" w:eastAsiaTheme="minorEastAsia" w:cstheme="minorEastAsia"/>
          <w:color w:val="000000"/>
          <w:kern w:val="0"/>
          <w:sz w:val="24"/>
          <w:shd w:val="clear" w:color="auto" w:fill="FFFFFF"/>
        </w:rPr>
        <w:t>项目按计划开展设计了各项活动，项目管理能满足项目有效和顺利地实施，各部门工作开展协调有序，按计划落实并执行了各个项目，实现了计划规定的当期执行。</w:t>
      </w:r>
      <w:r>
        <w:rPr>
          <w:rFonts w:hint="eastAsia" w:asciiTheme="minorEastAsia" w:hAnsiTheme="minorEastAsia" w:eastAsiaTheme="minorEastAsia" w:cstheme="minorEastAsia"/>
          <w:color w:val="000000"/>
          <w:kern w:val="0"/>
          <w:sz w:val="24"/>
          <w:shd w:val="clear" w:color="auto" w:fill="FFFFFF"/>
        </w:rPr>
        <w:br w:type="textWrapping"/>
      </w:r>
      <w:r>
        <w:rPr>
          <w:rStyle w:val="7"/>
          <w:rFonts w:hint="eastAsia" w:asciiTheme="minorEastAsia" w:hAnsiTheme="minorEastAsia" w:eastAsiaTheme="minorEastAsia" w:cstheme="minorEastAsia"/>
          <w:color w:val="000000"/>
          <w:kern w:val="0"/>
          <w:sz w:val="24"/>
          <w:shd w:val="clear" w:color="auto" w:fill="FFFFFF"/>
        </w:rPr>
        <w:t>    （3）以年初绩效为推手，确保绩效较好完成。</w:t>
      </w:r>
      <w:r>
        <w:rPr>
          <w:rFonts w:hint="eastAsia" w:asciiTheme="minorEastAsia" w:hAnsiTheme="minorEastAsia" w:eastAsiaTheme="minorEastAsia" w:cstheme="minorEastAsia"/>
          <w:kern w:val="0"/>
          <w:sz w:val="24"/>
          <w:shd w:val="clear" w:color="auto" w:fill="FFFFFF"/>
        </w:rPr>
        <w:t>项目按照年初计划绩效目标在规定的时间内完成。</w:t>
      </w:r>
    </w:p>
    <w:p>
      <w:pPr>
        <w:adjustRightInd w:val="0"/>
        <w:snapToGrid w:val="0"/>
        <w:spacing w:line="420" w:lineRule="auto"/>
        <w:rPr>
          <w:rFonts w:ascii="黑体" w:hAnsi="黑体" w:eastAsia="黑体" w:cs="黑体"/>
          <w:bCs/>
          <w:szCs w:val="32"/>
        </w:rPr>
      </w:pPr>
      <w:r>
        <w:rPr>
          <w:rFonts w:hint="eastAsia" w:asciiTheme="minorEastAsia" w:hAnsiTheme="minorEastAsia" w:eastAsiaTheme="minorEastAsia" w:cstheme="minorEastAsia"/>
          <w:b/>
          <w:sz w:val="24"/>
        </w:rPr>
        <w:t>四、绩效目标实现情况分析</w:t>
      </w:r>
    </w:p>
    <w:p>
      <w:pPr>
        <w:adjustRightInd w:val="0"/>
        <w:snapToGrid w:val="0"/>
        <w:spacing w:line="420" w:lineRule="auto"/>
        <w:ind w:firstLine="482"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b/>
          <w:bCs/>
          <w:sz w:val="24"/>
        </w:rPr>
        <w:t>4.1项目资金情况分析</w:t>
      </w:r>
    </w:p>
    <w:p>
      <w:pPr>
        <w:adjustRightInd w:val="0"/>
        <w:snapToGrid w:val="0"/>
        <w:spacing w:line="42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4.1.1项目资金到位情况分析</w:t>
      </w:r>
    </w:p>
    <w:p>
      <w:pPr>
        <w:adjustRightInd w:val="0"/>
        <w:snapToGrid w:val="0"/>
        <w:spacing w:line="42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根据随州市统计局财务部门提供的财务数据，财政拨付资金到位25.77万元，所拨资金全部用于“统计专项经费”项目使用，资金到位及时率达到100%。</w:t>
      </w:r>
    </w:p>
    <w:p>
      <w:pPr>
        <w:adjustRightInd w:val="0"/>
        <w:snapToGrid w:val="0"/>
        <w:spacing w:line="42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4.1.2项目资金执行情况分析 </w:t>
      </w:r>
    </w:p>
    <w:p>
      <w:pPr>
        <w:adjustRightInd w:val="0"/>
        <w:snapToGrid w:val="0"/>
        <w:spacing w:line="42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2017年统计专项经费项目实际使用25.77万元。其中办公费1.87万元；印刷费10.02万元；电费2.4万元；差旅费1.81万元；劳务费3.91万元，日常管理费用等5.76万元。</w:t>
      </w:r>
    </w:p>
    <w:p>
      <w:pPr>
        <w:adjustRightInd w:val="0"/>
        <w:snapToGrid w:val="0"/>
        <w:spacing w:line="42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4.1.3项目资金管理情况分析 </w:t>
      </w:r>
    </w:p>
    <w:p>
      <w:pPr>
        <w:adjustRightInd w:val="0"/>
        <w:snapToGrid w:val="0"/>
        <w:spacing w:line="42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统计专项经费项目建立了项目的管理制度，项目资金专款专用，管理情况良好，支出费用严格按照会计管理制度执行。 </w:t>
      </w:r>
    </w:p>
    <w:p>
      <w:pPr>
        <w:adjustRightInd w:val="0"/>
        <w:snapToGrid w:val="0"/>
        <w:spacing w:line="420" w:lineRule="auto"/>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4.2项目绩效指标完成情况分析</w:t>
      </w:r>
    </w:p>
    <w:p>
      <w:pPr>
        <w:adjustRightInd w:val="0"/>
        <w:snapToGrid w:val="0"/>
        <w:spacing w:line="42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4.2.1产出指标完成情况分析</w:t>
      </w:r>
    </w:p>
    <w:p>
      <w:pPr>
        <w:numPr>
          <w:ilvl w:val="0"/>
          <w:numId w:val="2"/>
        </w:numPr>
        <w:adjustRightInd w:val="0"/>
        <w:snapToGrid w:val="0"/>
        <w:spacing w:line="420" w:lineRule="auto"/>
        <w:ind w:firstLine="480" w:firstLineChars="200"/>
        <w:rPr>
          <w:rFonts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color w:val="000000" w:themeColor="text1"/>
          <w:sz w:val="24"/>
        </w:rPr>
        <w:t>提升统计数据质量。在全市范围内组织开展数据质量核查6次，共核查企业81家。其中工业企业25家，投资项目56个，共核减虚报工业总产值56059万元，虚报固定资产投资完成额75899万元，核增漏报工业总产值6140.7万元。</w:t>
      </w:r>
    </w:p>
    <w:p>
      <w:pPr>
        <w:numPr>
          <w:ilvl w:val="0"/>
          <w:numId w:val="2"/>
        </w:numPr>
        <w:adjustRightInd w:val="0"/>
        <w:snapToGrid w:val="0"/>
        <w:spacing w:line="420" w:lineRule="auto"/>
        <w:ind w:firstLine="480" w:firstLineChars="200"/>
        <w:rPr>
          <w:rFonts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color w:val="000000" w:themeColor="text1"/>
          <w:sz w:val="24"/>
        </w:rPr>
        <w:t>加强乡镇统计基础建设。在全市开展了统计基层基础建设工作“回头看”活动，巩固乡镇统计“八有八化”和村级统计“五有五化”成果，全市所有乡镇基本实现“八有八化”，92.7%的村实现了“五有五化”，全市统计基层基础分层治理体系进一步完备。</w:t>
      </w:r>
    </w:p>
    <w:p>
      <w:pPr>
        <w:numPr>
          <w:ilvl w:val="0"/>
          <w:numId w:val="2"/>
        </w:numPr>
        <w:adjustRightInd w:val="0"/>
        <w:snapToGrid w:val="0"/>
        <w:spacing w:line="420" w:lineRule="auto"/>
        <w:ind w:firstLine="480" w:firstLineChars="200"/>
        <w:rPr>
          <w:rFonts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color w:val="000000" w:themeColor="text1"/>
          <w:sz w:val="24"/>
        </w:rPr>
        <w:t>积极创新数库智库建设。每月数据反馈后第一时间利用短信向市领导报告，服务领导决策；坚持编印《统计年鉴》、《领导干部手册》和《统计月报》等统计产品，服务部门需求；在《随州日报》、随州政府门户网站等市级主流媒体发布各种统计公报，服务社会大众；积极探索新媒体服务模式，开通创建了随州统计微信公众号。“数库”服务保障开创立体化多元化新模式。</w:t>
      </w:r>
    </w:p>
    <w:p>
      <w:pPr>
        <w:adjustRightInd w:val="0"/>
        <w:snapToGrid w:val="0"/>
        <w:spacing w:line="420" w:lineRule="auto"/>
        <w:ind w:firstLine="480" w:firstLineChars="200"/>
        <w:rPr>
          <w:rFonts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color w:val="000000" w:themeColor="text1"/>
          <w:sz w:val="24"/>
        </w:rPr>
        <w:t>4.2.2效益指标完成情况分析</w:t>
      </w:r>
    </w:p>
    <w:p>
      <w:pPr>
        <w:adjustRightInd w:val="0"/>
        <w:snapToGrid w:val="0"/>
        <w:spacing w:line="420" w:lineRule="auto"/>
        <w:ind w:firstLine="480" w:firstLineChars="200"/>
        <w:rPr>
          <w:rFonts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color w:val="000000" w:themeColor="text1"/>
          <w:sz w:val="24"/>
        </w:rPr>
        <w:t>（1）圆满完成省统计局移交的部分项目虚报固定资产投资额案件的调查核实工作，执法效果得到省局好评。</w:t>
      </w:r>
    </w:p>
    <w:p>
      <w:pPr>
        <w:adjustRightInd w:val="0"/>
        <w:snapToGrid w:val="0"/>
        <w:spacing w:line="420" w:lineRule="auto"/>
        <w:ind w:left="960" w:leftChars="150" w:hanging="480" w:hangingChars="200"/>
        <w:rPr>
          <w:rFonts w:hint="eastAsia"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color w:val="000000" w:themeColor="text1"/>
          <w:sz w:val="24"/>
        </w:rPr>
        <w:t>（2）实现县级统计机构规范化建设达标“全覆盖”的目标，并对照验收条件对硬</w:t>
      </w:r>
    </w:p>
    <w:p>
      <w:pPr>
        <w:adjustRightInd w:val="0"/>
        <w:snapToGrid w:val="0"/>
        <w:spacing w:line="420" w:lineRule="auto"/>
        <w:rPr>
          <w:rFonts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color w:val="000000" w:themeColor="text1"/>
          <w:sz w:val="24"/>
        </w:rPr>
        <w:t>件软件进行改造和完善，脚踏实地、稳步推进。</w:t>
      </w:r>
    </w:p>
    <w:p>
      <w:pPr>
        <w:adjustRightInd w:val="0"/>
        <w:snapToGrid w:val="0"/>
        <w:spacing w:line="420" w:lineRule="auto"/>
        <w:ind w:firstLine="600" w:firstLineChars="250"/>
        <w:rPr>
          <w:rFonts w:asciiTheme="minorEastAsia" w:hAnsiTheme="minorEastAsia" w:eastAsiaTheme="minorEastAsia" w:cstheme="minorEastAsia"/>
          <w:color w:val="000000" w:themeColor="text1"/>
          <w:sz w:val="24"/>
        </w:rPr>
      </w:pPr>
      <w:r>
        <w:rPr>
          <w:rFonts w:hint="eastAsia" w:asciiTheme="minorEastAsia" w:hAnsiTheme="minorEastAsia" w:eastAsiaTheme="minorEastAsia" w:cstheme="minorEastAsia"/>
          <w:color w:val="000000" w:themeColor="text1"/>
          <w:sz w:val="24"/>
        </w:rPr>
        <w:t>（3）优化“数库、智库”服务方式，大量及时、准确、高质量的统计信息分析为市领导及时掌握经济运行情况，科学调度和决策提供了很好的依据。有效增强了市领导和部门经济调度的有效性和针对性</w:t>
      </w:r>
    </w:p>
    <w:p>
      <w:pPr>
        <w:adjustRightInd w:val="0"/>
        <w:snapToGrid w:val="0"/>
        <w:spacing w:line="42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4.2.3满意度指标完成情况分析</w:t>
      </w:r>
    </w:p>
    <w:p>
      <w:pPr>
        <w:numPr>
          <w:ilvl w:val="0"/>
          <w:numId w:val="3"/>
        </w:numPr>
        <w:adjustRightInd w:val="0"/>
        <w:snapToGrid w:val="0"/>
        <w:spacing w:line="42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通过自评，我们认为项目支出合理、有效，达到了项目绩效目标。</w:t>
      </w:r>
    </w:p>
    <w:p>
      <w:pPr>
        <w:numPr>
          <w:ilvl w:val="0"/>
          <w:numId w:val="3"/>
        </w:numPr>
        <w:adjustRightInd w:val="0"/>
        <w:snapToGrid w:val="0"/>
        <w:spacing w:line="42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社会公众调整满意度在9</w:t>
      </w:r>
      <w:r>
        <w:rPr>
          <w:rFonts w:hint="eastAsia" w:asciiTheme="minorEastAsia" w:hAnsiTheme="minorEastAsia" w:eastAsiaTheme="minorEastAsia" w:cstheme="minorEastAsia"/>
          <w:sz w:val="24"/>
          <w:lang w:val="en-US" w:eastAsia="zh-CN"/>
        </w:rPr>
        <w:t>5</w:t>
      </w:r>
      <w:r>
        <w:rPr>
          <w:rFonts w:hint="eastAsia" w:asciiTheme="minorEastAsia" w:hAnsiTheme="minorEastAsia" w:eastAsiaTheme="minorEastAsia" w:cstheme="minorEastAsia"/>
          <w:sz w:val="24"/>
        </w:rPr>
        <w:t>%以上。</w:t>
      </w:r>
    </w:p>
    <w:p>
      <w:pPr>
        <w:adjustRightInd w:val="0"/>
        <w:snapToGrid w:val="0"/>
        <w:spacing w:line="420" w:lineRule="auto"/>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五、绩效目标未完成原因和下一步改进措施</w:t>
      </w:r>
    </w:p>
    <w:p>
      <w:pPr>
        <w:adjustRightInd w:val="0"/>
        <w:snapToGrid w:val="0"/>
        <w:spacing w:line="420" w:lineRule="auto"/>
        <w:rPr>
          <w:rFonts w:asciiTheme="minorEastAsia" w:hAnsiTheme="minorEastAsia" w:eastAsiaTheme="minorEastAsia" w:cstheme="minorEastAsia"/>
          <w:bCs/>
          <w:sz w:val="24"/>
        </w:rPr>
      </w:pPr>
      <w:r>
        <w:rPr>
          <w:rFonts w:hint="eastAsia" w:asciiTheme="minorEastAsia" w:hAnsiTheme="minorEastAsia" w:eastAsiaTheme="minorEastAsia" w:cstheme="minorEastAsia"/>
          <w:b/>
          <w:sz w:val="24"/>
        </w:rPr>
        <w:t xml:space="preserve">    </w:t>
      </w:r>
      <w:r>
        <w:rPr>
          <w:rFonts w:hint="eastAsia" w:asciiTheme="minorEastAsia" w:hAnsiTheme="minorEastAsia" w:eastAsiaTheme="minorEastAsia" w:cstheme="minorEastAsia"/>
          <w:bCs/>
          <w:sz w:val="24"/>
        </w:rPr>
        <w:t>通过评价小组意见，绩效目标均已实现完成，没有未完成的目标。</w:t>
      </w:r>
    </w:p>
    <w:p>
      <w:pPr>
        <w:numPr>
          <w:ilvl w:val="0"/>
          <w:numId w:val="4"/>
        </w:numPr>
        <w:adjustRightInd w:val="0"/>
        <w:snapToGrid w:val="0"/>
        <w:spacing w:line="420" w:lineRule="auto"/>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绩效自评结果拟应用和公开情况</w:t>
      </w:r>
    </w:p>
    <w:p>
      <w:pPr>
        <w:adjustRightInd w:val="0"/>
        <w:snapToGrid w:val="0"/>
        <w:spacing w:line="420" w:lineRule="auto"/>
        <w:ind w:firstLine="481"/>
        <w:rPr>
          <w:rFonts w:asciiTheme="minorEastAsia" w:hAnsiTheme="minorEastAsia" w:eastAsiaTheme="minorEastAsia" w:cstheme="minorEastAsia"/>
          <w:color w:val="000000" w:themeColor="text1"/>
          <w:kern w:val="0"/>
          <w:sz w:val="24"/>
          <w:shd w:val="clear" w:color="auto" w:fill="FFFFFF"/>
        </w:rPr>
      </w:pPr>
      <w:r>
        <w:rPr>
          <w:rFonts w:hint="eastAsia" w:asciiTheme="minorEastAsia" w:hAnsiTheme="minorEastAsia" w:eastAsiaTheme="minorEastAsia" w:cstheme="minorEastAsia"/>
          <w:sz w:val="24"/>
        </w:rPr>
        <w:t>统计专项经费支出与项目立项申请相一致，达到了项目绩效要求</w:t>
      </w:r>
      <w:r>
        <w:rPr>
          <w:rFonts w:hint="eastAsia" w:asciiTheme="minorEastAsia" w:hAnsiTheme="minorEastAsia" w:eastAsiaTheme="minorEastAsia" w:cstheme="minorEastAsia"/>
          <w:color w:val="000000" w:themeColor="text1"/>
          <w:sz w:val="24"/>
        </w:rPr>
        <w:t>。</w:t>
      </w:r>
      <w:r>
        <w:rPr>
          <w:rFonts w:hint="eastAsia" w:asciiTheme="minorEastAsia" w:hAnsiTheme="minorEastAsia" w:eastAsiaTheme="minorEastAsia" w:cstheme="minorEastAsia"/>
          <w:color w:val="000000" w:themeColor="text1"/>
          <w:kern w:val="0"/>
          <w:sz w:val="24"/>
          <w:shd w:val="clear" w:color="auto" w:fill="FFFFFF"/>
        </w:rPr>
        <w:t>评定结果综合得分为84分，评价结果类型为A，评价结果级别为优。</w:t>
      </w:r>
    </w:p>
    <w:p>
      <w:pPr>
        <w:numPr>
          <w:ilvl w:val="0"/>
          <w:numId w:val="4"/>
        </w:numPr>
        <w:adjustRightInd w:val="0"/>
        <w:snapToGrid w:val="0"/>
        <w:spacing w:line="420" w:lineRule="auto"/>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绩效自评工作的经验、问题和建议</w:t>
      </w:r>
    </w:p>
    <w:p>
      <w:pPr>
        <w:adjustRightInd w:val="0"/>
        <w:snapToGrid w:val="0"/>
        <w:spacing w:line="42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7.1主要经验及做法</w:t>
      </w:r>
    </w:p>
    <w:p>
      <w:pPr>
        <w:adjustRightInd w:val="0"/>
        <w:snapToGrid w:val="0"/>
        <w:spacing w:line="420" w:lineRule="auto"/>
        <w:rPr>
          <w:rFonts w:asciiTheme="minorEastAsia" w:hAnsiTheme="minorEastAsia" w:eastAsiaTheme="minorEastAsia" w:cstheme="minorEastAsia"/>
          <w:bCs/>
          <w:sz w:val="24"/>
        </w:rPr>
      </w:pPr>
      <w:r>
        <w:rPr>
          <w:rFonts w:hint="eastAsia" w:asciiTheme="minorEastAsia" w:hAnsiTheme="minorEastAsia" w:eastAsiaTheme="minorEastAsia" w:cstheme="minorEastAsia"/>
          <w:b/>
          <w:sz w:val="24"/>
        </w:rPr>
        <w:t xml:space="preserve">   </w:t>
      </w:r>
      <w:r>
        <w:rPr>
          <w:rFonts w:hint="eastAsia" w:asciiTheme="minorEastAsia" w:hAnsiTheme="minorEastAsia" w:eastAsiaTheme="minorEastAsia" w:cstheme="minorEastAsia"/>
          <w:bCs/>
          <w:sz w:val="24"/>
        </w:rPr>
        <w:t>通过本次绩效评价，我们总结出项目实施中如下几点经验：</w:t>
      </w:r>
    </w:p>
    <w:p>
      <w:pPr>
        <w:adjustRightInd w:val="0"/>
        <w:snapToGrid w:val="0"/>
        <w:spacing w:line="420" w:lineRule="auto"/>
        <w:ind w:firstLine="480" w:firstLineChars="200"/>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7.1.1领导重视、积极组织。项目一直受到随州市统计局领导和各部门的重视和支持，组织召开多次会议，为项目的顺利开展发挥了重要的作用。</w:t>
      </w:r>
    </w:p>
    <w:p>
      <w:pPr>
        <w:adjustRightInd w:val="0"/>
        <w:snapToGrid w:val="0"/>
        <w:spacing w:line="420" w:lineRule="auto"/>
        <w:ind w:firstLine="480" w:firstLineChars="200"/>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7.1.2协同配合，程序管理。充分发挥部门的职能作用，按照既定的程序管理，推动项目有序进行。</w:t>
      </w:r>
    </w:p>
    <w:p>
      <w:pPr>
        <w:adjustRightInd w:val="0"/>
        <w:snapToGrid w:val="0"/>
        <w:spacing w:line="420" w:lineRule="auto"/>
        <w:ind w:firstLine="480" w:firstLineChars="200"/>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7.1.3注重绩效，狠抓落实。年初绩效目标设定明确，统计专项经费项目长期目标与年度目标勾稽性强，绩效指标对全年项目工作具有指导作用，确保项目2017年度绩效目标落实</w:t>
      </w:r>
    </w:p>
    <w:p>
      <w:pPr>
        <w:adjustRightInd w:val="0"/>
        <w:snapToGrid w:val="0"/>
        <w:spacing w:line="42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7.2存在的问题</w:t>
      </w:r>
    </w:p>
    <w:p>
      <w:pPr>
        <w:adjustRightInd w:val="0"/>
        <w:snapToGrid w:val="0"/>
        <w:spacing w:line="420" w:lineRule="auto"/>
        <w:ind w:firstLine="480" w:firstLineChars="200"/>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通过这次绩效评价，发现了一些在部门支出、项目管理实施管理处中存在的一些问题和不足，主要有以下几点：</w:t>
      </w:r>
    </w:p>
    <w:p>
      <w:pPr>
        <w:adjustRightInd w:val="0"/>
        <w:snapToGrid w:val="0"/>
        <w:spacing w:line="420" w:lineRule="auto"/>
        <w:ind w:firstLine="480" w:firstLineChars="200"/>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7.2.1项目绩效指标设计需进一步加强。项目绩效指标设计多为定性指标，缺乏定量指标。</w:t>
      </w:r>
    </w:p>
    <w:p>
      <w:pPr>
        <w:adjustRightInd w:val="0"/>
        <w:snapToGrid w:val="0"/>
        <w:spacing w:line="420" w:lineRule="auto"/>
        <w:ind w:firstLine="480" w:firstLineChars="200"/>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7.2.2项目管理制度需进一步完善。在项目管理方面，项目管理制度需进一步完善，管理制度健全性有待完善，具体项目支出有待科学规划。只有完善制度管理才能更好地协调项目，保证项目长远目标的贯彻执行和预定目标的实现。</w:t>
      </w:r>
    </w:p>
    <w:p>
      <w:pPr>
        <w:adjustRightInd w:val="0"/>
        <w:snapToGrid w:val="0"/>
        <w:spacing w:line="42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7.3建议和改进举措</w:t>
      </w:r>
    </w:p>
    <w:p>
      <w:pPr>
        <w:adjustRightInd w:val="0"/>
        <w:snapToGrid w:val="0"/>
        <w:spacing w:line="420" w:lineRule="auto"/>
        <w:ind w:firstLine="480" w:firstLineChars="200"/>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针对上述存在的问题，提出以下相应的工作改进建议和改进举措：</w:t>
      </w:r>
    </w:p>
    <w:p>
      <w:pPr>
        <w:adjustRightInd w:val="0"/>
        <w:snapToGrid w:val="0"/>
        <w:spacing w:line="420" w:lineRule="auto"/>
        <w:ind w:firstLine="480" w:firstLineChars="200"/>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7.3.1进一步加强制度建设。制度是项目实施的保障，如应建立项目管理制度、专项资金管理制度。完善项目管理制度，对项目管理进行管理，前期制定完整的工作计划，采用责任到人，分配各项工作。健全项目管理责任制。强化管理部门责任，不断增强项目执行的严肃性和约束力，做好项目资料收集、汇总、整理等工作。</w:t>
      </w:r>
    </w:p>
    <w:p>
      <w:pPr>
        <w:adjustRightInd w:val="0"/>
        <w:snapToGrid w:val="0"/>
        <w:spacing w:line="420" w:lineRule="auto"/>
        <w:ind w:firstLine="480" w:firstLineChars="200"/>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7.3.2进一步健全监控机制。完善项目管理内部控制制度，严格执行绩效监控，对预算执行进行有效跟踪；建立项目实施单位的内部岗位约束机制和责任追究机制；扩大预决算信息公开范围，接受社会监督。此外，更加需要重点探索加强监督预算编审环节，虽然目前专项资金预算编制是采取零基预算的编制方法，但从专项事业开展的延续性、阶段性和发展性来看，完全可以从以往专项资金的使用绩效取得的第一手资料来监督下一年度专项资金的预算编制，建立健全循环财政监督机制。   </w:t>
      </w:r>
    </w:p>
    <w:p>
      <w:pPr>
        <w:adjustRightInd w:val="0"/>
        <w:snapToGrid w:val="0"/>
        <w:spacing w:line="420" w:lineRule="auto"/>
        <w:rPr>
          <w:rFonts w:ascii="黑体" w:hAnsi="黑体" w:eastAsia="黑体" w:cs="黑体"/>
          <w:bCs/>
          <w:szCs w:val="32"/>
        </w:rPr>
      </w:pPr>
      <w:r>
        <w:rPr>
          <w:rFonts w:hint="eastAsia" w:asciiTheme="minorEastAsia" w:hAnsiTheme="minorEastAsia" w:eastAsiaTheme="minorEastAsia" w:cstheme="minorEastAsia"/>
          <w:b/>
          <w:sz w:val="24"/>
        </w:rPr>
        <w:t>八、其他需说明的问题</w:t>
      </w:r>
      <w:r>
        <w:rPr>
          <w:rFonts w:hint="eastAsia" w:ascii="黑体" w:hAnsi="黑体" w:eastAsia="黑体" w:cs="黑体"/>
          <w:bCs/>
          <w:szCs w:val="32"/>
        </w:rPr>
        <w:t>。</w:t>
      </w:r>
    </w:p>
    <w:p>
      <w:pPr>
        <w:adjustRightInd w:val="0"/>
        <w:snapToGrid w:val="0"/>
        <w:spacing w:line="420" w:lineRule="auto"/>
        <w:ind w:firstLine="482" w:firstLineChars="200"/>
      </w:pPr>
      <w:r>
        <w:rPr>
          <w:rFonts w:hint="eastAsia" w:asciiTheme="minorEastAsia" w:hAnsiTheme="minorEastAsia" w:eastAsiaTheme="minorEastAsia" w:cstheme="minorEastAsia"/>
          <w:b/>
          <w:bCs/>
          <w:sz w:val="24"/>
        </w:rPr>
        <w:t>无</w:t>
      </w:r>
    </w:p>
    <w:p>
      <w:pPr>
        <w:adjustRightInd w:val="0"/>
        <w:snapToGrid w:val="0"/>
        <w:spacing w:line="420" w:lineRule="auto"/>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附：随州市统计局“统计专项经费”项目绩效目标自评表</w:t>
      </w:r>
    </w:p>
    <w:p>
      <w:pPr>
        <w:adjustRightInd w:val="0"/>
        <w:snapToGrid w:val="0"/>
        <w:spacing w:line="420" w:lineRule="auto"/>
        <w:ind w:firstLine="481"/>
        <w:rPr>
          <w:rFonts w:asciiTheme="minorEastAsia" w:hAnsiTheme="minorEastAsia" w:eastAsiaTheme="minorEastAsia" w:cstheme="minorEastAsia"/>
          <w:color w:val="000000" w:themeColor="text1"/>
          <w:kern w:val="0"/>
          <w:sz w:val="24"/>
          <w:shd w:val="clear" w:color="auto" w:fill="FFFFFF"/>
        </w:rPr>
      </w:pPr>
    </w:p>
    <w:p>
      <w:pPr>
        <w:adjustRightInd w:val="0"/>
        <w:snapToGrid w:val="0"/>
        <w:spacing w:line="420" w:lineRule="auto"/>
        <w:rPr>
          <w:rFonts w:asciiTheme="minorEastAsia" w:hAnsiTheme="minorEastAsia" w:eastAsiaTheme="minorEastAsia" w:cstheme="minorEastAsia"/>
          <w:b/>
          <w:sz w:val="24"/>
        </w:rPr>
      </w:pPr>
    </w:p>
    <w:p>
      <w:pPr>
        <w:adjustRightInd w:val="0"/>
        <w:snapToGrid w:val="0"/>
        <w:spacing w:line="420" w:lineRule="auto"/>
        <w:jc w:val="left"/>
        <w:rPr>
          <w:sz w:val="28"/>
          <w:szCs w:val="28"/>
        </w:rPr>
      </w:pPr>
      <w:r>
        <w:rPr>
          <w:rFonts w:hint="eastAsia" w:asciiTheme="minorEastAsia" w:hAnsiTheme="minorEastAsia" w:eastAsiaTheme="minorEastAsia" w:cstheme="minorEastAsia"/>
          <w:color w:val="000000"/>
          <w:sz w:val="24"/>
          <w:shd w:val="clear" w:color="auto" w:fill="FFFFFF"/>
        </w:rPr>
        <w:t xml:space="preserve"> </w:t>
      </w:r>
    </w:p>
    <w:sectPr>
      <w:footerReference r:id="rId3" w:type="default"/>
      <w:pgSz w:w="11906" w:h="16838"/>
      <w:pgMar w:top="1418" w:right="1418" w:bottom="1134" w:left="1418" w:header="851" w:footer="851" w:gutter="0"/>
      <w:cols w:space="425" w:num="1"/>
      <w:docGrid w:type="lines" w:linePitch="6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joinstyle="miter"/>
          <v:imagedata o:title=""/>
          <o:lock v:ext="edit"/>
          <v:textbox inset="0mm,0mm,0mm,0mm" style="mso-fit-shape-to-text:t;">
            <w:txbxContent>
              <w:p>
                <w:pPr>
                  <w:pStyle w:val="4"/>
                  <w:rPr>
                    <w:rFonts w:eastAsia="仿宋_GB2312"/>
                  </w:rPr>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4E9E30"/>
    <w:multiLevelType w:val="singleLevel"/>
    <w:tmpl w:val="AC4E9E30"/>
    <w:lvl w:ilvl="0" w:tentative="0">
      <w:start w:val="3"/>
      <w:numFmt w:val="chineseCounting"/>
      <w:suff w:val="nothing"/>
      <w:lvlText w:val="%1、"/>
      <w:lvlJc w:val="left"/>
      <w:rPr>
        <w:rFonts w:hint="eastAsia"/>
      </w:rPr>
    </w:lvl>
  </w:abstractNum>
  <w:abstractNum w:abstractNumId="1">
    <w:nsid w:val="EC3A3235"/>
    <w:multiLevelType w:val="singleLevel"/>
    <w:tmpl w:val="EC3A3235"/>
    <w:lvl w:ilvl="0" w:tentative="0">
      <w:start w:val="6"/>
      <w:numFmt w:val="chineseCounting"/>
      <w:suff w:val="nothing"/>
      <w:lvlText w:val="%1、"/>
      <w:lvlJc w:val="left"/>
      <w:rPr>
        <w:rFonts w:hint="eastAsia"/>
      </w:rPr>
    </w:lvl>
  </w:abstractNum>
  <w:abstractNum w:abstractNumId="2">
    <w:nsid w:val="281EF27F"/>
    <w:multiLevelType w:val="singleLevel"/>
    <w:tmpl w:val="281EF27F"/>
    <w:lvl w:ilvl="0" w:tentative="0">
      <w:start w:val="1"/>
      <w:numFmt w:val="decimal"/>
      <w:suff w:val="nothing"/>
      <w:lvlText w:val="（%1）"/>
      <w:lvlJc w:val="left"/>
    </w:lvl>
  </w:abstractNum>
  <w:abstractNum w:abstractNumId="3">
    <w:nsid w:val="62ACA36F"/>
    <w:multiLevelType w:val="singleLevel"/>
    <w:tmpl w:val="62ACA36F"/>
    <w:lvl w:ilvl="0" w:tentative="0">
      <w:start w:val="1"/>
      <w:numFmt w:val="decimal"/>
      <w:suff w:val="nothing"/>
      <w:lvlText w:val="（%1）"/>
      <w:lvlJc w:val="left"/>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318"/>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227C6"/>
    <w:rsid w:val="00054BCF"/>
    <w:rsid w:val="000F7BB2"/>
    <w:rsid w:val="00106776"/>
    <w:rsid w:val="00131E66"/>
    <w:rsid w:val="00153394"/>
    <w:rsid w:val="00191623"/>
    <w:rsid w:val="001F1210"/>
    <w:rsid w:val="00233F46"/>
    <w:rsid w:val="002D5269"/>
    <w:rsid w:val="003227C6"/>
    <w:rsid w:val="003C7F3D"/>
    <w:rsid w:val="003E2D58"/>
    <w:rsid w:val="0042640F"/>
    <w:rsid w:val="004554D7"/>
    <w:rsid w:val="0055071E"/>
    <w:rsid w:val="00603D62"/>
    <w:rsid w:val="00604E0C"/>
    <w:rsid w:val="006E2DAD"/>
    <w:rsid w:val="00717222"/>
    <w:rsid w:val="00721B5B"/>
    <w:rsid w:val="007353C5"/>
    <w:rsid w:val="00801D08"/>
    <w:rsid w:val="00802434"/>
    <w:rsid w:val="00805206"/>
    <w:rsid w:val="008B4299"/>
    <w:rsid w:val="009369AD"/>
    <w:rsid w:val="009701A0"/>
    <w:rsid w:val="00970DCD"/>
    <w:rsid w:val="009A363C"/>
    <w:rsid w:val="00A66ED3"/>
    <w:rsid w:val="00A67437"/>
    <w:rsid w:val="00A93FDD"/>
    <w:rsid w:val="00AB4ED7"/>
    <w:rsid w:val="00AD645B"/>
    <w:rsid w:val="00CF42DE"/>
    <w:rsid w:val="00D06C39"/>
    <w:rsid w:val="00D57A51"/>
    <w:rsid w:val="00DE2250"/>
    <w:rsid w:val="00DE41D2"/>
    <w:rsid w:val="00E1533F"/>
    <w:rsid w:val="00E2168F"/>
    <w:rsid w:val="00F24006"/>
    <w:rsid w:val="00F34917"/>
    <w:rsid w:val="00F41E2D"/>
    <w:rsid w:val="00FA69F3"/>
    <w:rsid w:val="00FE52F1"/>
    <w:rsid w:val="00FF6E40"/>
    <w:rsid w:val="1CCA6A83"/>
    <w:rsid w:val="255A6248"/>
    <w:rsid w:val="281705B4"/>
    <w:rsid w:val="2C3275A8"/>
    <w:rsid w:val="2D6F29F7"/>
    <w:rsid w:val="345C2B8D"/>
    <w:rsid w:val="3E33146C"/>
    <w:rsid w:val="444568F1"/>
    <w:rsid w:val="54980FF3"/>
    <w:rsid w:val="554E5571"/>
    <w:rsid w:val="585036C9"/>
    <w:rsid w:val="63B63F00"/>
    <w:rsid w:val="665E7E61"/>
    <w:rsid w:val="68EC5B9B"/>
    <w:rsid w:val="6DD368A5"/>
    <w:rsid w:val="7721566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99"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locked/>
    <w:uiPriority w:val="9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qFormat/>
    <w:locked/>
    <w:uiPriority w:val="99"/>
    <w:pPr>
      <w:keepNext/>
      <w:keepLines/>
      <w:spacing w:before="260" w:after="260" w:line="416" w:lineRule="auto"/>
      <w:outlineLvl w:val="1"/>
    </w:pPr>
    <w:rPr>
      <w:rFonts w:ascii="Cambria" w:hAnsi="Cambria"/>
      <w:b/>
      <w:bCs/>
      <w:szCs w:val="32"/>
    </w:rPr>
  </w:style>
  <w:style w:type="character" w:default="1" w:styleId="6">
    <w:name w:val="Default Paragraph Font"/>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4">
    <w:name w:val="footer"/>
    <w:basedOn w:val="1"/>
    <w:link w:val="10"/>
    <w:qFormat/>
    <w:uiPriority w:val="99"/>
    <w:pPr>
      <w:tabs>
        <w:tab w:val="center" w:pos="4153"/>
        <w:tab w:val="right" w:pos="8306"/>
      </w:tabs>
      <w:snapToGrid w:val="0"/>
      <w:jc w:val="left"/>
    </w:pPr>
    <w:rPr>
      <w:rFonts w:ascii="Calibri" w:hAnsi="Calibri" w:eastAsia="宋体"/>
      <w:sz w:val="18"/>
      <w:szCs w:val="18"/>
    </w:rPr>
  </w:style>
  <w:style w:type="paragraph" w:styleId="5">
    <w:name w:val="header"/>
    <w:basedOn w:val="1"/>
    <w:link w:val="9"/>
    <w:qFormat/>
    <w:uiPriority w:val="99"/>
    <w:pPr>
      <w:pBdr>
        <w:bottom w:val="single" w:color="auto" w:sz="6" w:space="1"/>
      </w:pBdr>
      <w:tabs>
        <w:tab w:val="center" w:pos="4153"/>
        <w:tab w:val="right" w:pos="8306"/>
      </w:tabs>
      <w:snapToGrid w:val="0"/>
      <w:jc w:val="center"/>
    </w:pPr>
    <w:rPr>
      <w:rFonts w:ascii="Calibri" w:hAnsi="Calibri" w:eastAsia="宋体"/>
      <w:sz w:val="18"/>
      <w:szCs w:val="18"/>
    </w:rPr>
  </w:style>
  <w:style w:type="character" w:styleId="7">
    <w:name w:val="Strong"/>
    <w:basedOn w:val="6"/>
    <w:qFormat/>
    <w:locked/>
    <w:uiPriority w:val="99"/>
    <w:rPr>
      <w:rFonts w:cs="Times New Roman"/>
      <w:b/>
    </w:rPr>
  </w:style>
  <w:style w:type="character" w:customStyle="1" w:styleId="9">
    <w:name w:val="页眉 Char"/>
    <w:basedOn w:val="6"/>
    <w:link w:val="5"/>
    <w:qFormat/>
    <w:locked/>
    <w:uiPriority w:val="99"/>
    <w:rPr>
      <w:rFonts w:cs="Times New Roman"/>
      <w:sz w:val="18"/>
      <w:szCs w:val="18"/>
    </w:rPr>
  </w:style>
  <w:style w:type="character" w:customStyle="1" w:styleId="10">
    <w:name w:val="页脚 Char"/>
    <w:basedOn w:val="6"/>
    <w:link w:val="4"/>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3372</Words>
  <Characters>419</Characters>
  <Lines>3</Lines>
  <Paragraphs>7</Paragraphs>
  <TotalTime>200</TotalTime>
  <ScaleCrop>false</ScaleCrop>
  <LinksUpToDate>false</LinksUpToDate>
  <CharactersWithSpaces>3784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2018-07-23T09:39:00Z</dcterms:created>
  <dc:creator>冯妍妍/预算绩效管理处（行资处）/湖北省财政厅</dc:creator>
  <cp:lastModifiedBy>Administrator</cp:lastModifiedBy>
  <cp:lastPrinted>2018-08-07T08:12:00Z</cp:lastPrinted>
  <dcterms:modified xsi:type="dcterms:W3CDTF">2018-10-09T07:32:17Z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