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Default Extension="docx" ContentType="application/vnd.openxmlformats-officedocument.wordprocessingml.document"/>
  <Default Extension="bin" ContentType="application/vnd.openxmlformats-officedocument.oleObject"/>
  <Override PartName="/docProps/app.xml" ContentType="application/vnd.openxmlformats-officedocument.extended-properties+xml"/>
  <Override PartName="/word/footnotes.xml" ContentType="application/vnd.openxmlformats-officedocument.wordprocessingml.footnot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ackground w:color="FFFFFF"/>
  <w:body>
    <w:p>
      <w:pPr>
        <w:pStyle w:val="856"/>
        <w:pBdr/>
        <w:spacing/>
        <w:ind/>
        <w:rPr>
          <w:color w:val="000000"/>
          <w:sz w:val="24"/>
          <w:szCs w:val="24"/>
        </w:rPr>
      </w:pPr>
      <w:r>
        <w:rPr>
          <w:rFonts w:hint="eastAsia"/>
          <w:color w:val="000000"/>
          <w:sz w:val="24"/>
          <w:szCs w:val="24"/>
        </w:rPr>
        <w:t xml:space="preserve">        </w:t>
      </w:r>
      <w:r>
        <w:rPr>
          <w:color w:val="000000"/>
          <w:sz w:val="24"/>
          <w:szCs w:val="24"/>
        </w:rPr>
      </w:r>
      <w:r>
        <w:rPr>
          <w:color w:val="000000"/>
          <w:sz w:val="24"/>
          <w:szCs w:val="24"/>
        </w:rPr>
      </w:r>
    </w:p>
    <w:p>
      <w:pPr>
        <w:pStyle w:val="856"/>
        <w:pBdr/>
        <w:spacing/>
        <w:ind/>
        <w:rPr>
          <w:color w:val="000000"/>
          <w:sz w:val="24"/>
          <w:szCs w:val="24"/>
        </w:rPr>
      </w:pPr>
      <w:r>
        <w:rPr>
          <w:color w:val="000000"/>
          <w:sz w:val="24"/>
          <w:szCs w:val="24"/>
        </w:rPr>
      </w:r>
      <w:r>
        <w:rPr>
          <w:color w:val="000000"/>
          <w:sz w:val="24"/>
          <w:szCs w:val="24"/>
        </w:rPr>
      </w:r>
      <w:r>
        <w:rPr>
          <w:color w:val="000000"/>
          <w:sz w:val="24"/>
          <w:szCs w:val="24"/>
        </w:rPr>
      </w:r>
    </w:p>
    <w:p>
      <w:pPr>
        <w:pStyle w:val="856"/>
        <w:pBdr/>
        <w:spacing/>
        <w:ind/>
        <w:rPr>
          <w:color w:val="000000"/>
          <w:sz w:val="24"/>
          <w:szCs w:val="24"/>
        </w:rPr>
      </w:pPr>
      <w:r>
        <w:rPr>
          <w:color w:val="000000"/>
          <w:sz w:val="24"/>
          <w:szCs w:val="24"/>
        </w:rPr>
      </w:r>
      <w:r>
        <w:rPr>
          <w:color w:val="000000"/>
          <w:sz w:val="24"/>
          <w:szCs w:val="24"/>
        </w:rPr>
      </w:r>
      <w:r>
        <w:rPr>
          <w:color w:val="000000"/>
          <w:sz w:val="24"/>
          <w:szCs w:val="24"/>
        </w:rPr>
      </w:r>
    </w:p>
    <w:p>
      <w:pPr>
        <w:pStyle w:val="856"/>
        <w:pBdr/>
        <w:spacing/>
        <w:ind/>
        <w:jc w:val="center"/>
        <w:rPr>
          <w:rFonts w:hint="eastAsia" w:ascii="黑体" w:eastAsia="黑体"/>
          <w:sz w:val="52"/>
          <w:szCs w:val="44"/>
        </w:rPr>
      </w:pPr>
      <w:r>
        <w:rPr>
          <w:rFonts w:hint="eastAsia" w:ascii="黑体" w:eastAsia="黑体"/>
          <w:sz w:val="52"/>
          <w:szCs w:val="44"/>
        </w:rPr>
        <w:t xml:space="preserve">湖北省随州市财政项目</w:t>
      </w:r>
      <w:r>
        <w:rPr>
          <w:rFonts w:hint="eastAsia" w:ascii="黑体" w:eastAsia="黑体"/>
          <w:sz w:val="52"/>
          <w:szCs w:val="44"/>
        </w:rPr>
      </w:r>
      <w:r>
        <w:rPr>
          <w:rFonts w:hint="eastAsia" w:ascii="黑体" w:eastAsia="黑体"/>
          <w:sz w:val="52"/>
          <w:szCs w:val="44"/>
        </w:rPr>
      </w:r>
    </w:p>
    <w:p>
      <w:pPr>
        <w:pStyle w:val="856"/>
        <w:pBdr/>
        <w:spacing/>
        <w:ind/>
        <w:jc w:val="center"/>
        <w:rPr>
          <w:rFonts w:hint="eastAsia" w:ascii="黑体" w:eastAsia="黑体"/>
          <w:sz w:val="52"/>
          <w:szCs w:val="44"/>
        </w:rPr>
      </w:pPr>
      <w:r>
        <w:rPr>
          <w:rFonts w:hint="eastAsia" w:ascii="黑体" w:eastAsia="黑体"/>
          <w:sz w:val="52"/>
          <w:szCs w:val="44"/>
        </w:rPr>
        <w:t xml:space="preserve">预算绩效评价报告</w:t>
      </w:r>
      <w:r>
        <w:rPr>
          <w:rFonts w:hint="eastAsia" w:ascii="黑体" w:eastAsia="黑体"/>
          <w:sz w:val="52"/>
          <w:szCs w:val="44"/>
        </w:rPr>
      </w:r>
      <w:r>
        <w:rPr>
          <w:rFonts w:hint="eastAsia" w:ascii="黑体" w:eastAsia="黑体"/>
          <w:sz w:val="52"/>
          <w:szCs w:val="44"/>
        </w:rPr>
      </w:r>
    </w:p>
    <w:p>
      <w:pPr>
        <w:pStyle w:val="856"/>
        <w:pBdr/>
        <w:spacing/>
        <w:ind/>
        <w:jc w:val="left"/>
        <w:rPr>
          <w:rFonts w:hint="eastAsia" w:ascii="黑体" w:eastAsia="黑体"/>
          <w:sz w:val="36"/>
          <w:szCs w:val="36"/>
        </w:rPr>
      </w:pPr>
      <w:r>
        <w:rPr>
          <w:rFonts w:hint="eastAsia" w:ascii="黑体" w:eastAsia="黑体"/>
          <w:sz w:val="36"/>
          <w:szCs w:val="36"/>
        </w:rPr>
      </w:r>
      <w:r>
        <w:rPr>
          <w:rFonts w:hint="eastAsia" w:ascii="黑体" w:eastAsia="黑体"/>
          <w:sz w:val="36"/>
          <w:szCs w:val="36"/>
        </w:rPr>
      </w:r>
      <w:r>
        <w:rPr>
          <w:rFonts w:hint="eastAsia" w:ascii="黑体" w:eastAsia="黑体"/>
          <w:sz w:val="36"/>
          <w:szCs w:val="36"/>
        </w:rPr>
      </w:r>
    </w:p>
    <w:p>
      <w:pPr>
        <w:pStyle w:val="856"/>
        <w:pBdr/>
        <w:spacing/>
        <w:ind/>
        <w:jc w:val="center"/>
        <w:rPr>
          <w:rFonts w:hint="eastAsia" w:ascii="黑体" w:eastAsia="黑体"/>
          <w:sz w:val="28"/>
        </w:rPr>
      </w:pPr>
      <w:r>
        <w:rPr>
          <w:rFonts w:hint="eastAsia" w:ascii="黑体" w:eastAsia="黑体"/>
          <w:sz w:val="28"/>
        </w:rPr>
        <w:t xml:space="preserve">佰盛效评字[2018]004号</w:t>
      </w:r>
      <w:r>
        <w:rPr>
          <w:rFonts w:hint="eastAsia" w:ascii="黑体" w:eastAsia="黑体"/>
          <w:sz w:val="28"/>
        </w:rPr>
      </w:r>
      <w:r>
        <w:rPr>
          <w:rFonts w:hint="eastAsia" w:ascii="黑体" w:eastAsia="黑体"/>
          <w:sz w:val="28"/>
        </w:rPr>
      </w:r>
    </w:p>
    <w:p>
      <w:pPr>
        <w:pStyle w:val="856"/>
        <w:pBdr/>
        <w:spacing/>
        <w:ind w:firstLine="2700" w:left="560"/>
        <w:jc w:val="left"/>
        <w:rPr>
          <w:rFonts w:hint="eastAsia" w:ascii="黑体" w:eastAsia="黑体"/>
          <w:sz w:val="36"/>
          <w:szCs w:val="36"/>
        </w:rPr>
      </w:pPr>
      <w:r>
        <w:rPr>
          <w:rFonts w:hint="eastAsia" w:ascii="黑体" w:eastAsia="黑体"/>
          <w:sz w:val="36"/>
          <w:szCs w:val="36"/>
        </w:rPr>
      </w:r>
      <w:r>
        <w:rPr>
          <w:rFonts w:hint="eastAsia" w:ascii="黑体" w:eastAsia="黑体"/>
          <w:sz w:val="36"/>
          <w:szCs w:val="36"/>
        </w:rPr>
      </w:r>
      <w:r>
        <w:rPr>
          <w:rFonts w:hint="eastAsia" w:ascii="黑体" w:eastAsia="黑体"/>
          <w:sz w:val="36"/>
          <w:szCs w:val="36"/>
        </w:rPr>
      </w:r>
    </w:p>
    <w:p>
      <w:pPr>
        <w:pStyle w:val="856"/>
        <w:pBdr/>
        <w:spacing/>
        <w:ind w:firstLine="2700" w:left="560"/>
        <w:jc w:val="left"/>
        <w:rPr>
          <w:rFonts w:hint="eastAsia" w:ascii="黑体" w:eastAsia="黑体"/>
          <w:sz w:val="36"/>
          <w:szCs w:val="36"/>
        </w:rPr>
      </w:pPr>
      <w:r>
        <w:rPr>
          <w:rFonts w:hint="eastAsia" w:ascii="黑体" w:eastAsia="黑体"/>
          <w:sz w:val="36"/>
          <w:szCs w:val="36"/>
        </w:rPr>
      </w:r>
      <w:r>
        <w:rPr>
          <w:rFonts w:hint="eastAsia" w:ascii="黑体" w:eastAsia="黑体"/>
          <w:sz w:val="36"/>
          <w:szCs w:val="36"/>
        </w:rPr>
      </w:r>
      <w:r>
        <w:rPr>
          <w:rFonts w:hint="eastAsia" w:ascii="黑体" w:eastAsia="黑体"/>
          <w:sz w:val="36"/>
          <w:szCs w:val="36"/>
        </w:rPr>
      </w:r>
    </w:p>
    <w:p>
      <w:pPr>
        <w:pStyle w:val="856"/>
        <w:pBdr/>
        <w:spacing/>
        <w:ind w:firstLine="2700" w:left="560"/>
        <w:jc w:val="left"/>
        <w:rPr>
          <w:rFonts w:hint="eastAsia" w:ascii="黑体" w:eastAsia="黑体"/>
          <w:sz w:val="36"/>
          <w:szCs w:val="36"/>
        </w:rPr>
      </w:pPr>
      <w:r>
        <w:rPr>
          <w:rFonts w:hint="eastAsia" w:ascii="黑体" w:eastAsia="黑体"/>
          <w:sz w:val="36"/>
          <w:szCs w:val="36"/>
        </w:rPr>
      </w:r>
      <w:r>
        <w:rPr>
          <w:rFonts w:hint="eastAsia" w:ascii="黑体" w:eastAsia="黑体"/>
          <w:sz w:val="36"/>
          <w:szCs w:val="36"/>
        </w:rPr>
      </w:r>
      <w:r>
        <w:rPr>
          <w:rFonts w:hint="eastAsia" w:ascii="黑体" w:eastAsia="黑体"/>
          <w:sz w:val="36"/>
          <w:szCs w:val="36"/>
        </w:rPr>
      </w:r>
    </w:p>
    <w:p>
      <w:pPr>
        <w:pStyle w:val="856"/>
        <w:pBdr/>
        <w:spacing/>
        <w:ind w:firstLine="2700" w:left="560"/>
        <w:jc w:val="left"/>
        <w:rPr>
          <w:rFonts w:hint="eastAsia" w:ascii="黑体" w:eastAsia="黑体"/>
          <w:sz w:val="36"/>
          <w:szCs w:val="36"/>
        </w:rPr>
      </w:pPr>
      <w:r>
        <w:rPr>
          <w:rFonts w:hint="eastAsia" w:ascii="黑体" w:eastAsia="黑体"/>
          <w:sz w:val="36"/>
          <w:szCs w:val="36"/>
        </w:rPr>
      </w:r>
      <w:r>
        <w:rPr>
          <w:rFonts w:hint="eastAsia" w:ascii="黑体" w:eastAsia="黑体"/>
          <w:sz w:val="36"/>
          <w:szCs w:val="36"/>
        </w:rPr>
      </w:r>
      <w:r>
        <w:rPr>
          <w:rFonts w:hint="eastAsia" w:ascii="黑体" w:eastAsia="黑体"/>
          <w:sz w:val="36"/>
          <w:szCs w:val="36"/>
        </w:rPr>
      </w:r>
    </w:p>
    <w:p>
      <w:pPr>
        <w:pStyle w:val="856"/>
        <w:pBdr/>
        <w:spacing/>
        <w:ind w:firstLine="2700" w:left="560"/>
        <w:jc w:val="left"/>
        <w:rPr>
          <w:rFonts w:hint="eastAsia" w:ascii="黑体" w:eastAsia="黑体"/>
          <w:sz w:val="36"/>
          <w:szCs w:val="36"/>
        </w:rPr>
      </w:pPr>
      <w:r>
        <w:rPr>
          <w:rFonts w:hint="eastAsia" w:ascii="黑体" w:eastAsia="黑体"/>
          <w:sz w:val="36"/>
          <w:szCs w:val="36"/>
        </w:rPr>
      </w:r>
      <w:r>
        <w:rPr>
          <w:rFonts w:hint="eastAsia" w:ascii="黑体" w:eastAsia="黑体"/>
          <w:sz w:val="36"/>
          <w:szCs w:val="36"/>
        </w:rPr>
      </w:r>
      <w:r>
        <w:rPr>
          <w:rFonts w:hint="eastAsia" w:ascii="黑体" w:eastAsia="黑体"/>
          <w:sz w:val="36"/>
          <w:szCs w:val="36"/>
        </w:rPr>
      </w:r>
    </w:p>
    <w:p>
      <w:pPr>
        <w:pStyle w:val="856"/>
        <w:pBdr/>
        <w:spacing/>
        <w:ind w:firstLine="2700" w:left="560"/>
        <w:jc w:val="left"/>
        <w:rPr>
          <w:rFonts w:hint="eastAsia" w:ascii="黑体" w:eastAsia="黑体"/>
          <w:sz w:val="36"/>
          <w:szCs w:val="36"/>
        </w:rPr>
      </w:pPr>
      <w:r>
        <w:rPr>
          <w:rFonts w:hint="eastAsia" w:ascii="黑体" w:eastAsia="黑体"/>
          <w:sz w:val="36"/>
          <w:szCs w:val="36"/>
        </w:rPr>
      </w:r>
      <w:r>
        <w:rPr>
          <w:rFonts w:hint="eastAsia" w:ascii="黑体" w:eastAsia="黑体"/>
          <w:sz w:val="36"/>
          <w:szCs w:val="36"/>
        </w:rPr>
      </w:r>
      <w:r>
        <w:rPr>
          <w:rFonts w:hint="eastAsia" w:ascii="黑体" w:eastAsia="黑体"/>
          <w:sz w:val="36"/>
          <w:szCs w:val="36"/>
        </w:rPr>
      </w:r>
    </w:p>
    <w:p>
      <w:pPr>
        <w:pStyle w:val="856"/>
        <w:pBdr/>
        <w:spacing/>
        <w:ind w:firstLine="2700" w:left="560"/>
        <w:jc w:val="left"/>
        <w:rPr>
          <w:rFonts w:hint="eastAsia" w:ascii="黑体" w:eastAsia="黑体"/>
          <w:sz w:val="36"/>
          <w:szCs w:val="36"/>
        </w:rPr>
      </w:pPr>
      <w:r>
        <w:rPr>
          <w:rFonts w:hint="eastAsia" w:ascii="黑体" w:eastAsia="黑体"/>
          <w:sz w:val="36"/>
          <w:szCs w:val="36"/>
        </w:rPr>
      </w:r>
      <w:r>
        <w:rPr>
          <w:rFonts w:hint="eastAsia" w:ascii="黑体" w:eastAsia="黑体"/>
          <w:sz w:val="36"/>
          <w:szCs w:val="36"/>
        </w:rPr>
      </w:r>
      <w:r>
        <w:rPr>
          <w:rFonts w:hint="eastAsia" w:ascii="黑体" w:eastAsia="黑体"/>
          <w:sz w:val="36"/>
          <w:szCs w:val="36"/>
        </w:rPr>
      </w:r>
    </w:p>
    <w:p>
      <w:pPr>
        <w:pStyle w:val="856"/>
        <w:pBdr/>
        <w:spacing/>
        <w:ind w:firstLine="2700" w:left="560"/>
        <w:jc w:val="left"/>
        <w:rPr>
          <w:rFonts w:hint="eastAsia" w:ascii="黑体" w:eastAsia="黑体"/>
          <w:sz w:val="36"/>
          <w:szCs w:val="36"/>
        </w:rPr>
      </w:pPr>
      <w:r>
        <w:rPr>
          <w:rFonts w:hint="eastAsia" w:ascii="黑体" w:eastAsia="黑体"/>
          <w:sz w:val="36"/>
          <w:szCs w:val="36"/>
        </w:rPr>
      </w:r>
      <w:r>
        <w:rPr>
          <w:rFonts w:hint="eastAsia" w:ascii="黑体" w:eastAsia="黑体"/>
          <w:sz w:val="36"/>
          <w:szCs w:val="36"/>
        </w:rPr>
      </w:r>
      <w:r>
        <w:rPr>
          <w:rFonts w:hint="eastAsia" w:ascii="黑体" w:eastAsia="黑体"/>
          <w:sz w:val="36"/>
          <w:szCs w:val="36"/>
        </w:rPr>
      </w:r>
    </w:p>
    <w:p>
      <w:pPr>
        <w:pStyle w:val="856"/>
        <w:pBdr/>
        <w:spacing/>
        <w:ind w:firstLine="700"/>
        <w:jc w:val="left"/>
        <w:rPr>
          <w:rFonts w:hint="eastAsia" w:ascii="黑体" w:eastAsia="黑体"/>
          <w:sz w:val="28"/>
        </w:rPr>
      </w:pPr>
      <w:r>
        <w:rPr>
          <w:rFonts w:hint="eastAsia" w:ascii="黑体" w:eastAsia="黑体"/>
          <w:sz w:val="28"/>
        </w:rPr>
        <w:t xml:space="preserve">项目名称：2017年随州市水利局部门整体支出绩效评价</w:t>
      </w:r>
      <w:r>
        <w:rPr>
          <w:rFonts w:hint="eastAsia" w:ascii="黑体" w:eastAsia="黑体"/>
          <w:sz w:val="28"/>
        </w:rPr>
      </w:r>
      <w:r>
        <w:rPr>
          <w:rFonts w:hint="eastAsia" w:ascii="黑体" w:eastAsia="黑体"/>
          <w:sz w:val="28"/>
        </w:rPr>
      </w:r>
    </w:p>
    <w:p>
      <w:pPr>
        <w:pStyle w:val="856"/>
        <w:pBdr/>
        <w:spacing/>
        <w:ind w:firstLine="700"/>
        <w:jc w:val="left"/>
        <w:rPr>
          <w:rFonts w:hint="eastAsia" w:ascii="黑体" w:eastAsia="黑体"/>
          <w:sz w:val="28"/>
        </w:rPr>
      </w:pPr>
      <w:r>
        <w:rPr>
          <w:rFonts w:hint="eastAsia" w:ascii="黑体" w:eastAsia="黑体"/>
          <w:sz w:val="28"/>
        </w:rPr>
        <w:t xml:space="preserve">项目单位：随州市水利局</w:t>
      </w:r>
      <w:r>
        <w:rPr>
          <w:rFonts w:hint="eastAsia" w:ascii="黑体" w:eastAsia="黑体"/>
          <w:sz w:val="28"/>
        </w:rPr>
      </w:r>
      <w:r>
        <w:rPr>
          <w:rFonts w:hint="eastAsia" w:ascii="黑体" w:eastAsia="黑体"/>
          <w:sz w:val="28"/>
        </w:rPr>
      </w:r>
    </w:p>
    <w:p>
      <w:pPr>
        <w:pStyle w:val="856"/>
        <w:pBdr/>
        <w:spacing/>
        <w:ind w:firstLine="700"/>
        <w:jc w:val="left"/>
        <w:rPr>
          <w:rFonts w:hint="eastAsia" w:ascii="黑体" w:eastAsia="黑体"/>
          <w:sz w:val="28"/>
        </w:rPr>
      </w:pPr>
      <w:r>
        <w:rPr>
          <w:rFonts w:hint="eastAsia" w:ascii="黑体" w:eastAsia="黑体"/>
          <w:sz w:val="28"/>
        </w:rPr>
        <w:t xml:space="preserve">评价机构：湖北佰盛会计师事务所（普通合伙）</w:t>
      </w:r>
      <w:r>
        <w:rPr>
          <w:rFonts w:hint="eastAsia" w:ascii="黑体" w:eastAsia="黑体"/>
          <w:sz w:val="28"/>
        </w:rPr>
      </w:r>
      <w:r>
        <w:rPr>
          <w:rFonts w:hint="eastAsia" w:ascii="黑体" w:eastAsia="黑体"/>
          <w:sz w:val="28"/>
        </w:rPr>
      </w:r>
    </w:p>
    <w:p>
      <w:pPr>
        <w:pStyle w:val="856"/>
        <w:pBdr/>
        <w:spacing/>
        <w:ind w:firstLine="700"/>
        <w:jc w:val="left"/>
        <w:rPr>
          <w:rFonts w:hint="eastAsia" w:ascii="黑体" w:eastAsia="黑体"/>
          <w:sz w:val="28"/>
        </w:rPr>
      </w:pPr>
      <w:r>
        <w:rPr>
          <w:rFonts w:hint="eastAsia" w:ascii="黑体" w:eastAsia="黑体"/>
          <w:sz w:val="28"/>
        </w:rPr>
        <w:t xml:space="preserve">评价时间：2018年10月</w:t>
      </w:r>
      <w:r>
        <w:rPr>
          <w:rFonts w:hint="eastAsia" w:ascii="黑体" w:eastAsia="黑体"/>
          <w:sz w:val="28"/>
        </w:rPr>
      </w:r>
      <w:r>
        <w:rPr>
          <w:rFonts w:hint="eastAsia" w:ascii="黑体" w:eastAsia="黑体"/>
          <w:sz w:val="28"/>
        </w:rPr>
      </w:r>
    </w:p>
    <w:p>
      <w:pPr>
        <w:pStyle w:val="856"/>
        <w:pBdr/>
        <w:spacing/>
        <w:ind/>
        <w:rPr>
          <w:color w:val="000000"/>
          <w:sz w:val="24"/>
          <w:szCs w:val="24"/>
        </w:rPr>
      </w:pPr>
      <w:r>
        <w:rPr>
          <w:color w:val="000000"/>
          <w:sz w:val="24"/>
          <w:szCs w:val="24"/>
        </w:rPr>
      </w:r>
      <w:r>
        <w:rPr>
          <w:color w:val="000000"/>
          <w:sz w:val="24"/>
          <w:szCs w:val="24"/>
        </w:rPr>
      </w:r>
      <w:r>
        <w:rPr>
          <w:color w:val="000000"/>
          <w:sz w:val="24"/>
          <w:szCs w:val="24"/>
        </w:rPr>
      </w:r>
    </w:p>
    <w:p>
      <w:pPr>
        <w:pStyle w:val="856"/>
        <w:pBdr/>
        <w:spacing/>
        <w:ind/>
        <w:rPr>
          <w:color w:val="000000"/>
          <w:sz w:val="24"/>
          <w:szCs w:val="24"/>
        </w:rPr>
      </w:pPr>
      <w:r>
        <w:rPr>
          <w:color w:val="000000"/>
          <w:sz w:val="24"/>
          <w:szCs w:val="24"/>
        </w:rPr>
      </w:r>
      <w:r>
        <w:rPr>
          <w:color w:val="000000"/>
          <w:sz w:val="24"/>
          <w:szCs w:val="24"/>
        </w:rPr>
      </w:r>
      <w:r>
        <w:rPr>
          <w:color w:val="000000"/>
          <w:sz w:val="24"/>
          <w:szCs w:val="24"/>
        </w:rPr>
      </w:r>
    </w:p>
    <w:p>
      <w:pPr>
        <w:pStyle w:val="856"/>
        <w:pBdr/>
        <w:spacing/>
        <w:ind/>
        <w:rPr>
          <w:color w:val="000000"/>
          <w:sz w:val="24"/>
          <w:szCs w:val="24"/>
        </w:rPr>
      </w:pPr>
      <w:r>
        <w:rPr>
          <w:color w:val="000000"/>
          <w:sz w:val="24"/>
          <w:szCs w:val="24"/>
        </w:rPr>
      </w:r>
      <w:r>
        <w:rPr>
          <w:color w:val="000000"/>
          <w:sz w:val="24"/>
          <w:szCs w:val="24"/>
        </w:rPr>
      </w:r>
      <w:r>
        <w:rPr>
          <w:color w:val="000000"/>
          <w:sz w:val="24"/>
          <w:szCs w:val="24"/>
        </w:rPr>
      </w:r>
    </w:p>
    <w:p>
      <w:pPr>
        <w:pStyle w:val="856"/>
        <w:pBdr/>
        <w:spacing/>
        <w:ind/>
        <w:rPr>
          <w:color w:val="000000"/>
          <w:sz w:val="24"/>
          <w:szCs w:val="24"/>
        </w:rPr>
      </w:pPr>
      <w:r>
        <w:rPr>
          <w:color w:val="000000"/>
          <w:sz w:val="24"/>
          <w:szCs w:val="24"/>
        </w:rPr>
      </w:r>
      <w:r>
        <w:rPr>
          <w:color w:val="000000"/>
          <w:sz w:val="24"/>
          <w:szCs w:val="24"/>
        </w:rPr>
      </w:r>
      <w:r>
        <w:rPr>
          <w:color w:val="000000"/>
          <w:sz w:val="24"/>
          <w:szCs w:val="24"/>
        </w:rPr>
      </w:r>
    </w:p>
    <w:p>
      <w:pPr>
        <w:pStyle w:val="856"/>
        <w:pBdr/>
        <w:spacing w:line="560" w:lineRule="exact"/>
        <w:ind/>
        <w:jc w:val="center"/>
        <w:rPr>
          <w:rFonts w:hint="eastAsia" w:ascii="宋体"/>
          <w:b/>
          <w:color w:val="000000"/>
          <w:sz w:val="32"/>
          <w:szCs w:val="32"/>
          <w:shd w:val="clear" w:color="auto" w:fill="ffffff"/>
        </w:rPr>
      </w:pPr>
      <w:r>
        <w:rPr>
          <w:rFonts w:hint="eastAsia" w:ascii="宋体"/>
          <w:b/>
          <w:color w:val="000000"/>
          <w:sz w:val="32"/>
          <w:szCs w:val="32"/>
          <w:shd w:val="clear" w:color="auto" w:fill="ffffff"/>
        </w:rPr>
      </w:r>
      <w:r>
        <w:rPr>
          <w:rFonts w:hint="eastAsia" w:ascii="宋体"/>
          <w:b/>
          <w:color w:val="000000"/>
          <w:sz w:val="32"/>
          <w:szCs w:val="32"/>
          <w:shd w:val="clear" w:color="auto" w:fill="ffffff"/>
        </w:rPr>
      </w:r>
      <w:r>
        <w:rPr>
          <w:rFonts w:hint="eastAsia" w:ascii="宋体"/>
          <w:b/>
          <w:color w:val="000000"/>
          <w:sz w:val="32"/>
          <w:szCs w:val="32"/>
          <w:shd w:val="clear" w:color="auto" w:fill="ffffff"/>
        </w:rPr>
      </w:r>
    </w:p>
    <w:p>
      <w:pPr>
        <w:pStyle w:val="856"/>
        <w:pBdr/>
        <w:spacing w:line="560" w:lineRule="exact"/>
        <w:ind/>
        <w:jc w:val="center"/>
        <w:rPr>
          <w:rFonts w:hint="eastAsia" w:ascii="宋体"/>
          <w:b/>
          <w:color w:val="000000"/>
          <w:sz w:val="32"/>
          <w:szCs w:val="32"/>
          <w:shd w:val="clear" w:color="auto" w:fill="ffffff"/>
        </w:rPr>
      </w:pPr>
      <w:r>
        <w:rPr>
          <w:rFonts w:hint="eastAsia" w:ascii="宋体"/>
          <w:b/>
          <w:color w:val="000000"/>
          <w:sz w:val="32"/>
          <w:szCs w:val="32"/>
          <w:shd w:val="clear" w:color="auto" w:fill="ffffff"/>
        </w:rPr>
      </w:r>
      <w:r>
        <w:rPr>
          <w:rFonts w:hint="eastAsia" w:ascii="宋体"/>
          <w:b/>
          <w:color w:val="000000"/>
          <w:sz w:val="32"/>
          <w:szCs w:val="32"/>
          <w:shd w:val="clear" w:color="auto" w:fill="ffffff"/>
        </w:rPr>
      </w:r>
      <w:r>
        <w:rPr>
          <w:rFonts w:hint="eastAsia" w:ascii="宋体"/>
          <w:b/>
          <w:color w:val="000000"/>
          <w:sz w:val="32"/>
          <w:szCs w:val="32"/>
          <w:shd w:val="clear" w:color="auto" w:fill="ffffff"/>
        </w:rPr>
      </w:r>
    </w:p>
    <w:p>
      <w:pPr>
        <w:pStyle w:val="856"/>
        <w:pBdr/>
        <w:spacing w:line="560" w:lineRule="exact"/>
        <w:ind/>
        <w:jc w:val="center"/>
        <w:rPr>
          <w:rFonts w:ascii="Arial" w:hAnsi="Arial" w:cs="Arial"/>
          <w:b/>
          <w:color w:val="000000"/>
          <w:sz w:val="36"/>
          <w:szCs w:val="36"/>
          <w:shd w:val="clear" w:color="auto" w:fill="ffffff"/>
        </w:rPr>
      </w:pPr>
      <w:r>
        <w:rPr>
          <w:rFonts w:ascii="Arial" w:hAnsi="Arial" w:cs="Arial"/>
          <w:b/>
          <w:color w:val="000000"/>
          <w:sz w:val="36"/>
          <w:szCs w:val="36"/>
          <w:shd w:val="clear" w:color="auto" w:fill="ffffff"/>
        </w:rPr>
        <w:t xml:space="preserve">2017年度随州市水利局部门整体支出</w:t>
      </w:r>
      <w:r>
        <w:rPr>
          <w:rFonts w:ascii="Arial" w:hAnsi="Arial" w:cs="Arial"/>
          <w:b/>
          <w:color w:val="000000"/>
          <w:sz w:val="36"/>
          <w:szCs w:val="36"/>
          <w:shd w:val="clear" w:color="auto" w:fill="ffffff"/>
        </w:rPr>
      </w:r>
      <w:r>
        <w:rPr>
          <w:rFonts w:ascii="Arial" w:hAnsi="Arial" w:cs="Arial"/>
          <w:b/>
          <w:color w:val="000000"/>
          <w:sz w:val="36"/>
          <w:szCs w:val="36"/>
          <w:shd w:val="clear" w:color="auto" w:fill="ffffff"/>
        </w:rPr>
      </w:r>
    </w:p>
    <w:p>
      <w:pPr>
        <w:pStyle w:val="856"/>
        <w:pBdr/>
        <w:spacing w:line="560" w:lineRule="exact"/>
        <w:ind/>
        <w:jc w:val="center"/>
        <w:rPr>
          <w:rFonts w:ascii="Arial" w:hAnsi="Arial" w:cs="Arial"/>
          <w:b/>
          <w:color w:val="000000"/>
          <w:sz w:val="36"/>
          <w:szCs w:val="36"/>
          <w:shd w:val="clear" w:color="auto" w:fill="ffffff"/>
        </w:rPr>
      </w:pPr>
      <w:r>
        <w:rPr>
          <w:rFonts w:ascii="Arial" w:hAnsi="Arial" w:cs="Arial"/>
          <w:b/>
          <w:color w:val="000000"/>
          <w:sz w:val="36"/>
          <w:szCs w:val="36"/>
          <w:shd w:val="clear" w:color="auto" w:fill="ffffff"/>
        </w:rPr>
        <w:t xml:space="preserve">绩效评价报告</w:t>
      </w:r>
      <w:r>
        <w:rPr>
          <w:rFonts w:ascii="Arial" w:hAnsi="Arial" w:cs="Arial"/>
          <w:b/>
          <w:color w:val="000000"/>
          <w:sz w:val="36"/>
          <w:szCs w:val="36"/>
          <w:shd w:val="clear" w:color="auto" w:fill="ffffff"/>
        </w:rPr>
      </w:r>
      <w:r>
        <w:rPr>
          <w:rFonts w:ascii="Arial" w:hAnsi="Arial" w:cs="Arial"/>
          <w:b/>
          <w:color w:val="000000"/>
          <w:sz w:val="36"/>
          <w:szCs w:val="36"/>
          <w:shd w:val="clear" w:color="auto" w:fill="ffffff"/>
        </w:rPr>
      </w:r>
    </w:p>
    <w:p>
      <w:pPr>
        <w:pStyle w:val="856"/>
        <w:pBdr/>
        <w:spacing w:line="560" w:lineRule="exact"/>
        <w:ind/>
        <w:jc w:val="right"/>
        <w:rPr>
          <w:rFonts w:ascii="Arial" w:hAnsi="Arial" w:cs="Arial"/>
          <w:color w:val="000000"/>
          <w:szCs w:val="21"/>
          <w:shd w:val="clear" w:color="auto" w:fill="ffffff"/>
        </w:rPr>
      </w:pPr>
      <w:r>
        <w:rPr>
          <w:rFonts w:ascii="Arial" w:hAnsi="Arial" w:cs="Arial"/>
          <w:color w:val="000000"/>
          <w:szCs w:val="21"/>
          <w:shd w:val="clear" w:color="auto" w:fill="ffffff"/>
        </w:rPr>
        <w:t xml:space="preserve">佰盛效评字[2018]004号</w:t>
      </w:r>
      <w:r>
        <w:rPr>
          <w:rFonts w:ascii="Arial" w:hAnsi="Arial" w:cs="Arial"/>
          <w:color w:val="000000"/>
          <w:szCs w:val="21"/>
          <w:shd w:val="clear" w:color="auto" w:fill="ffffff"/>
        </w:rPr>
      </w:r>
      <w:r>
        <w:rPr>
          <w:rFonts w:ascii="Arial" w:hAnsi="Arial" w:cs="Arial"/>
          <w:color w:val="000000"/>
          <w:szCs w:val="21"/>
          <w:shd w:val="clear" w:color="auto" w:fill="ffffff"/>
        </w:rPr>
      </w:r>
    </w:p>
    <w:p>
      <w:pPr>
        <w:pStyle w:val="856"/>
        <w:pBdr/>
        <w:spacing w:line="560" w:lineRule="exact"/>
        <w:ind w:firstLine="482"/>
        <w:rPr>
          <w:rFonts w:ascii="Arial" w:hAnsi="Arial" w:cs="Arial"/>
          <w:b/>
          <w:color w:val="000000"/>
          <w:sz w:val="24"/>
          <w:szCs w:val="24"/>
          <w:shd w:val="clear" w:color="auto" w:fill="ffffff"/>
        </w:rPr>
      </w:pPr>
      <w:r>
        <w:rPr>
          <w:rFonts w:ascii="Arial" w:hAnsi="Arial" w:cs="Arial"/>
          <w:b/>
          <w:color w:val="000000"/>
          <w:sz w:val="24"/>
          <w:szCs w:val="24"/>
          <w:shd w:val="clear" w:color="auto" w:fill="ffffff"/>
        </w:rPr>
        <w:t xml:space="preserve">一、 概述</w:t>
      </w:r>
      <w:r>
        <w:rPr>
          <w:rFonts w:ascii="Arial" w:hAnsi="Arial" w:cs="Arial"/>
          <w:b/>
          <w:color w:val="000000"/>
          <w:sz w:val="24"/>
          <w:szCs w:val="24"/>
          <w:shd w:val="clear" w:color="auto" w:fill="ffffff"/>
        </w:rPr>
      </w:r>
      <w:r>
        <w:rPr>
          <w:rFonts w:ascii="Arial" w:hAnsi="Arial" w:cs="Arial"/>
          <w:b/>
          <w:color w:val="000000"/>
          <w:sz w:val="24"/>
          <w:szCs w:val="24"/>
          <w:shd w:val="clear" w:color="auto" w:fill="ffffff"/>
        </w:rPr>
      </w:r>
    </w:p>
    <w:p>
      <w:pPr>
        <w:pStyle w:val="856"/>
        <w:pBdr/>
        <w:spacing w:line="560" w:lineRule="exact"/>
        <w:ind/>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为深入贯彻落实新《预算法》和中央、省、市关于推进预算绩效管理的有关精神做好2017年度绩效管理评价工作，根据《省人信访府关于推进预算绩效管理工作暂行办法》（鄂政</w:t>
      </w:r>
      <w:r>
        <w:rPr>
          <w:rFonts w:ascii="Arial" w:hAnsi="Arial" w:cs="Arial"/>
          <w:color w:val="000000"/>
          <w:sz w:val="24"/>
          <w:szCs w:val="24"/>
          <w:shd w:val="clear" w:color="auto" w:fill="ffffff"/>
        </w:rPr>
        <w:t xml:space="preserve">发{2013}9号）、《湖北省第三方机构参与预算绩效管理工作暂行办法》（鄂财绩规{2015}3号）、《市财政局关于2018年开展财政支出绩效评价工作的通知》（随财发〔2018〕16号）等文件要求，为加强随州市水利局财政资金使用效益，湖北佰盛会计师事务所受随州市财政局的委托对随州市水利局2017年度部门整体支出进行了绩效评价。本次评价工作以“科学规范、公正公开、分类管理、绩效相关”为原则，运用科学、合理的绩效评价指标、评价标准和评价方法，对随州市水利局2017年度部门整体支出的绩效情况进行了客观、公正的评价。</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60" w:lineRule="exact"/>
        <w:ind w:firstLine="482"/>
        <w:rPr>
          <w:rFonts w:ascii="Arial" w:hAnsi="Arial" w:cs="Arial"/>
          <w:b/>
          <w:color w:val="000000"/>
          <w:sz w:val="24"/>
          <w:szCs w:val="24"/>
          <w:shd w:val="clear" w:color="auto" w:fill="ffffff"/>
        </w:rPr>
      </w:pPr>
      <w:r>
        <w:rPr>
          <w:rFonts w:ascii="Arial" w:hAnsi="Arial" w:cs="Arial"/>
          <w:b/>
          <w:color w:val="000000"/>
          <w:sz w:val="24"/>
          <w:szCs w:val="24"/>
          <w:shd w:val="clear" w:color="auto" w:fill="ffffff"/>
        </w:rPr>
        <w:t xml:space="preserve">二、评价结论和绩效分析</w:t>
      </w:r>
      <w:r>
        <w:rPr>
          <w:rFonts w:ascii="Arial" w:hAnsi="Arial" w:cs="Arial"/>
          <w:b/>
          <w:color w:val="000000"/>
          <w:sz w:val="24"/>
          <w:szCs w:val="24"/>
          <w:shd w:val="clear" w:color="auto" w:fill="ffffff"/>
        </w:rPr>
      </w:r>
      <w:r>
        <w:rPr>
          <w:rFonts w:ascii="Arial" w:hAnsi="Arial" w:cs="Arial"/>
          <w:b/>
          <w:color w:val="000000"/>
          <w:sz w:val="24"/>
          <w:szCs w:val="24"/>
          <w:shd w:val="clear" w:color="auto" w:fill="ffffff"/>
        </w:rPr>
      </w:r>
    </w:p>
    <w:p>
      <w:pPr>
        <w:pStyle w:val="856"/>
        <w:pBdr/>
        <w:spacing w:line="560" w:lineRule="exact"/>
        <w:ind w:firstLine="482"/>
        <w:rPr>
          <w:rFonts w:ascii="Arial" w:hAnsi="Arial" w:cs="Arial"/>
          <w:b/>
          <w:color w:val="000000"/>
          <w:sz w:val="24"/>
          <w:szCs w:val="24"/>
          <w:shd w:val="clear" w:color="auto" w:fill="ffffff"/>
        </w:rPr>
      </w:pPr>
      <w:r>
        <w:rPr>
          <w:rFonts w:ascii="Arial" w:hAnsi="Arial" w:cs="Arial"/>
          <w:b/>
          <w:color w:val="000000"/>
          <w:sz w:val="24"/>
          <w:szCs w:val="24"/>
          <w:shd w:val="clear" w:color="auto" w:fill="ffffff"/>
        </w:rPr>
        <w:t xml:space="preserve">（一）评价结论</w:t>
      </w:r>
      <w:r>
        <w:rPr>
          <w:rFonts w:ascii="Arial" w:hAnsi="Arial" w:cs="Arial"/>
          <w:b/>
          <w:color w:val="000000"/>
          <w:sz w:val="24"/>
          <w:szCs w:val="24"/>
          <w:shd w:val="clear" w:color="auto" w:fill="ffffff"/>
        </w:rPr>
      </w:r>
      <w:r>
        <w:rPr>
          <w:rFonts w:ascii="Arial" w:hAnsi="Arial" w:cs="Arial"/>
          <w:b/>
          <w:color w:val="000000"/>
          <w:sz w:val="24"/>
          <w:szCs w:val="24"/>
          <w:shd w:val="clear" w:color="auto" w:fill="ffffff"/>
        </w:rPr>
      </w:r>
    </w:p>
    <w:p>
      <w:pPr>
        <w:pStyle w:val="856"/>
        <w:pBdr/>
        <w:spacing w:line="560" w:lineRule="exact"/>
        <w:ind/>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随州市水利局2017年度部门整体支出绩效评价项目是符合《省政府关于推进预算绩效管理工作暂行办法》（鄂政发{2013}9号）、《市财政局关于2018年开展财政支出绩效评价工作的通知》（随财发〔2018〕16号）等文件要求，设立了明确、细化、量化的绩效目标，在绩效依据及绩效目标安排上符合相关规定。经过资料收集、现场勘查、座谈、发放调查问卷以及评价分析等评价程序，随州市水利局2017年度部门整体支出绩效评价总分为</w:t>
      </w:r>
      <w:r>
        <w:rPr>
          <w:rFonts w:hint="eastAsia" w:ascii="Arial" w:hAnsi="Arial" w:cs="Arial"/>
          <w:color w:val="000000"/>
          <w:sz w:val="24"/>
          <w:szCs w:val="24"/>
          <w:shd w:val="clear" w:color="auto" w:fill="ffffff"/>
        </w:rPr>
        <w:t xml:space="preserve">91</w:t>
      </w:r>
      <w:r>
        <w:rPr>
          <w:rFonts w:ascii="Arial" w:hAnsi="Arial" w:cs="Arial"/>
          <w:color w:val="000000"/>
          <w:sz w:val="24"/>
          <w:szCs w:val="24"/>
          <w:shd w:val="clear" w:color="auto" w:fill="ffffff"/>
        </w:rPr>
        <w:t xml:space="preserve">.45分，评价结果类型为A</w:t>
      </w:r>
      <w:r>
        <w:rPr>
          <w:rFonts w:hint="eastAsia" w:ascii="Arial" w:hAnsi="Arial" w:cs="Arial"/>
          <w:color w:val="000000"/>
          <w:sz w:val="24"/>
          <w:szCs w:val="24"/>
          <w:shd w:val="clear" w:color="auto" w:fill="ffffff"/>
        </w:rPr>
        <w:t xml:space="preserve">+</w:t>
      </w:r>
      <w:r>
        <w:rPr>
          <w:rFonts w:ascii="Arial" w:hAnsi="Arial" w:cs="Arial"/>
          <w:color w:val="000000"/>
          <w:sz w:val="24"/>
          <w:szCs w:val="24"/>
          <w:shd w:val="clear" w:color="auto" w:fill="ffffff"/>
        </w:rPr>
        <w:t xml:space="preserve">，绩效评价结果级别为优。部门各项管理制度齐全，并得到了有效地实施，取得了各项水利工作的全面进步，社会效益明显。</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60" w:lineRule="exact"/>
        <w:ind w:firstLine="482"/>
        <w:rPr>
          <w:rFonts w:ascii="Arial" w:hAnsi="Arial" w:cs="Arial"/>
          <w:b/>
          <w:color w:val="000000"/>
          <w:sz w:val="24"/>
          <w:szCs w:val="24"/>
          <w:shd w:val="clear" w:color="auto" w:fill="ffffff"/>
        </w:rPr>
      </w:pPr>
      <w:r>
        <w:rPr>
          <w:rFonts w:ascii="Arial" w:hAnsi="Arial" w:cs="Arial"/>
          <w:b/>
          <w:color w:val="000000"/>
          <w:sz w:val="24"/>
          <w:szCs w:val="24"/>
          <w:shd w:val="clear" w:color="auto" w:fill="ffffff"/>
        </w:rPr>
        <w:t xml:space="preserve">（二）绩效分析</w:t>
      </w:r>
      <w:r>
        <w:rPr>
          <w:rFonts w:ascii="Arial" w:hAnsi="Arial" w:cs="Arial"/>
          <w:b/>
          <w:color w:val="000000"/>
          <w:sz w:val="24"/>
          <w:szCs w:val="24"/>
          <w:shd w:val="clear" w:color="auto" w:fill="ffffff"/>
        </w:rPr>
      </w:r>
      <w:r>
        <w:rPr>
          <w:rFonts w:ascii="Arial" w:hAnsi="Arial" w:cs="Arial"/>
          <w:b/>
          <w:color w:val="000000"/>
          <w:sz w:val="24"/>
          <w:szCs w:val="24"/>
          <w:shd w:val="clear" w:color="auto" w:fill="ffffff"/>
        </w:rPr>
      </w:r>
    </w:p>
    <w:p>
      <w:pPr>
        <w:pStyle w:val="856"/>
        <w:pBdr/>
        <w:spacing w:line="560" w:lineRule="exact"/>
        <w:ind w:firstLine="48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随州市水利局2017年度部门整体支出绩效评价总分为</w:t>
      </w:r>
      <w:r>
        <w:rPr>
          <w:rFonts w:hint="eastAsia" w:ascii="Arial" w:hAnsi="Arial" w:cs="Arial"/>
          <w:color w:val="000000"/>
          <w:sz w:val="24"/>
          <w:szCs w:val="24"/>
          <w:shd w:val="clear" w:color="auto" w:fill="ffffff"/>
        </w:rPr>
        <w:t xml:space="preserve">91</w:t>
      </w:r>
      <w:r>
        <w:rPr>
          <w:rFonts w:ascii="Arial" w:hAnsi="Arial" w:cs="Arial"/>
          <w:color w:val="000000"/>
          <w:sz w:val="24"/>
          <w:szCs w:val="24"/>
          <w:shd w:val="clear" w:color="auto" w:fill="ffffff"/>
        </w:rPr>
        <w:t xml:space="preserve">.45分，评价结果类型为A</w:t>
      </w:r>
      <w:r>
        <w:rPr>
          <w:rFonts w:hint="eastAsia" w:ascii="Arial" w:hAnsi="Arial" w:cs="Arial"/>
          <w:color w:val="000000"/>
          <w:sz w:val="24"/>
          <w:szCs w:val="24"/>
          <w:shd w:val="clear" w:color="auto" w:fill="ffffff"/>
        </w:rPr>
        <w:t xml:space="preserve">+</w:t>
      </w:r>
      <w:r>
        <w:rPr>
          <w:rFonts w:ascii="Arial" w:hAnsi="Arial" w:cs="Arial"/>
          <w:color w:val="000000"/>
          <w:sz w:val="24"/>
          <w:szCs w:val="24"/>
          <w:shd w:val="clear" w:color="auto" w:fill="ffffff"/>
        </w:rPr>
        <w:t xml:space="preserve">，绩效评价结果级别为优。具体情况如下：</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bl>
      <w:tblPr>
        <w:tblpPr w:horzAnchor="page" w:tblpX="1815" w:vertAnchor="text" w:tblpY="159" w:leftFromText="180" w:topFromText="0" w:rightFromText="180" w:bottomFromText="0"/>
        <w:tblW w:w="85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2834"/>
        <w:gridCol w:w="2833"/>
        <w:gridCol w:w="2833"/>
      </w:tblGrid>
      <w:tr>
        <w:trPr>
          <w:trHeight w:val="116"/>
        </w:trPr>
        <w:tc>
          <w:tcPr>
            <w:tcBorders/>
            <w:tcW w:w="2834" w:type="dxa"/>
            <w:vAlign w:val="center"/>
            <w:textDirection w:val="lrTb"/>
            <w:noWrap w:val="false"/>
          </w:tcPr>
          <w:p>
            <w:pPr>
              <w:pStyle w:val="856"/>
              <w:framePr w:hAnchor="page" w:hSpace="180" w:vAnchor="text" w:wrap="around" w:x="1815" w:y="159"/>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评价内容</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c>
          <w:tcPr>
            <w:tcBorders/>
            <w:tcW w:w="2833" w:type="dxa"/>
            <w:vAlign w:val="center"/>
            <w:textDirection w:val="lrTb"/>
            <w:noWrap w:val="false"/>
          </w:tcPr>
          <w:p>
            <w:pPr>
              <w:pStyle w:val="856"/>
              <w:framePr w:hAnchor="page" w:hSpace="180" w:vAnchor="text" w:wrap="around" w:x="1815" w:y="159"/>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标准分值 </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c>
          <w:tcPr>
            <w:tcBorders/>
            <w:tcW w:w="2833" w:type="dxa"/>
            <w:vAlign w:val="center"/>
            <w:textDirection w:val="lrTb"/>
            <w:noWrap w:val="false"/>
          </w:tcPr>
          <w:p>
            <w:pPr>
              <w:pStyle w:val="856"/>
              <w:framePr w:hAnchor="page" w:hSpace="180" w:vAnchor="text" w:wrap="around" w:x="1815" w:y="159"/>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评价得分</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r>
      <w:tr>
        <w:trPr>
          <w:trHeight w:val="285"/>
        </w:trPr>
        <w:tc>
          <w:tcPr>
            <w:tcBorders/>
            <w:tcW w:w="2834" w:type="dxa"/>
            <w:vAlign w:val="center"/>
            <w:textDirection w:val="lrTb"/>
            <w:noWrap w:val="false"/>
          </w:tcPr>
          <w:p>
            <w:pPr>
              <w:pStyle w:val="856"/>
              <w:framePr w:hAnchor="page" w:hSpace="180" w:vAnchor="text" w:wrap="around" w:x="1815" w:y="159"/>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投 入</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c>
          <w:tcPr>
            <w:tcBorders/>
            <w:tcW w:w="2833" w:type="dxa"/>
            <w:vAlign w:val="center"/>
            <w:textDirection w:val="lrTb"/>
            <w:noWrap w:val="false"/>
          </w:tcPr>
          <w:p>
            <w:pPr>
              <w:pStyle w:val="856"/>
              <w:framePr w:hAnchor="page" w:hSpace="180" w:vAnchor="text" w:wrap="around" w:x="1815" w:y="159"/>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15</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c>
          <w:tcPr>
            <w:tcBorders/>
            <w:tcW w:w="2833" w:type="dxa"/>
            <w:vAlign w:val="center"/>
            <w:textDirection w:val="lrTb"/>
            <w:noWrap w:val="false"/>
          </w:tcPr>
          <w:p>
            <w:pPr>
              <w:pStyle w:val="856"/>
              <w:framePr w:hAnchor="page" w:hSpace="180" w:vAnchor="text" w:wrap="around" w:x="1815" w:y="159"/>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1</w:t>
            </w:r>
            <w:r>
              <w:rPr>
                <w:rFonts w:hint="eastAsia" w:ascii="Arial" w:hAnsi="Arial" w:cs="Arial"/>
                <w:color w:val="000000"/>
                <w:sz w:val="24"/>
                <w:szCs w:val="24"/>
                <w:shd w:val="clear" w:color="auto" w:fill="ffffff"/>
              </w:rPr>
              <w:t xml:space="preserve">5</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r>
      <w:tr>
        <w:trPr>
          <w:trHeight w:val="285"/>
        </w:trPr>
        <w:tc>
          <w:tcPr>
            <w:tcBorders/>
            <w:tcW w:w="2834" w:type="dxa"/>
            <w:vAlign w:val="center"/>
            <w:textDirection w:val="lrTb"/>
            <w:noWrap w:val="false"/>
          </w:tcPr>
          <w:p>
            <w:pPr>
              <w:pStyle w:val="856"/>
              <w:framePr w:hAnchor="page" w:hSpace="180" w:vAnchor="text" w:wrap="around" w:x="1815" w:y="159"/>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过 程</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c>
          <w:tcPr>
            <w:tcBorders/>
            <w:tcW w:w="2833" w:type="dxa"/>
            <w:vAlign w:val="center"/>
            <w:textDirection w:val="lrTb"/>
            <w:noWrap w:val="false"/>
          </w:tcPr>
          <w:p>
            <w:pPr>
              <w:pStyle w:val="856"/>
              <w:framePr w:hAnchor="page" w:hSpace="180" w:vAnchor="text" w:wrap="around" w:x="1815" w:y="159"/>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53</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c>
          <w:tcPr>
            <w:tcBorders/>
            <w:tcW w:w="2833" w:type="dxa"/>
            <w:vAlign w:val="center"/>
            <w:textDirection w:val="lrTb"/>
            <w:noWrap w:val="false"/>
          </w:tcPr>
          <w:p>
            <w:pPr>
              <w:pStyle w:val="856"/>
              <w:framePr w:hAnchor="page" w:hSpace="180" w:vAnchor="text" w:wrap="around" w:x="1815" w:y="159"/>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46.45</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r>
      <w:tr>
        <w:trPr>
          <w:trHeight w:val="146"/>
        </w:trPr>
        <w:tc>
          <w:tcPr>
            <w:tcBorders/>
            <w:tcW w:w="2834" w:type="dxa"/>
            <w:vAlign w:val="center"/>
            <w:textDirection w:val="lrTb"/>
            <w:noWrap w:val="false"/>
          </w:tcPr>
          <w:p>
            <w:pPr>
              <w:pStyle w:val="856"/>
              <w:framePr w:hAnchor="page" w:hSpace="180" w:vAnchor="text" w:wrap="around" w:x="1815" w:y="159"/>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产出及效果</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c>
          <w:tcPr>
            <w:tcBorders/>
            <w:tcW w:w="2833" w:type="dxa"/>
            <w:vAlign w:val="center"/>
            <w:textDirection w:val="lrTb"/>
            <w:noWrap w:val="false"/>
          </w:tcPr>
          <w:p>
            <w:pPr>
              <w:pStyle w:val="856"/>
              <w:framePr w:hAnchor="page" w:hSpace="180" w:vAnchor="text" w:wrap="around" w:x="1815" w:y="159"/>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32</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c>
          <w:tcPr>
            <w:tcBorders/>
            <w:tcW w:w="2833" w:type="dxa"/>
            <w:vAlign w:val="center"/>
            <w:textDirection w:val="lrTb"/>
            <w:noWrap w:val="false"/>
          </w:tcPr>
          <w:p>
            <w:pPr>
              <w:pStyle w:val="856"/>
              <w:framePr w:hAnchor="page" w:hSpace="180" w:vAnchor="text" w:wrap="around" w:x="1815" w:y="159"/>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30</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r>
      <w:tr>
        <w:trPr>
          <w:trHeight w:val="285"/>
        </w:trPr>
        <w:tc>
          <w:tcPr>
            <w:tcBorders/>
            <w:tcW w:w="2834" w:type="dxa"/>
            <w:vAlign w:val="center"/>
            <w:textDirection w:val="lrTb"/>
            <w:noWrap w:val="false"/>
          </w:tcPr>
          <w:p>
            <w:pPr>
              <w:pStyle w:val="856"/>
              <w:framePr w:hAnchor="page" w:hSpace="180" w:vAnchor="text" w:wrap="around" w:x="1815" w:y="159"/>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总 分</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c>
          <w:tcPr>
            <w:tcBorders/>
            <w:tcW w:w="2833" w:type="dxa"/>
            <w:vAlign w:val="center"/>
            <w:textDirection w:val="lrTb"/>
            <w:noWrap w:val="false"/>
          </w:tcPr>
          <w:p>
            <w:pPr>
              <w:pStyle w:val="856"/>
              <w:framePr w:hAnchor="page" w:hSpace="180" w:vAnchor="text" w:wrap="around" w:x="1815" w:y="159"/>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100</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c>
          <w:tcPr>
            <w:tcBorders/>
            <w:tcW w:w="2833" w:type="dxa"/>
            <w:vAlign w:val="center"/>
            <w:textDirection w:val="lrTb"/>
            <w:noWrap w:val="false"/>
          </w:tcPr>
          <w:p>
            <w:pPr>
              <w:pStyle w:val="856"/>
              <w:framePr w:hAnchor="page" w:hSpace="180" w:vAnchor="text" w:wrap="around" w:x="1815" w:y="159"/>
              <w:pBdr/>
              <w:spacing w:line="500" w:lineRule="exact"/>
              <w:ind/>
              <w:jc w:val="center"/>
              <w:rPr>
                <w:rFonts w:ascii="Arial" w:hAnsi="Arial" w:cs="Arial"/>
                <w:color w:val="000000"/>
                <w:sz w:val="24"/>
                <w:szCs w:val="24"/>
                <w:shd w:val="clear" w:color="auto" w:fill="ffffff"/>
              </w:rPr>
            </w:pPr>
            <w:r>
              <w:rPr>
                <w:rFonts w:hint="eastAsia" w:ascii="Arial" w:hAnsi="Arial" w:cs="Arial"/>
                <w:color w:val="000000"/>
                <w:sz w:val="24"/>
                <w:szCs w:val="24"/>
                <w:shd w:val="clear" w:color="auto" w:fill="ffffff"/>
              </w:rPr>
              <w:t xml:space="preserve">91</w:t>
            </w:r>
            <w:r>
              <w:rPr>
                <w:rFonts w:ascii="Arial" w:hAnsi="Arial" w:cs="Arial"/>
                <w:color w:val="000000"/>
                <w:sz w:val="24"/>
                <w:szCs w:val="24"/>
                <w:shd w:val="clear" w:color="auto" w:fill="ffffff"/>
              </w:rPr>
              <w:t xml:space="preserve">.45</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r>
    </w:tbl>
    <w:p>
      <w:pPr>
        <w:pStyle w:val="856"/>
        <w:pBdr/>
        <w:spacing w:line="560" w:lineRule="exact"/>
        <w:ind w:firstLine="480" w:left="-141"/>
        <w:jc w:val="left"/>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随州市水利局2017年度部门整体支出绩效评价主要扣分情况如下：</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60" w:lineRule="exact"/>
        <w:ind w:firstLine="480" w:left="-141"/>
        <w:jc w:val="left"/>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1、根据2017年度水利局经费支出明细表，随州市水利局2017年”三公“经费实际支出212,900.00元，预算数为1</w:t>
      </w:r>
      <w:r>
        <w:rPr>
          <w:rFonts w:hint="eastAsia" w:ascii="Arial" w:hAnsi="Arial" w:cs="Arial"/>
          <w:color w:val="000000"/>
          <w:sz w:val="24"/>
          <w:szCs w:val="24"/>
          <w:shd w:val="clear" w:color="auto" w:fill="ffffff"/>
        </w:rPr>
        <w:t xml:space="preserve">9</w:t>
      </w:r>
      <w:r>
        <w:rPr>
          <w:rFonts w:ascii="Arial" w:hAnsi="Arial" w:cs="Arial"/>
          <w:color w:val="000000"/>
          <w:sz w:val="24"/>
          <w:szCs w:val="24"/>
          <w:shd w:val="clear" w:color="auto" w:fill="ffffff"/>
        </w:rPr>
        <w:t xml:space="preserve">2,700.00元 ，”三公“经费控制率为1</w:t>
      </w:r>
      <w:r>
        <w:rPr>
          <w:rFonts w:ascii="Arial" w:hAnsi="Arial" w:cs="Arial"/>
          <w:sz w:val="24"/>
          <w:szCs w:val="24"/>
        </w:rPr>
        <w:t xml:space="preserve">1</w:t>
      </w:r>
      <w:r>
        <w:rPr>
          <w:rFonts w:hint="eastAsia" w:ascii="Arial" w:hAnsi="Arial" w:cs="Arial"/>
          <w:sz w:val="24"/>
          <w:szCs w:val="24"/>
        </w:rPr>
        <w:t xml:space="preserve">0.48</w:t>
      </w:r>
      <w:r>
        <w:rPr>
          <w:rFonts w:ascii="Arial" w:hAnsi="Arial" w:cs="Arial"/>
          <w:color w:val="000000"/>
          <w:sz w:val="24"/>
          <w:szCs w:val="24"/>
          <w:shd w:val="clear" w:color="auto" w:fill="ffffff"/>
        </w:rPr>
        <w:t xml:space="preserve">%，大于100%。根据评分标准，扣5分。</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60" w:lineRule="exact"/>
        <w:ind w:firstLine="480" w:left="-141"/>
        <w:jc w:val="left"/>
        <w:rPr>
          <w:rFonts w:ascii="Arial" w:hAnsi="Arial" w:cs="Arial"/>
          <w:color w:val="000000"/>
          <w:sz w:val="24"/>
          <w:szCs w:val="24"/>
          <w:shd w:val="clear" w:color="auto" w:fill="ffffff"/>
        </w:rPr>
      </w:pPr>
      <w:r>
        <w:rPr>
          <w:rFonts w:hint="eastAsia" w:ascii="Arial" w:hAnsi="Arial" w:cs="Arial"/>
          <w:color w:val="000000"/>
          <w:sz w:val="24"/>
          <w:szCs w:val="24"/>
          <w:shd w:val="clear" w:color="auto" w:fill="ffffff"/>
        </w:rPr>
        <w:t xml:space="preserve">2</w:t>
      </w:r>
      <w:r>
        <w:rPr>
          <w:rFonts w:ascii="Arial" w:hAnsi="Arial" w:cs="Arial"/>
          <w:color w:val="000000"/>
          <w:sz w:val="24"/>
          <w:szCs w:val="24"/>
          <w:shd w:val="clear" w:color="auto" w:fill="ffffff"/>
        </w:rPr>
        <w:t xml:space="preserve">、根据2017年度财务科目余额表及收入明细表，随州市水利局2017年资金结转结余数为7,185,300.00元，2017年支出预算数为23,444,800.00元。资金结转结余率30.65%。根据评分标准，扣1.55分。</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60" w:lineRule="exact"/>
        <w:ind w:firstLine="480" w:left="-141"/>
        <w:jc w:val="left"/>
        <w:rPr>
          <w:rFonts w:ascii="Arial" w:hAnsi="Arial" w:cs="Arial"/>
          <w:color w:val="000000"/>
          <w:sz w:val="24"/>
          <w:szCs w:val="24"/>
          <w:shd w:val="clear" w:color="auto" w:fill="ffffff"/>
        </w:rPr>
      </w:pPr>
      <w:r>
        <w:rPr>
          <w:rFonts w:hint="eastAsia" w:ascii="Arial" w:hAnsi="Arial" w:cs="Arial"/>
          <w:color w:val="000000"/>
          <w:sz w:val="24"/>
          <w:szCs w:val="24"/>
          <w:shd w:val="clear" w:color="auto" w:fill="ffffff"/>
        </w:rPr>
        <w:t xml:space="preserve">3</w:t>
      </w:r>
      <w:r>
        <w:rPr>
          <w:rFonts w:ascii="Arial" w:hAnsi="Arial" w:cs="Arial"/>
          <w:color w:val="000000"/>
          <w:sz w:val="24"/>
          <w:szCs w:val="24"/>
          <w:shd w:val="clear" w:color="auto" w:fill="ffffff"/>
        </w:rPr>
        <w:t xml:space="preserve">、2017年随州市水利局社会公众满意度调查问卷共计30份，收回30份。社会公众满意度调查问卷最终得分87.3分，在70-89分之间为良好。根据评分标准，扣2分。</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60" w:lineRule="exact"/>
        <w:ind w:firstLine="482" w:left="-141"/>
        <w:rPr>
          <w:rFonts w:ascii="Arial" w:hAnsi="Arial" w:cs="Arial"/>
          <w:b/>
          <w:sz w:val="24"/>
          <w:szCs w:val="24"/>
        </w:rPr>
      </w:pPr>
      <w:r>
        <w:rPr>
          <w:rFonts w:ascii="Arial" w:hAnsi="Arial" w:cs="Arial"/>
          <w:b/>
          <w:color w:val="000000"/>
          <w:sz w:val="24"/>
          <w:szCs w:val="24"/>
        </w:rPr>
        <w:t xml:space="preserve">三、经验教训和建议</w:t>
      </w:r>
      <w:r>
        <w:rPr>
          <w:rFonts w:ascii="Arial" w:hAnsi="Arial" w:cs="Arial"/>
          <w:b/>
          <w:sz w:val="24"/>
          <w:szCs w:val="24"/>
        </w:rPr>
      </w:r>
      <w:r>
        <w:rPr>
          <w:rFonts w:ascii="Arial" w:hAnsi="Arial" w:cs="Arial"/>
          <w:b/>
          <w:sz w:val="24"/>
          <w:szCs w:val="24"/>
        </w:rPr>
      </w:r>
    </w:p>
    <w:p>
      <w:pPr>
        <w:pStyle w:val="856"/>
        <w:pBdr/>
        <w:spacing w:line="560" w:lineRule="exact"/>
        <w:ind w:firstLine="361"/>
        <w:rPr>
          <w:rFonts w:ascii="Arial" w:hAnsi="Arial" w:cs="Arial"/>
          <w:b/>
          <w:color w:val="0c0c0c"/>
          <w:sz w:val="24"/>
          <w:szCs w:val="24"/>
        </w:rPr>
      </w:pPr>
      <w:r>
        <w:rPr>
          <w:rFonts w:ascii="Arial" w:hAnsi="Arial" w:cs="Arial"/>
          <w:b/>
          <w:color w:val="0c0c0c"/>
          <w:sz w:val="24"/>
          <w:szCs w:val="24"/>
        </w:rPr>
        <w:t xml:space="preserve">（一）经验</w:t>
      </w:r>
      <w:r>
        <w:rPr>
          <w:rFonts w:ascii="Arial" w:hAnsi="Arial" w:cs="Arial"/>
          <w:b/>
          <w:color w:val="0c0c0c"/>
          <w:sz w:val="24"/>
          <w:szCs w:val="24"/>
        </w:rPr>
      </w:r>
      <w:r>
        <w:rPr>
          <w:rFonts w:ascii="Arial" w:hAnsi="Arial" w:cs="Arial"/>
          <w:b/>
          <w:color w:val="0c0c0c"/>
          <w:sz w:val="24"/>
          <w:szCs w:val="24"/>
        </w:rPr>
      </w:r>
    </w:p>
    <w:p>
      <w:pPr>
        <w:pStyle w:val="856"/>
        <w:pBdr/>
        <w:spacing w:line="560" w:lineRule="exact"/>
        <w:ind w:firstLine="480" w:left="-141"/>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1、注重加强科学调度，第一时间抢险救援，夺取了防汛抗旱工作的全面胜利。足精细防御，创新工作举措，建立了全市防汛微信群，配备了便携式防汛指挥设备，基本构建了现代化的防汛指挥系统。</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60" w:lineRule="exact"/>
        <w:ind w:firstLine="480" w:left="-141"/>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2、坚持夯实基础，积极争取中央和省对我市无偿水利投资3.06亿元，为我市水利工程建设提供了坚实的资金保障，重点水利工程项目全面提速。</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60" w:lineRule="exact"/>
        <w:ind w:firstLine="480" w:left="-141"/>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3、重视水利法治理论宣传工作，通过利用“3.22”世界水日和“中国水周”，通过宣传车、展牌、悬挂横幅等方式以及向群众发放宣传单、法规手册和《随州日报》专版刊发专题等多途径开展水法规宣传。</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60" w:lineRule="exact"/>
        <w:ind w:firstLine="480" w:left="-141"/>
        <w:rPr>
          <w:rFonts w:ascii="Arial" w:hAnsi="Arial" w:cs="Arial"/>
          <w:bCs/>
          <w:color w:val="000000"/>
          <w:sz w:val="24"/>
          <w:szCs w:val="24"/>
        </w:rPr>
      </w:pPr>
      <w:r>
        <w:rPr>
          <w:rFonts w:ascii="Arial" w:hAnsi="Arial" w:cs="Arial"/>
          <w:bCs/>
          <w:color w:val="000000"/>
          <w:sz w:val="24"/>
          <w:szCs w:val="24"/>
        </w:rPr>
        <w:t xml:space="preserve">4、全面落实最严格水资源管理制度。</w:t>
      </w:r>
      <w:r>
        <w:rPr>
          <w:rFonts w:ascii="Arial" w:hAnsi="Arial" w:cs="Arial"/>
          <w:color w:val="000000"/>
          <w:sz w:val="24"/>
          <w:szCs w:val="24"/>
        </w:rPr>
        <w:t xml:space="preserve">严格执行水资源论证制度，建立了取水许可台账。开展了三轮排污口核查，顺利通过了省政府对我市最严格水资源管理制度的考核，获得了优良等次。实施生态补水，</w:t>
      </w:r>
      <w:r>
        <w:rPr>
          <w:rFonts w:ascii="Arial" w:hAnsi="Arial" w:cs="Arial"/>
          <w:bCs/>
          <w:color w:val="000000"/>
          <w:sz w:val="24"/>
          <w:szCs w:val="24"/>
        </w:rPr>
        <w:t xml:space="preserve">省考核我市12个水功能区2017年1-12月水质达标率为100%。</w:t>
      </w:r>
      <w:r>
        <w:rPr>
          <w:rFonts w:ascii="Arial" w:hAnsi="Arial" w:cs="Arial"/>
          <w:bCs/>
          <w:color w:val="000000"/>
          <w:sz w:val="24"/>
          <w:szCs w:val="24"/>
        </w:rPr>
      </w:r>
      <w:r>
        <w:rPr>
          <w:rFonts w:ascii="Arial" w:hAnsi="Arial" w:cs="Arial"/>
          <w:bCs/>
          <w:color w:val="000000"/>
          <w:sz w:val="24"/>
          <w:szCs w:val="24"/>
        </w:rPr>
      </w:r>
    </w:p>
    <w:p>
      <w:pPr>
        <w:pStyle w:val="856"/>
        <w:pBdr/>
        <w:spacing w:line="560" w:lineRule="exact"/>
        <w:ind w:firstLine="480" w:left="-141"/>
        <w:rPr>
          <w:rFonts w:ascii="Arial" w:hAnsi="Arial" w:cs="Arial"/>
          <w:sz w:val="24"/>
          <w:szCs w:val="24"/>
        </w:rPr>
      </w:pPr>
      <w:r>
        <w:rPr>
          <w:rFonts w:ascii="Arial" w:hAnsi="Arial" w:cs="Arial"/>
          <w:bCs/>
          <w:color w:val="000000"/>
          <w:sz w:val="24"/>
          <w:szCs w:val="24"/>
        </w:rPr>
        <w:t xml:space="preserve">5、强化水利建设管理。</w:t>
      </w:r>
      <w:r>
        <w:rPr>
          <w:rFonts w:ascii="Arial" w:hAnsi="Arial" w:cs="Arial"/>
          <w:color w:val="000000"/>
          <w:sz w:val="24"/>
          <w:szCs w:val="24"/>
        </w:rPr>
        <w:t xml:space="preserve">维护市场公正。规范招标程序，</w:t>
      </w:r>
      <w:r>
        <w:rPr>
          <w:rFonts w:ascii="Arial" w:hAnsi="Arial" w:cs="Arial"/>
          <w:sz w:val="24"/>
          <w:szCs w:val="24"/>
        </w:rPr>
        <w:t xml:space="preserve">全市按规定应公开招标的水利项目，做到了100%进入公共资源交易平台招标。</w:t>
      </w:r>
      <w:r>
        <w:rPr>
          <w:rFonts w:ascii="Arial" w:hAnsi="Arial" w:cs="Arial"/>
          <w:sz w:val="24"/>
          <w:szCs w:val="24"/>
        </w:rPr>
      </w:r>
      <w:r>
        <w:rPr>
          <w:rFonts w:ascii="Arial" w:hAnsi="Arial" w:cs="Arial"/>
          <w:sz w:val="24"/>
          <w:szCs w:val="24"/>
        </w:rPr>
      </w:r>
    </w:p>
    <w:p>
      <w:pPr>
        <w:pStyle w:val="856"/>
        <w:pBdr/>
        <w:spacing w:line="560" w:lineRule="exact"/>
        <w:ind w:firstLine="480" w:left="-141"/>
        <w:rPr>
          <w:rFonts w:ascii="Arial" w:hAnsi="Arial" w:cs="Arial"/>
          <w:color w:val="000000"/>
          <w:sz w:val="24"/>
          <w:szCs w:val="24"/>
          <w:shd w:val="clear" w:color="auto" w:fill="ffffff"/>
        </w:rPr>
      </w:pPr>
      <w:r>
        <w:rPr>
          <w:rFonts w:ascii="Arial" w:hAnsi="Arial" w:cs="Arial"/>
          <w:sz w:val="24"/>
          <w:szCs w:val="24"/>
        </w:rPr>
        <w:t xml:space="preserve">6、</w:t>
      </w:r>
      <w:r>
        <w:rPr>
          <w:rFonts w:ascii="Arial" w:hAnsi="Arial" w:cs="Arial"/>
          <w:bCs/>
          <w:color w:val="000000"/>
          <w:sz w:val="24"/>
          <w:szCs w:val="24"/>
        </w:rPr>
        <w:t xml:space="preserve">河长制工作成效显著。</w:t>
      </w:r>
      <w:r>
        <w:rPr>
          <w:rFonts w:ascii="Arial" w:hAnsi="Arial" w:cs="Arial"/>
          <w:color w:val="000000"/>
          <w:sz w:val="24"/>
          <w:szCs w:val="24"/>
        </w:rPr>
        <w:t xml:space="preserve">出台实施方案。全市各级河长制实施方案全部出台，落实工作机构，公布河流名录，明确成员单位职责，初步完成“一河一策”编制工作，建立了河长制工作制度。</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60" w:lineRule="exact"/>
        <w:ind w:firstLine="480" w:left="-141"/>
        <w:rPr>
          <w:rFonts w:ascii="Arial" w:hAnsi="Arial" w:cs="Arial"/>
          <w:sz w:val="24"/>
          <w:szCs w:val="24"/>
        </w:rPr>
      </w:pPr>
      <w:r>
        <w:rPr>
          <w:rFonts w:ascii="Arial" w:hAnsi="Arial" w:cs="Arial"/>
          <w:sz w:val="24"/>
          <w:szCs w:val="24"/>
        </w:rPr>
        <w:t xml:space="preserve">7、文明创建和文体活动全面开展，精神文明建设蓬勃发展。水利社会治安综合治理坚持“一岗双责”，及时调处化解各类矛盾，确保了水利系统社会稳定。计划生育、安全生产、工会、妇联、共青团、水利新闻宣传等系列工作圆满完成，树立了水利良好形象。</w:t>
      </w:r>
      <w:r>
        <w:rPr>
          <w:rFonts w:ascii="Arial" w:hAnsi="Arial" w:cs="Arial"/>
          <w:sz w:val="24"/>
          <w:szCs w:val="24"/>
        </w:rPr>
      </w:r>
      <w:r>
        <w:rPr>
          <w:rFonts w:ascii="Arial" w:hAnsi="Arial" w:cs="Arial"/>
          <w:sz w:val="24"/>
          <w:szCs w:val="24"/>
        </w:rPr>
      </w:r>
    </w:p>
    <w:p>
      <w:pPr>
        <w:pStyle w:val="856"/>
        <w:pBdr/>
        <w:spacing w:line="560" w:lineRule="exact"/>
        <w:ind w:firstLine="482" w:left="-141"/>
        <w:rPr>
          <w:rFonts w:ascii="Arial" w:hAnsi="Arial" w:cs="Arial"/>
          <w:sz w:val="24"/>
          <w:szCs w:val="24"/>
        </w:rPr>
      </w:pPr>
      <w:r>
        <w:rPr>
          <w:rFonts w:ascii="Arial" w:hAnsi="Arial" w:cs="Arial"/>
          <w:b/>
          <w:color w:val="000000"/>
          <w:sz w:val="24"/>
          <w:szCs w:val="24"/>
          <w:shd w:val="clear" w:color="auto" w:fill="ffffff"/>
        </w:rPr>
        <w:t xml:space="preserve">（二）存在的问题</w:t>
      </w:r>
      <w:r>
        <w:rPr>
          <w:rFonts w:ascii="Arial" w:hAnsi="Arial" w:cs="Arial"/>
          <w:sz w:val="24"/>
          <w:szCs w:val="24"/>
        </w:rPr>
      </w:r>
      <w:r>
        <w:rPr>
          <w:rFonts w:ascii="Arial" w:hAnsi="Arial" w:cs="Arial"/>
          <w:sz w:val="24"/>
          <w:szCs w:val="24"/>
        </w:rPr>
      </w:r>
    </w:p>
    <w:p>
      <w:pPr>
        <w:pStyle w:val="856"/>
        <w:pBdr/>
        <w:spacing w:line="560" w:lineRule="exact"/>
        <w:ind w:firstLine="382" w:left="-141"/>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随州市水利局2017年部门整体支出绩效评价得分</w:t>
      </w:r>
      <w:r>
        <w:rPr>
          <w:rFonts w:hint="eastAsia" w:ascii="Arial" w:hAnsi="Arial" w:cs="Arial"/>
          <w:color w:val="000000"/>
          <w:sz w:val="24"/>
          <w:szCs w:val="24"/>
          <w:shd w:val="clear" w:color="auto" w:fill="ffffff"/>
        </w:rPr>
        <w:t xml:space="preserve">91</w:t>
      </w:r>
      <w:r>
        <w:rPr>
          <w:rFonts w:ascii="Arial" w:hAnsi="Arial" w:cs="Arial"/>
          <w:color w:val="000000"/>
          <w:sz w:val="24"/>
          <w:szCs w:val="24"/>
          <w:shd w:val="clear" w:color="auto" w:fill="ffffff"/>
        </w:rPr>
        <w:t xml:space="preserve">.45分，扣</w:t>
      </w:r>
      <w:r>
        <w:rPr>
          <w:rFonts w:hint="eastAsia" w:ascii="Arial" w:hAnsi="Arial" w:cs="Arial"/>
          <w:color w:val="000000"/>
          <w:sz w:val="24"/>
          <w:szCs w:val="24"/>
          <w:shd w:val="clear" w:color="auto" w:fill="ffffff"/>
        </w:rPr>
        <w:t xml:space="preserve">8</w:t>
      </w:r>
      <w:r>
        <w:rPr>
          <w:rFonts w:ascii="Arial" w:hAnsi="Arial" w:cs="Arial"/>
          <w:color w:val="000000"/>
          <w:sz w:val="24"/>
          <w:szCs w:val="24"/>
          <w:shd w:val="clear" w:color="auto" w:fill="ffffff"/>
        </w:rPr>
        <w:t xml:space="preserve">.55分。扣分项在随州市水利局预算执行中</w:t>
      </w:r>
      <w:r>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 xml:space="preserve">“三公经费控制率”、“资金结转结余率”和“社会公众或服务对象满意度”等</w:t>
      </w:r>
      <w:r>
        <w:rPr>
          <w:rFonts w:hint="eastAsia" w:ascii="Arial" w:hAnsi="Arial" w:cs="Arial"/>
          <w:color w:val="000000"/>
          <w:sz w:val="24"/>
          <w:szCs w:val="24"/>
          <w:shd w:val="clear" w:color="auto" w:fill="ffffff"/>
        </w:rPr>
        <w:t xml:space="preserve">三</w:t>
      </w:r>
      <w:r>
        <w:rPr>
          <w:rFonts w:ascii="Arial" w:hAnsi="Arial" w:cs="Arial"/>
          <w:color w:val="000000"/>
          <w:sz w:val="24"/>
          <w:szCs w:val="24"/>
          <w:shd w:val="clear" w:color="auto" w:fill="ffffff"/>
        </w:rPr>
        <w:t xml:space="preserve">个指标，主要存在的问题：</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widowControl w:val="true"/>
        <w:pBdr/>
        <w:shd w:val="clear" w:color="auto" w:fill="ffffff"/>
        <w:tabs>
          <w:tab w:val="left" w:leader="none" w:pos="5400"/>
        </w:tabs>
        <w:spacing w:line="560" w:lineRule="exact"/>
        <w:ind w:right="300" w:firstLine="480" w:left="-141"/>
        <w:outlineLvl w:val="2"/>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1、部门整体支出绩效评价体系的建立不够科学，预算编制不够合理，总体支出预算完成率偏低，但人员工资福利费支出和三公经费控制率均超过100%。</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widowControl w:val="true"/>
        <w:pBdr/>
        <w:shd w:val="clear" w:color="auto" w:fill="ffffff"/>
        <w:tabs>
          <w:tab w:val="left" w:leader="none" w:pos="5400"/>
        </w:tabs>
        <w:spacing w:line="560" w:lineRule="exact"/>
        <w:ind w:right="300" w:firstLine="480" w:left="-141"/>
        <w:outlineLvl w:val="2"/>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2、2017年末存在年终结余资金，没有充分发挥财政结余资金的使用效益</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widowControl w:val="true"/>
        <w:pBdr/>
        <w:shd w:val="clear" w:color="auto" w:fill="ffffff"/>
        <w:tabs>
          <w:tab w:val="left" w:leader="none" w:pos="5400"/>
        </w:tabs>
        <w:spacing w:line="560" w:lineRule="exact"/>
        <w:ind w:right="300" w:firstLine="480" w:left="-141"/>
        <w:outlineLvl w:val="2"/>
        <w:rPr>
          <w:rFonts w:ascii="Arial" w:hAnsi="Arial" w:cs="Arial"/>
          <w:color w:val="000000"/>
          <w:sz w:val="24"/>
          <w:szCs w:val="24"/>
          <w:shd w:val="clear" w:color="auto" w:fill="ffffff"/>
        </w:rPr>
      </w:pPr>
      <w:r>
        <w:rPr>
          <w:rFonts w:hint="eastAsia" w:ascii="Arial" w:hAnsi="Arial" w:cs="Arial"/>
          <w:color w:val="000000"/>
          <w:sz w:val="24"/>
          <w:szCs w:val="24"/>
          <w:shd w:val="clear" w:color="auto" w:fill="ffffff"/>
        </w:rPr>
        <w:t xml:space="preserve">3</w:t>
      </w:r>
      <w:r>
        <w:rPr>
          <w:rFonts w:ascii="Arial" w:hAnsi="Arial" w:cs="Arial"/>
          <w:color w:val="000000"/>
          <w:sz w:val="24"/>
          <w:szCs w:val="24"/>
          <w:shd w:val="clear" w:color="auto" w:fill="ffffff"/>
        </w:rPr>
        <w:t xml:space="preserve">、</w:t>
      </w:r>
      <w:r>
        <w:rPr>
          <w:rFonts w:ascii="Arial" w:hAnsi="Arial" w:cs="Arial"/>
          <w:sz w:val="24"/>
          <w:szCs w:val="24"/>
        </w:rPr>
        <w:t xml:space="preserve">水利建设和水资源管理点多面广、任务繁重，基层管理人员少、技术力量匮乏、长期缺乏必要的投入，导致管理基础薄弱，</w:t>
      </w:r>
      <w:r>
        <w:rPr>
          <w:rFonts w:ascii="Arial" w:hAnsi="Arial" w:cs="Arial"/>
          <w:color w:val="000000"/>
          <w:sz w:val="24"/>
          <w:szCs w:val="24"/>
          <w:shd w:val="clear" w:color="auto" w:fill="ffffff"/>
        </w:rPr>
        <w:t xml:space="preserve">社会公众满意度有待进一步提高，政策服务社会宣传力度不够。</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widowControl w:val="true"/>
        <w:pBdr/>
        <w:shd w:val="clear" w:color="auto" w:fill="ffffff"/>
        <w:tabs>
          <w:tab w:val="left" w:leader="none" w:pos="5400"/>
        </w:tabs>
        <w:spacing w:line="560" w:lineRule="exact"/>
        <w:ind w:right="300" w:firstLine="361"/>
        <w:outlineLvl w:val="2"/>
        <w:rPr>
          <w:rFonts w:ascii="Arial" w:hAnsi="Arial" w:cs="Arial"/>
          <w:b/>
          <w:color w:val="0c0c0c"/>
          <w:sz w:val="24"/>
          <w:szCs w:val="24"/>
        </w:rPr>
      </w:pPr>
      <w:r>
        <w:rPr>
          <w:rFonts w:ascii="Arial" w:hAnsi="Arial" w:cs="Arial"/>
          <w:b/>
          <w:color w:val="0c0c0c"/>
          <w:sz w:val="24"/>
          <w:szCs w:val="24"/>
        </w:rPr>
        <w:t xml:space="preserve">（三）建议和改进举措</w:t>
      </w:r>
      <w:r>
        <w:rPr>
          <w:rFonts w:ascii="Arial" w:hAnsi="Arial" w:cs="Arial"/>
          <w:b/>
          <w:color w:val="0c0c0c"/>
          <w:sz w:val="24"/>
          <w:szCs w:val="24"/>
        </w:rPr>
      </w:r>
      <w:r>
        <w:rPr>
          <w:rFonts w:ascii="Arial" w:hAnsi="Arial" w:cs="Arial"/>
          <w:b/>
          <w:color w:val="0c0c0c"/>
          <w:sz w:val="24"/>
          <w:szCs w:val="24"/>
        </w:rPr>
      </w:r>
    </w:p>
    <w:p>
      <w:pPr>
        <w:pStyle w:val="856"/>
        <w:pBdr/>
        <w:spacing w:line="560" w:lineRule="exact"/>
        <w:ind w:firstLine="480" w:left="-141"/>
        <w:rPr>
          <w:rFonts w:ascii="Arial" w:hAnsi="Arial" w:cs="Arial"/>
          <w:sz w:val="24"/>
          <w:szCs w:val="24"/>
        </w:rPr>
      </w:pPr>
      <w:r>
        <w:rPr>
          <w:rFonts w:ascii="Arial" w:hAnsi="Arial" w:cs="Arial"/>
          <w:color w:val="000000"/>
          <w:sz w:val="24"/>
          <w:szCs w:val="24"/>
          <w:shd w:val="clear" w:color="auto" w:fill="ffffff"/>
        </w:rPr>
        <w:t xml:space="preserve">1、</w:t>
      </w:r>
      <w:r>
        <w:rPr>
          <w:rFonts w:ascii="Arial" w:hAnsi="Arial" w:cs="Arial"/>
          <w:sz w:val="24"/>
          <w:szCs w:val="24"/>
        </w:rPr>
        <w:t xml:space="preserve">科学合理地编制部门预算，严格执行预算管理和财政制度，严格按照规定的范围、用途和标准使用财政资金，</w:t>
      </w:r>
      <w:r>
        <w:rPr>
          <w:rFonts w:ascii="Arial" w:hAnsi="Arial" w:cs="Arial"/>
          <w:color w:val="000000"/>
          <w:sz w:val="24"/>
          <w:szCs w:val="24"/>
          <w:shd w:val="clear" w:color="auto" w:fill="ffffff"/>
        </w:rPr>
        <w:t xml:space="preserve">及时对费用预算执行情况进行通报和预警，</w:t>
      </w:r>
      <w:r>
        <w:rPr>
          <w:rFonts w:ascii="Arial" w:hAnsi="Arial" w:cs="Arial"/>
          <w:sz w:val="24"/>
          <w:szCs w:val="24"/>
        </w:rPr>
        <w:t xml:space="preserve">将支出控制在预算范围内。</w:t>
      </w:r>
      <w:r>
        <w:rPr>
          <w:rFonts w:ascii="Arial" w:hAnsi="Arial" w:cs="Arial"/>
          <w:sz w:val="24"/>
          <w:szCs w:val="24"/>
        </w:rPr>
      </w:r>
      <w:r>
        <w:rPr>
          <w:rFonts w:ascii="Arial" w:hAnsi="Arial" w:cs="Arial"/>
          <w:sz w:val="24"/>
          <w:szCs w:val="24"/>
        </w:rPr>
      </w:r>
    </w:p>
    <w:p>
      <w:pPr>
        <w:pStyle w:val="856"/>
        <w:pBdr/>
        <w:spacing w:line="560" w:lineRule="exact"/>
        <w:ind w:firstLine="480" w:left="-141"/>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2、</w:t>
      </w:r>
      <w:r>
        <w:rPr>
          <w:rFonts w:ascii="Arial" w:hAnsi="Arial" w:cs="Arial"/>
          <w:color w:val="000000"/>
          <w:sz w:val="24"/>
          <w:szCs w:val="24"/>
          <w:shd w:val="clear" w:color="auto" w:fill="ffffff"/>
        </w:rPr>
        <w:t xml:space="preserve">在绩效管理方面，加强部门预算之间的统筹，科学合理制定项目绩效考核指标，定期做好支出预算财务分析，做好部门整体支出预算评价工作；要及时开展和财政的年度结余资金的对账工作，加强和财政的沟通，尽早取得上年结余资金结转的指标批复，以便年初相关工作的开展；要加强监督检查和考核，建立可持续性绩效考核，使财政资金产生更大的经济效益和社会效益。</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60" w:lineRule="exact"/>
        <w:ind w:firstLine="480"/>
        <w:rPr>
          <w:rFonts w:ascii="Arial" w:hAnsi="Arial" w:cs="Arial"/>
          <w:sz w:val="24"/>
          <w:szCs w:val="24"/>
        </w:rPr>
      </w:pPr>
      <w:r>
        <w:rPr>
          <w:rFonts w:hint="eastAsia" w:ascii="Arial" w:hAnsi="Arial" w:cs="Arial"/>
          <w:color w:val="000000"/>
          <w:sz w:val="24"/>
          <w:szCs w:val="24"/>
          <w:shd w:val="clear" w:color="auto" w:fill="ffffff"/>
        </w:rPr>
        <w:t xml:space="preserve">3</w:t>
      </w:r>
      <w:r>
        <w:rPr>
          <w:rFonts w:ascii="Arial" w:hAnsi="Arial" w:cs="Arial"/>
          <w:color w:val="000000"/>
          <w:sz w:val="24"/>
          <w:szCs w:val="24"/>
          <w:shd w:val="clear" w:color="auto" w:fill="ffffff"/>
        </w:rPr>
        <w:t xml:space="preserve">、加大水利建设和水资源管理的资金投入和人才队伍建设，</w:t>
      </w:r>
      <w:r>
        <w:rPr>
          <w:rFonts w:ascii="Arial" w:hAnsi="Arial" w:cs="Arial"/>
          <w:sz w:val="24"/>
          <w:szCs w:val="24"/>
        </w:rPr>
        <w:t xml:space="preserve">积极适应新形势下最严格水资源管理制度的要求，进一步提升改善全市水生态和水环境的效果；加强水法宣传，水利建设工程信息更加公开透明，进一步提升人民群众对于水资源管理、水利建设、水行政执法等工作的满意度。</w:t>
      </w:r>
      <w:r>
        <w:rPr>
          <w:rFonts w:ascii="Arial" w:hAnsi="Arial" w:cs="Arial"/>
          <w:sz w:val="24"/>
          <w:szCs w:val="24"/>
        </w:rPr>
      </w:r>
      <w:r>
        <w:rPr>
          <w:rFonts w:ascii="Arial" w:hAnsi="Arial" w:cs="Arial"/>
          <w:sz w:val="24"/>
          <w:szCs w:val="24"/>
        </w:rPr>
      </w:r>
    </w:p>
    <w:p>
      <w:pPr>
        <w:pStyle w:val="856"/>
        <w:pBdr/>
        <w:spacing w:line="500" w:lineRule="exact"/>
        <w:ind w:firstLine="480"/>
        <w:rPr>
          <w:rFonts w:hint="eastAsia" w:ascii="Arial" w:hAnsi="Arial" w:cs="Arial"/>
          <w:sz w:val="24"/>
        </w:rPr>
      </w:pPr>
      <w:r>
        <w:rPr>
          <w:rFonts w:hint="eastAsia" w:ascii="Arial" w:hAnsi="Arial" w:cs="Arial"/>
          <w:sz w:val="24"/>
        </w:rPr>
      </w:r>
      <w:r>
        <w:rPr>
          <w:rFonts w:hint="eastAsia" w:ascii="Arial" w:hAnsi="Arial" w:cs="Arial"/>
          <w:sz w:val="24"/>
        </w:rPr>
      </w:r>
      <w:r>
        <w:rPr>
          <w:rFonts w:hint="eastAsia" w:ascii="Arial" w:hAnsi="Arial" w:cs="Arial"/>
          <w:sz w:val="24"/>
        </w:rPr>
      </w:r>
    </w:p>
    <w:p>
      <w:pPr>
        <w:pStyle w:val="856"/>
        <w:pBdr/>
        <w:spacing w:line="500" w:lineRule="exact"/>
        <w:ind w:firstLine="480"/>
        <w:rPr>
          <w:rFonts w:hint="eastAsia" w:ascii="Arial" w:hAnsi="Arial" w:cs="Arial"/>
          <w:sz w:val="24"/>
        </w:rPr>
      </w:pPr>
      <w:r>
        <w:rPr>
          <w:rFonts w:hint="eastAsia" w:ascii="Arial" w:hAnsi="Arial" w:cs="Arial"/>
          <w:sz w:val="24"/>
        </w:rPr>
      </w:r>
      <w:r>
        <w:rPr>
          <w:rFonts w:hint="eastAsia" w:ascii="Arial" w:hAnsi="Arial" w:cs="Arial"/>
          <w:sz w:val="24"/>
        </w:rPr>
      </w:r>
      <w:r>
        <w:rPr>
          <w:rFonts w:hint="eastAsia" w:ascii="Arial" w:hAnsi="Arial" w:cs="Arial"/>
          <w:sz w:val="24"/>
        </w:rPr>
      </w:r>
    </w:p>
    <w:p>
      <w:pPr>
        <w:pStyle w:val="856"/>
        <w:pBdr/>
        <w:spacing w:line="500" w:lineRule="exact"/>
        <w:ind w:firstLine="480"/>
        <w:rPr>
          <w:rFonts w:hint="eastAsia" w:ascii="Arial" w:hAnsi="Arial" w:cs="Arial"/>
          <w:sz w:val="24"/>
        </w:rPr>
      </w:pPr>
      <w:r>
        <w:rPr>
          <w:rFonts w:hint="eastAsia" w:ascii="Arial" w:hAnsi="Arial" w:cs="Arial"/>
          <w:sz w:val="24"/>
        </w:rPr>
      </w:r>
      <w:r>
        <w:rPr>
          <w:rFonts w:hint="eastAsia" w:ascii="Arial" w:hAnsi="Arial" w:cs="Arial"/>
          <w:sz w:val="24"/>
        </w:rPr>
      </w:r>
      <w:r>
        <w:rPr>
          <w:rFonts w:hint="eastAsia" w:ascii="Arial" w:hAnsi="Arial" w:cs="Arial"/>
          <w:sz w:val="24"/>
        </w:rPr>
      </w:r>
    </w:p>
    <w:p>
      <w:pPr>
        <w:pStyle w:val="856"/>
        <w:pBdr/>
        <w:spacing w:line="500" w:lineRule="exact"/>
        <w:ind w:firstLine="480"/>
        <w:rPr>
          <w:rFonts w:hint="eastAsia" w:ascii="Arial" w:hAnsi="Arial" w:cs="Arial"/>
          <w:sz w:val="24"/>
        </w:rPr>
      </w:pPr>
      <w:r>
        <w:rPr>
          <w:rFonts w:hint="eastAsia" w:ascii="Arial" w:hAnsi="Arial" w:cs="Arial"/>
          <w:sz w:val="24"/>
        </w:rPr>
      </w:r>
      <w:r>
        <w:rPr>
          <w:rFonts w:hint="eastAsia" w:ascii="Arial" w:hAnsi="Arial" w:cs="Arial"/>
          <w:sz w:val="24"/>
        </w:rPr>
      </w:r>
      <w:r>
        <w:rPr>
          <w:rFonts w:hint="eastAsia" w:ascii="Arial" w:hAnsi="Arial" w:cs="Arial"/>
          <w:sz w:val="24"/>
        </w:rPr>
      </w:r>
    </w:p>
    <w:p>
      <w:pPr>
        <w:pStyle w:val="856"/>
        <w:pBdr/>
        <w:spacing w:line="500" w:lineRule="exact"/>
        <w:ind w:firstLine="480"/>
        <w:rPr>
          <w:rFonts w:ascii="Arial" w:hAnsi="Arial" w:cs="Arial"/>
          <w:sz w:val="24"/>
        </w:rPr>
      </w:pPr>
      <w:r>
        <w:rPr>
          <w:rFonts w:ascii="Arial" w:hAnsi="Arial" w:cs="Arial"/>
          <w:sz w:val="24"/>
        </w:rPr>
      </w:r>
      <w:r>
        <w:rPr>
          <w:rFonts w:ascii="Arial" w:hAnsi="Arial" w:cs="Arial"/>
          <w:sz w:val="24"/>
        </w:rPr>
      </w:r>
      <w:r>
        <w:rPr>
          <w:rFonts w:ascii="Arial" w:hAnsi="Arial" w:cs="Arial"/>
          <w:sz w:val="24"/>
        </w:rPr>
      </w:r>
    </w:p>
    <w:p>
      <w:pPr>
        <w:pStyle w:val="856"/>
        <w:pBdr/>
        <w:spacing w:line="500" w:lineRule="exact"/>
        <w:ind w:firstLine="600"/>
        <w:rPr>
          <w:rFonts w:hint="eastAsia" w:ascii="Arial" w:hAnsi="Arial" w:cs="Arial"/>
          <w:color w:val="000000"/>
          <w:sz w:val="24"/>
          <w:szCs w:val="24"/>
          <w:shd w:val="clear" w:color="auto" w:fill="ffffff"/>
        </w:rPr>
      </w:pPr>
      <w:r>
        <w:rPr>
          <w:rFonts w:hint="eastAsia" w:ascii="Arial" w:hAnsi="Arial" w:cs="Arial"/>
          <w:color w:val="000000"/>
          <w:sz w:val="24"/>
          <w:szCs w:val="24"/>
          <w:shd w:val="clear" w:color="auto" w:fill="ffffff"/>
        </w:rPr>
      </w:r>
      <w:r>
        <w:rPr>
          <w:rFonts w:hint="eastAsia" w:ascii="Arial" w:hAnsi="Arial" w:cs="Arial"/>
          <w:color w:val="000000"/>
          <w:sz w:val="24"/>
          <w:szCs w:val="24"/>
          <w:shd w:val="clear" w:color="auto" w:fill="ffffff"/>
        </w:rPr>
      </w:r>
      <w:r>
        <w:rPr>
          <w:rFonts w:hint="eastAsia" w:ascii="Arial" w:hAnsi="Arial" w:cs="Arial"/>
          <w:color w:val="000000"/>
          <w:sz w:val="24"/>
          <w:szCs w:val="24"/>
          <w:shd w:val="clear" w:color="auto" w:fill="ffffff"/>
        </w:rPr>
      </w:r>
    </w:p>
    <w:p>
      <w:pPr>
        <w:pStyle w:val="856"/>
        <w:pBdr/>
        <w:spacing w:line="500" w:lineRule="exact"/>
        <w:ind w:firstLine="600"/>
        <w:rPr>
          <w:rFonts w:hint="eastAsia" w:ascii="Arial" w:hAnsi="Arial" w:cs="Arial"/>
          <w:color w:val="000000"/>
          <w:sz w:val="24"/>
          <w:szCs w:val="24"/>
          <w:shd w:val="clear" w:color="auto" w:fill="ffffff"/>
        </w:rPr>
      </w:pPr>
      <w:r>
        <w:rPr>
          <w:rFonts w:hint="eastAsia" w:ascii="Arial" w:hAnsi="Arial" w:cs="Arial"/>
          <w:color w:val="000000"/>
          <w:sz w:val="24"/>
          <w:szCs w:val="24"/>
          <w:shd w:val="clear" w:color="auto" w:fill="ffffff"/>
        </w:rPr>
      </w:r>
      <w:r>
        <w:rPr>
          <w:rFonts w:hint="eastAsia" w:ascii="Arial" w:hAnsi="Arial" w:cs="Arial"/>
          <w:color w:val="000000"/>
          <w:sz w:val="24"/>
          <w:szCs w:val="24"/>
          <w:shd w:val="clear" w:color="auto" w:fill="ffffff"/>
        </w:rPr>
      </w:r>
      <w:r>
        <w:rPr>
          <w:rFonts w:hint="eastAsia" w:ascii="Arial" w:hAnsi="Arial" w:cs="Arial"/>
          <w:color w:val="000000"/>
          <w:sz w:val="24"/>
          <w:szCs w:val="24"/>
          <w:shd w:val="clear" w:color="auto" w:fill="ffffff"/>
        </w:rPr>
      </w:r>
    </w:p>
    <w:p>
      <w:pPr>
        <w:pStyle w:val="856"/>
        <w:pBdr/>
        <w:spacing w:line="500" w:lineRule="exact"/>
        <w:ind w:firstLine="600"/>
        <w:rPr>
          <w:rFonts w:hint="eastAsia" w:ascii="Arial" w:hAnsi="Arial" w:cs="Arial"/>
          <w:color w:val="000000"/>
          <w:sz w:val="24"/>
          <w:szCs w:val="24"/>
          <w:shd w:val="clear" w:color="auto" w:fill="ffffff"/>
        </w:rPr>
      </w:pPr>
      <w:r>
        <w:rPr>
          <w:rFonts w:hint="eastAsia" w:ascii="Arial" w:hAnsi="Arial" w:cs="Arial"/>
          <w:color w:val="000000"/>
          <w:sz w:val="24"/>
          <w:szCs w:val="24"/>
          <w:shd w:val="clear" w:color="auto" w:fill="ffffff"/>
        </w:rPr>
      </w:r>
      <w:r>
        <w:rPr>
          <w:rFonts w:hint="eastAsia" w:ascii="Arial" w:hAnsi="Arial" w:cs="Arial"/>
          <w:color w:val="000000"/>
          <w:sz w:val="24"/>
          <w:szCs w:val="24"/>
          <w:shd w:val="clear" w:color="auto" w:fill="ffffff"/>
        </w:rPr>
      </w:r>
      <w:r>
        <w:rPr>
          <w:rFonts w:hint="eastAsia" w:ascii="Arial" w:hAnsi="Arial" w:cs="Arial"/>
          <w:color w:val="000000"/>
          <w:sz w:val="24"/>
          <w:szCs w:val="24"/>
          <w:shd w:val="clear" w:color="auto" w:fill="ffffff"/>
        </w:rPr>
      </w:r>
    </w:p>
    <w:p>
      <w:pPr>
        <w:pStyle w:val="856"/>
        <w:pBdr/>
        <w:spacing w:line="500" w:lineRule="exact"/>
        <w:ind w:firstLine="600"/>
        <w:rPr>
          <w:rFonts w:ascii="Arial" w:hAnsi="Arial" w:cs="Arial"/>
          <w:color w:val="000000"/>
          <w:sz w:val="24"/>
          <w:szCs w:val="24"/>
          <w:shd w:val="clear" w:color="auto" w:fill="ffffff"/>
        </w:rPr>
      </w:pPr>
      <w:r>
        <w:rPr>
          <w:rFonts w:ascii="Arial" w:hAnsi="Arial" w:cs="Arial"/>
          <w:color w:val="000000"/>
          <w:sz w:val="24"/>
          <w:szCs w:val="24"/>
          <w:shd w:val="clear" w:color="auto" w:fill="ffffff"/>
        </w:rPr>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2" w:left="-141"/>
        <w:rPr>
          <w:rFonts w:ascii="Arial" w:hAnsi="Arial" w:cs="Arial"/>
          <w:b/>
          <w:color w:val="000000"/>
          <w:sz w:val="24"/>
          <w:szCs w:val="24"/>
          <w:shd w:val="clear" w:color="auto" w:fill="ffffff"/>
        </w:rPr>
      </w:pPr>
      <w:r>
        <w:rPr>
          <w:rFonts w:ascii="Arial" w:hAnsi="Arial" w:cs="Arial"/>
          <w:b/>
          <w:color w:val="000000"/>
          <w:sz w:val="24"/>
          <w:szCs w:val="24"/>
          <w:shd w:val="clear" w:color="auto" w:fill="ffffff"/>
        </w:rPr>
        <w:t xml:space="preserve">一、单位基本情况</w:t>
      </w:r>
      <w:r>
        <w:rPr>
          <w:rFonts w:ascii="Arial" w:hAnsi="Arial" w:cs="Arial"/>
          <w:b/>
          <w:color w:val="000000"/>
          <w:sz w:val="24"/>
          <w:szCs w:val="24"/>
          <w:shd w:val="clear" w:color="auto" w:fill="ffffff"/>
        </w:rPr>
      </w:r>
      <w:r>
        <w:rPr>
          <w:rFonts w:ascii="Arial" w:hAnsi="Arial" w:cs="Arial"/>
          <w:b/>
          <w:color w:val="000000"/>
          <w:sz w:val="24"/>
          <w:szCs w:val="24"/>
          <w:shd w:val="clear" w:color="auto" w:fill="ffffff"/>
        </w:rPr>
      </w:r>
    </w:p>
    <w:p>
      <w:pPr>
        <w:pStyle w:val="856"/>
        <w:pBdr/>
        <w:spacing w:line="500" w:lineRule="exact"/>
        <w:ind w:firstLine="501" w:left="-141"/>
        <w:rPr>
          <w:rFonts w:ascii="Arial" w:hAnsi="Arial" w:cs="Arial"/>
          <w:b/>
          <w:color w:val="000000"/>
          <w:sz w:val="24"/>
          <w:szCs w:val="24"/>
          <w:shd w:val="clear" w:color="auto" w:fill="ffffff"/>
        </w:rPr>
      </w:pPr>
      <w:r>
        <w:rPr>
          <w:rFonts w:ascii="Arial" w:hAnsi="Arial" w:cs="Arial"/>
          <w:b/>
          <w:color w:val="000000"/>
          <w:sz w:val="24"/>
          <w:szCs w:val="24"/>
          <w:shd w:val="clear" w:color="auto" w:fill="ffffff"/>
        </w:rPr>
        <w:t xml:space="preserve">（一）机构、人员概况</w:t>
      </w:r>
      <w:r>
        <w:rPr>
          <w:rFonts w:ascii="Arial" w:hAnsi="Arial" w:cs="Arial"/>
          <w:b/>
          <w:color w:val="000000"/>
          <w:sz w:val="24"/>
          <w:szCs w:val="24"/>
          <w:shd w:val="clear" w:color="auto" w:fill="ffffff"/>
        </w:rPr>
      </w:r>
      <w:r>
        <w:rPr>
          <w:rFonts w:ascii="Arial" w:hAnsi="Arial" w:cs="Arial"/>
          <w:b/>
          <w:color w:val="000000"/>
          <w:sz w:val="24"/>
          <w:szCs w:val="24"/>
          <w:shd w:val="clear" w:color="auto" w:fill="ffffff"/>
        </w:rPr>
      </w:r>
    </w:p>
    <w:p>
      <w:pPr>
        <w:pStyle w:val="856"/>
        <w:pBdr/>
        <w:spacing w:line="500" w:lineRule="exact"/>
        <w:ind w:firstLine="480" w:left="-141"/>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随州市水利局设9个内设机构，分别为办公室、政工人事科、规划科技与信息化科、水资源科、水库科、建设科、水保与政策法规科、农村水利科、防洪调度与抗旱减灾科。随州市水利局机机关行政编制23个。其中：局长1名，副局长3名（不含兼职），总工程师1名，市防汛办专职副主任1名；正科级领导职数9名。另核定机关 “以钱养事”岗位3个。</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numPr>
          <w:ilvl w:val="0"/>
          <w:numId w:val="12"/>
        </w:numPr>
        <w:pBdr/>
        <w:spacing w:line="500" w:lineRule="exact"/>
        <w:ind w:firstLine="420"/>
        <w:rPr>
          <w:rFonts w:ascii="Arial" w:hAnsi="Arial" w:cs="Arial"/>
          <w:b/>
          <w:color w:val="000000"/>
          <w:sz w:val="24"/>
          <w:szCs w:val="24"/>
          <w:shd w:val="clear" w:color="auto" w:fill="ffffff"/>
        </w:rPr>
      </w:pPr>
      <w:r>
        <w:rPr>
          <w:rFonts w:ascii="Arial" w:hAnsi="Arial" w:cs="Arial"/>
          <w:b/>
          <w:color w:val="000000"/>
          <w:sz w:val="24"/>
          <w:szCs w:val="24"/>
          <w:shd w:val="clear" w:color="auto" w:fill="ffffff"/>
        </w:rPr>
        <w:t xml:space="preserve">机构职能</w:t>
      </w:r>
      <w:r>
        <w:rPr>
          <w:rFonts w:ascii="Arial" w:hAnsi="Arial" w:cs="Arial"/>
          <w:b/>
          <w:color w:val="000000"/>
          <w:sz w:val="24"/>
          <w:szCs w:val="24"/>
          <w:shd w:val="clear" w:color="auto" w:fill="ffffff"/>
        </w:rPr>
      </w:r>
      <w:r>
        <w:rPr>
          <w:rFonts w:ascii="Arial" w:hAnsi="Arial" w:cs="Arial"/>
          <w:b/>
          <w:color w:val="000000"/>
          <w:sz w:val="24"/>
          <w:szCs w:val="24"/>
          <w:shd w:val="clear" w:color="auto" w:fill="ffffff"/>
        </w:rPr>
      </w:r>
    </w:p>
    <w:p>
      <w:pPr>
        <w:pStyle w:val="856"/>
        <w:pBdr/>
        <w:spacing w:line="500" w:lineRule="exact"/>
        <w:ind w:firstLine="480" w:left="-142"/>
        <w:jc w:val="left"/>
        <w:rPr>
          <w:rFonts w:ascii="Arial" w:hAnsi="Arial" w:cs="Arial"/>
          <w:b/>
          <w:color w:val="000000"/>
          <w:sz w:val="24"/>
          <w:szCs w:val="24"/>
          <w:shd w:val="clear" w:color="auto" w:fill="ffffff"/>
        </w:rPr>
      </w:pPr>
      <w:r>
        <w:rPr>
          <w:rFonts w:ascii="Arial" w:hAnsi="Arial" w:cs="Arial"/>
          <w:color w:val="000000"/>
          <w:sz w:val="24"/>
          <w:szCs w:val="24"/>
          <w:shd w:val="clear" w:color="auto" w:fill="ffffff"/>
        </w:rPr>
        <w:t xml:space="preserve">随州市</w:t>
      </w:r>
      <w:r>
        <w:rPr>
          <w:rFonts w:ascii="Arial" w:hAnsi="Arial" w:cs="Arial"/>
          <w:color w:val="000000"/>
          <w:sz w:val="24"/>
          <w:szCs w:val="24"/>
          <w:shd w:val="clear" w:color="auto" w:fill="ffffff"/>
        </w:rPr>
        <w:fldChar w:fldCharType="begin"/>
      </w:r>
      <w:r>
        <w:rPr>
          <w:rFonts w:ascii="Arial" w:hAnsi="Arial" w:cs="Arial"/>
          <w:color w:val="000000"/>
          <w:sz w:val="24"/>
          <w:szCs w:val="24"/>
          <w:shd w:val="clear" w:color="auto" w:fill="ffffff"/>
        </w:rPr>
        <w:instrText xml:space="preserve">HYPERLINK "http://baike.baidu.com/view/613560.htm"</w:instrText>
      </w:r>
      <w:r>
        <w:rPr>
          <w:rFonts w:ascii="Arial" w:hAnsi="Arial" w:cs="Arial"/>
          <w:color w:val="000000"/>
          <w:sz w:val="24"/>
          <w:szCs w:val="24"/>
          <w:shd w:val="clear" w:color="auto" w:fill="ffffff"/>
        </w:rPr>
        <w:fldChar w:fldCharType="separate"/>
      </w:r>
      <w:r>
        <w:rPr>
          <w:rFonts w:ascii="Arial" w:hAnsi="Arial" w:cs="Arial"/>
          <w:color w:val="000000"/>
          <w:sz w:val="24"/>
          <w:szCs w:val="24"/>
          <w:shd w:val="clear" w:color="auto" w:fill="ffffff"/>
        </w:rPr>
        <w:t xml:space="preserve">水利局</w:t>
      </w:r>
      <w:r>
        <w:rPr>
          <w:rFonts w:ascii="Arial" w:hAnsi="Arial" w:cs="Arial"/>
          <w:color w:val="000000"/>
          <w:sz w:val="24"/>
          <w:szCs w:val="24"/>
          <w:shd w:val="clear" w:color="auto" w:fill="ffffff"/>
        </w:rPr>
        <w:fldChar w:fldCharType="end"/>
      </w:r>
      <w:r>
        <w:rPr>
          <w:rFonts w:ascii="Arial" w:hAnsi="Arial" w:cs="Arial"/>
          <w:color w:val="000000"/>
          <w:sz w:val="24"/>
          <w:szCs w:val="24"/>
          <w:shd w:val="clear" w:color="auto" w:fill="ffffff"/>
        </w:rPr>
        <w:t xml:space="preserve">，为市政府工作部门，挂随州市防汛抗旱指挥部办公室牌子。主要职能为：（1）负责《中华人民共和国水法》、《中华人民共和国水土保持法》、《中华人民共和国防洪法》等法律法规的贯彻实施和监督检查，推进全市水利行业依法行政工作，拟订有关规范性文件草案。（2）负责保障全市水资源的合理开发利用，拟订全市水利发展及战略规划和政策，组织编制市确定的重要水库（湖泊）、河道的流域综合规划</w:t>
      </w:r>
      <w:r>
        <w:rPr>
          <w:rFonts w:ascii="Arial" w:hAnsi="Arial" w:cs="Arial"/>
          <w:color w:val="000000"/>
          <w:sz w:val="24"/>
          <w:szCs w:val="24"/>
          <w:shd w:val="clear" w:color="auto" w:fill="ffffff"/>
        </w:rPr>
        <w:t xml:space="preserve">、专业规划等重大水利规划,指导县（市、区）区域和流域水利规划工作。（3）负责提出全市水利固定资产投资规模和方向，按照规定权限，审批、核准全市水利规划内和年度计划规模内固定资产投资项目，负责提出国家和省下达我市和市级财政性资金的水利投资安排意见并组织实施。（4）负责全市生活、生产经营和生态环境用水的统筹兼顾和保障。实施水资源（含空中水、地表水和城市规划区地下水）的统一监督管理，拟订全市和跨县（市、区）水中长期供求规划、水量分配方案并监督实施。组织开展水资源和水能资源调查评价工作，负责全市重要流域、区域以及重大</w:t>
      </w:r>
      <w:r>
        <w:rPr>
          <w:rFonts w:ascii="Arial" w:hAnsi="Arial" w:cs="Arial"/>
          <w:color w:val="000000"/>
          <w:sz w:val="24"/>
          <w:szCs w:val="24"/>
          <w:shd w:val="clear" w:color="auto" w:fill="ffffff"/>
        </w:rPr>
        <w:t xml:space="preserve">调水工程的水资源调度。组织实施取水许可、水资源有偿使用制度和水资源论证、防洪论证制度。指导水利行业供水、城市供水和乡镇供水工作。指导城市供水设施建设监督管理工作。指导、组织、协调全市农村饮水安全工程建设与管理工作。（5）负责全市水资源保护工作，组织编制水资源保护规划。组织拟订重要水库（湖泊）的水功能区划并监督实施，核定水域纳污能力，提出限制排污总量建议，指导饮用水水源保护工作。指导地下水开发利用和城市规划区地下水资源管理保护工作。（6）负责防治水旱灾害。承担市防汛抗旱指挥部的具体工作。组织、协调、监督、指挥</w:t>
      </w:r>
      <w:r>
        <w:rPr>
          <w:rFonts w:ascii="Arial" w:hAnsi="Arial" w:cs="Arial"/>
          <w:color w:val="000000"/>
          <w:sz w:val="24"/>
          <w:szCs w:val="24"/>
          <w:shd w:val="clear" w:color="auto" w:fill="ffffff"/>
        </w:rPr>
        <w:t xml:space="preserve">全市防汛抗旱工作，对全市主要河流和大中型水库及重要水利工程实施防汛抗旱和应急水量调度；编制随州市防汛抗旱应急预案并组织实施。指导水利突发公共事件的应急管理工作。（7）负责全市节约用水工作。拟订节约用水政策，编制节约用水规划，制定有关标准，指导和推动节水型社会建设工作。（8）指导、组织全市水利设施、水域及其岸线的管理与保护，主管全市河道、水库（湖泊）分洪区、蓄洪区、滞洪区水利工作，指导市内河库（湖）的治理和开发；指导、组织水利工程建设与运行管理；组织实施具有控制性的或跨县（市、区）及跨流域的重要水利工程建设与</w:t>
      </w:r>
      <w:r>
        <w:rPr>
          <w:rFonts w:ascii="Arial" w:hAnsi="Arial" w:cs="Arial"/>
          <w:color w:val="000000"/>
          <w:sz w:val="24"/>
          <w:szCs w:val="24"/>
          <w:shd w:val="clear" w:color="auto" w:fill="ffffff"/>
        </w:rPr>
        <w:t xml:space="preserve">运行管理；负责全市河道采砂的统一管理和监督检查工作。（9）负责全市水土保持工作。拟订水土保持规划并组织实施，组织水土流失的监测和综合防治。负责有关重大开发建设项目水土保持方案的审批、监督实施及水土保持设施的验收工作，组织、指导有关重点水土保持建设项目的实施。（10）指导全市农村水利工作。组织协调农田水利基本建设,指导、协调节水灌溉等工程建设与管理、农村水利社会化服务体系建设工作。（11）负责全市水能资源开发利用管理工作,指导、组织和实施水能资源规划编制、设计审查、建设监管，水库防汛调度等方面的工作。指导、组</w:t>
      </w:r>
      <w:r>
        <w:rPr>
          <w:rFonts w:ascii="Arial" w:hAnsi="Arial" w:cs="Arial"/>
          <w:color w:val="000000"/>
          <w:sz w:val="24"/>
          <w:szCs w:val="24"/>
          <w:shd w:val="clear" w:color="auto" w:fill="ffffff"/>
        </w:rPr>
        <w:t xml:space="preserve">织水电农村电气化和小水电代燃料工作。（12）负责市内重大涉水违法事件的查处，协调跨县（市、区）水事纠纷，指导、组织全市水政监察、水行政执法和水利规费征收工作。依法负责水利行业安全生产工作，组织、指导水库、水电站大坝的安全监管，组织、指导水利建设市场的监督管理，组织实施水利工程建设的监督。（13）开展全市水利科技、教育和对外合作工作。组织开展全市水利行业质量监督工作；组织拟订全市水利行业的有关技术标准、规程规范并监督实施。承担全市水利统计工作。组织开展全市水利行业对外交流工作。（14）承办上级交办的其他事项。</w:t>
      </w:r>
      <w:r>
        <w:rPr>
          <w:rFonts w:ascii="Arial" w:hAnsi="Arial" w:cs="Arial"/>
          <w:b/>
          <w:color w:val="000000"/>
          <w:sz w:val="24"/>
          <w:szCs w:val="24"/>
          <w:shd w:val="clear" w:color="auto" w:fill="ffffff"/>
        </w:rPr>
      </w:r>
      <w:r>
        <w:rPr>
          <w:rFonts w:ascii="Arial" w:hAnsi="Arial" w:cs="Arial"/>
          <w:b/>
          <w:color w:val="000000"/>
          <w:sz w:val="24"/>
          <w:szCs w:val="24"/>
          <w:shd w:val="clear" w:color="auto" w:fill="ffffff"/>
        </w:rPr>
      </w:r>
    </w:p>
    <w:p>
      <w:pPr>
        <w:pStyle w:val="856"/>
        <w:pBdr/>
        <w:spacing w:line="500" w:lineRule="exact"/>
        <w:ind w:left="420"/>
        <w:jc w:val="left"/>
        <w:rPr>
          <w:rFonts w:ascii="Arial" w:hAnsi="Arial" w:cs="Arial"/>
          <w:b/>
          <w:color w:val="000000"/>
          <w:sz w:val="24"/>
          <w:szCs w:val="24"/>
          <w:shd w:val="clear" w:color="auto" w:fill="ffffff"/>
        </w:rPr>
      </w:pPr>
      <w:r>
        <w:rPr>
          <w:rFonts w:ascii="Arial" w:hAnsi="Arial" w:cs="Arial"/>
          <w:b/>
          <w:color w:val="000000"/>
          <w:sz w:val="24"/>
          <w:szCs w:val="24"/>
          <w:shd w:val="clear" w:color="auto" w:fill="ffffff"/>
        </w:rPr>
        <w:t xml:space="preserve">（三）绩效实施情况</w:t>
      </w:r>
      <w:r>
        <w:rPr>
          <w:rFonts w:ascii="Arial" w:hAnsi="Arial" w:cs="Arial"/>
          <w:b/>
          <w:color w:val="000000"/>
          <w:sz w:val="24"/>
          <w:szCs w:val="24"/>
          <w:shd w:val="clear" w:color="auto" w:fill="ffffff"/>
        </w:rPr>
      </w:r>
      <w:r>
        <w:rPr>
          <w:rFonts w:ascii="Arial" w:hAnsi="Arial" w:cs="Arial"/>
          <w:b/>
          <w:color w:val="000000"/>
          <w:sz w:val="24"/>
          <w:szCs w:val="24"/>
          <w:shd w:val="clear" w:color="auto" w:fill="ffffff"/>
        </w:rPr>
      </w:r>
    </w:p>
    <w:p>
      <w:pPr>
        <w:pStyle w:val="856"/>
        <w:pBdr/>
        <w:tabs>
          <w:tab w:val="left" w:leader="none" w:pos="4120"/>
        </w:tabs>
        <w:spacing w:line="500" w:lineRule="exact"/>
        <w:ind w:firstLine="48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1、科学调度，夺取防汛抗旱全面胜利。2017年，面对汛情灾情，随州市水利局按照省、市防汛工作要求，坚持“防大汛、抗大旱、抢大险、救大灾”的思想不动摇，严格落实防汛责任，第一时间协调抢险队伍、设备、救灾物资调拨，夺取了防汛抗旱工作的全面胜利。</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2、坚持夯实基础，重点工程项目成效显著。2017年，水利部门继续砥砺奋进，共争取到中央和省对我市无偿水利投资3.06亿元，为我市水利工程建设提供了坚实的资金保障。一是鄂北地区水资源配置工程。随州段主体工程10个标段全部开工建设，已完成投资17.68亿元，占总投资26.79亿元的66%。工程二期随州段前期工作已启动，计划总投资 9.3亿元。二是农村饮水安全工程。解决了4.4万农村饮水不安全人口问题，其中精准扶贫3.0723万人，异地搬迁1.3387</w:t>
      </w:r>
      <w:r>
        <w:rPr>
          <w:rFonts w:ascii="Arial" w:hAnsi="Arial" w:cs="Arial"/>
          <w:color w:val="000000"/>
          <w:sz w:val="24"/>
          <w:szCs w:val="24"/>
          <w:shd w:val="clear" w:color="auto" w:fill="ffffff"/>
        </w:rPr>
        <w:t xml:space="preserve">万人，超额完成了市政府下达3.86万人的目标任务。三是农田水利工程。投资7,192万元，完成了3个2016年度小农水项目和1个2017年度高效节水项目。小农水项目在选址上向贫困地区政策倾斜。曾都区2016年度中央财政农田水利项目县1650万元，全部投资于重点贫困镇万店镇的 7个贫困村，其中建档立卡贫困村4个。随县2017年高效节水项目1,500万元涵盖了2个重点贫困镇，1个建档立卡贫困村。另外，随州城区供水管网改扩建工程、随中灌区续建工程、中小河流治理工程、水土保持工程、小型水库水雨情自动测报工程全面完成。</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3、</w:t>
      </w:r>
      <w:r>
        <w:rPr>
          <w:rFonts w:ascii="Arial" w:hAnsi="Arial" w:cs="Arial"/>
          <w:color w:val="000000"/>
          <w:sz w:val="24"/>
          <w:szCs w:val="24"/>
        </w:rPr>
        <w:t xml:space="preserve">坚持</w:t>
      </w:r>
      <w:r>
        <w:rPr>
          <w:rFonts w:ascii="Arial" w:hAnsi="Arial" w:cs="Arial"/>
          <w:color w:val="000000"/>
          <w:sz w:val="24"/>
          <w:szCs w:val="24"/>
        </w:rPr>
        <w:t xml:space="preserve">依法行政，法制水利建设不断深入。</w:t>
      </w:r>
      <w:r>
        <w:rPr>
          <w:rFonts w:ascii="Arial" w:hAnsi="Arial" w:cs="Arial"/>
          <w:bCs/>
          <w:color w:val="000000"/>
          <w:sz w:val="24"/>
          <w:szCs w:val="24"/>
        </w:rPr>
        <w:t xml:space="preserve">一是加强法治理论宣传。通过宣传车、展牌、悬挂横幅等方式以及向群众发放宣传单、法规手册多途径开展水法规宣传。在《随州日报》专版刊发了主题为“落实绿色发展理念，全面推行河长制”和“关于办理非法采矿、破坏性采矿刑事案件使用法律若干问题的解释”，公告了随州市各级人民政府和主管部门河道采砂管理责任人名单。二是规范水行政执法行为。积极推进水利立法，</w:t>
      </w:r>
      <w:r>
        <w:rPr>
          <w:rFonts w:ascii="Arial" w:hAnsi="Arial" w:cs="Arial"/>
          <w:color w:val="000000"/>
          <w:sz w:val="24"/>
          <w:szCs w:val="24"/>
        </w:rPr>
        <w:t xml:space="preserve">完成了《随州市白云湖水库游乐设施营运管理办法（试行）》和《随州市水资源管理办法》的起草、征求意见等工作。2017年共办理行政审批事项45件，实现零投诉、零超时、零违规。启用“湖北省投资项目在线审批监管平台”办理业务，累计办理行政审批事项16件，在线办件率达到84%。扎实开展水行政执法，2017年全市共查处各类水事案件</w:t>
      </w:r>
      <w:r>
        <w:rPr>
          <w:rFonts w:ascii="Arial" w:hAnsi="Arial" w:cs="Arial"/>
          <w:bCs/>
          <w:color w:val="000000"/>
          <w:sz w:val="24"/>
          <w:szCs w:val="24"/>
        </w:rPr>
        <w:t xml:space="preserve">17件，其中河道清障3起，水工程2起，水土保持5起，河道采砂7起。</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4、管护水源，深</w:t>
      </w:r>
      <w:r>
        <w:rPr>
          <w:rFonts w:ascii="Arial" w:hAnsi="Arial" w:cs="Arial"/>
          <w:color w:val="000000"/>
          <w:sz w:val="24"/>
          <w:szCs w:val="24"/>
          <w:shd w:val="clear" w:color="auto" w:fill="ffffff"/>
        </w:rPr>
        <w:t xml:space="preserve">入推进最严格水资源管理制度。严格执行水资源论证制度，对不符合节水规范要求的水资源论证报告发回重新修订。下达了2017年全市取水总量计划，建立了取水许可台账。全市71家取水单位，全部进入了省水利厅管理平台，做到一个取水口建一个档案，档案内容与台账、现场计量设备相符合。顺利通过了省政府对我市最严格水资源管理制度的考核，获得了优良等次。省考核我市12个水功能区2017年1-12月水质达标率为100% ，超额完成了省定79%的目标任务；2017年全市农村供水水质合格率为85.93%，超额完成了省定67%的目标任务。</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5、改革创新，河长制工作成效显著。一是出台实施方案。全市各级河长制实施方案全部出台，其中市级1个，县级5个，乡级45个。全市所有河道包括各支流、各河段共设置市级河长10个、县级河长57个、乡级河长241个、村级河长1102个。市级10条河流河长由市委9个常委和政府分管副市长分别担任。二是落实工作机构。市编办批复市水利局内设河长制科，成立了市级河长制工作专班，负责对接市级10条河流的河长制工作。三是公布河流名录</w:t>
      </w:r>
      <w:r>
        <w:rPr>
          <w:rFonts w:ascii="Arial" w:hAnsi="Arial" w:cs="Arial"/>
          <w:color w:val="000000"/>
          <w:sz w:val="24"/>
          <w:szCs w:val="24"/>
          <w:shd w:val="clear" w:color="auto" w:fill="ffffff"/>
        </w:rPr>
        <w:t xml:space="preserve">。经调查核实，确定并公布了我市62条河流名录，其中流域面积50 平方公里以上的河流56条，其它重点河流6条。四是明确成员单位职责。印发了《关于印发推进河长制工作联席会议制度及成员单位职责和主要任务的通知》，进一步明确了市河长办成员单位职责、主要工作任务及完成时限。五是实施生态补水。全市大中型水库已于7月底执行。六是初步完成“一河一策”编制工作。编制了62条重点河流“一河一策”方案待审本。七是建立河长制工作制度。印发了日常工作类、明确责任类、案件处理类和考核激励类等四类十二项制度，建立了河长制的长效工作机制。</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6、从严管理，确保全市水利工程全年无安全事故。市水利局年初与各下属单位签订了2017年度安全生产目标责任书，形成了一级抓一级，层层抓落实的局面。年终对各县、市区及市直单位9个在建项目进行了考核，下发了通报，要求责任单位对发现的问题及时整改，杜绝任何安全隐患，2017年我市水利工程无安全事故发生。</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7、服从大局，积极完成市委市政府交办的其他工作任务。一是圆满完成议提案办理工作。全面完成了涉及水利部门的15件人大、政协议提案的办理及“回头看”工作，议提案见面沟通率、书面回复率、按时办结率、代表委员满意率达</w:t>
      </w:r>
      <w:r>
        <w:rPr>
          <w:rFonts w:ascii="Arial" w:hAnsi="Arial" w:cs="Arial"/>
          <w:color w:val="000000"/>
          <w:sz w:val="24"/>
          <w:szCs w:val="24"/>
          <w:shd w:val="clear" w:color="auto" w:fill="ffffff"/>
        </w:rPr>
        <w:t xml:space="preserve">到了100%。二是切实加强双拥工作。全力支持部队改革，接受军转干部2名。通过军地联合调研防汛抗旱形势，定期组织抗旱、防汛实战演练，有力地增强水利的防汛抢险保障能力，确保人民生命财产安全。三是认真开展大学生实习实训工作。积极吸收7名大学生来市水利局局进行岗位实习实训，并指定经验丰富的老师“一对一”帮带。四是积极配合文明城市创建工作。全面完成了《随州市2017年创建全面文明城市责任清单》属于水利部门职责范围内的工作任务。五是积极支持配合全市项目包装、城市建设、环保治理、招商引资、高标准农田建设、精准脱贫等工作。</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widowControl w:val="true"/>
        <w:pBdr/>
        <w:spacing w:line="500" w:lineRule="exact"/>
        <w:ind w:left="465"/>
        <w:jc w:val="left"/>
        <w:rPr>
          <w:rFonts w:ascii="Arial" w:hAnsi="Arial" w:cs="Arial"/>
          <w:b/>
          <w:color w:val="000000"/>
          <w:sz w:val="24"/>
          <w:szCs w:val="24"/>
          <w:shd w:val="clear" w:color="auto" w:fill="ffffff"/>
        </w:rPr>
      </w:pPr>
      <w:r>
        <w:rPr>
          <w:rFonts w:ascii="Arial" w:hAnsi="Arial" w:cs="Arial"/>
          <w:b/>
          <w:color w:val="000000"/>
          <w:sz w:val="24"/>
          <w:szCs w:val="24"/>
          <w:shd w:val="clear" w:color="auto" w:fill="ffffff"/>
        </w:rPr>
        <w:t xml:space="preserve">（四）整体支出情况</w:t>
      </w:r>
      <w:r>
        <w:rPr>
          <w:rFonts w:ascii="Arial" w:hAnsi="Arial" w:cs="Arial"/>
          <w:b/>
          <w:color w:val="000000"/>
          <w:sz w:val="24"/>
          <w:szCs w:val="24"/>
          <w:shd w:val="clear" w:color="auto" w:fill="ffffff"/>
        </w:rPr>
      </w:r>
      <w:r>
        <w:rPr>
          <w:rFonts w:ascii="Arial" w:hAnsi="Arial" w:cs="Arial"/>
          <w:b/>
          <w:color w:val="000000"/>
          <w:sz w:val="24"/>
          <w:szCs w:val="24"/>
          <w:shd w:val="clear" w:color="auto" w:fill="ffffff"/>
        </w:rPr>
      </w:r>
    </w:p>
    <w:p>
      <w:pPr>
        <w:pStyle w:val="856"/>
        <w:widowControl w:val="true"/>
        <w:numPr>
          <w:ilvl w:val="0"/>
          <w:numId w:val="1"/>
        </w:numPr>
        <w:pBdr/>
        <w:spacing w:line="500" w:lineRule="exact"/>
        <w:ind/>
        <w:jc w:val="left"/>
        <w:rPr>
          <w:rFonts w:ascii="Arial" w:hAnsi="Arial" w:cs="Arial"/>
          <w:b/>
          <w:color w:val="000000"/>
          <w:sz w:val="24"/>
          <w:szCs w:val="24"/>
          <w:shd w:val="clear" w:color="auto" w:fill="ffffff"/>
        </w:rPr>
      </w:pPr>
      <w:r>
        <w:rPr>
          <w:rFonts w:ascii="Arial" w:hAnsi="Arial" w:cs="Arial"/>
          <w:b/>
          <w:color w:val="000000"/>
          <w:sz w:val="24"/>
          <w:szCs w:val="24"/>
          <w:shd w:val="clear" w:color="auto" w:fill="ffffff"/>
        </w:rPr>
        <w:t xml:space="preserve">部门财政资金收入情况</w:t>
      </w:r>
      <w:r>
        <w:rPr>
          <w:rFonts w:ascii="Arial" w:hAnsi="Arial" w:cs="Arial"/>
          <w:b/>
          <w:color w:val="000000"/>
          <w:sz w:val="24"/>
          <w:szCs w:val="24"/>
          <w:shd w:val="clear" w:color="auto" w:fill="ffffff"/>
        </w:rPr>
      </w:r>
      <w:r>
        <w:rPr>
          <w:rFonts w:ascii="Arial" w:hAnsi="Arial" w:cs="Arial"/>
          <w:b/>
          <w:color w:val="000000"/>
          <w:sz w:val="24"/>
          <w:szCs w:val="24"/>
          <w:shd w:val="clear" w:color="auto" w:fill="ffffff"/>
        </w:rPr>
      </w:r>
    </w:p>
    <w:p>
      <w:pPr>
        <w:pStyle w:val="865"/>
        <w:pBdr/>
        <w:shd w:val="clear" w:color="auto" w:fill="ffffff"/>
        <w:spacing w:after="0" w:afterAutospacing="0" w:before="0" w:beforeAutospacing="0" w:line="500" w:lineRule="exact"/>
        <w:ind w:firstLine="480"/>
        <w:rPr>
          <w:rFonts w:ascii="Arial" w:hAnsi="Arial" w:cs="Arial"/>
          <w:color w:val="000000"/>
          <w:shd w:val="clear" w:color="auto" w:fill="ffffff"/>
        </w:rPr>
      </w:pPr>
      <w:r>
        <w:rPr>
          <w:rFonts w:ascii="Arial" w:hAnsi="Arial" w:cs="Arial"/>
          <w:color w:val="000000"/>
          <w:shd w:val="clear" w:color="auto" w:fill="ffffff"/>
        </w:rPr>
        <w:t xml:space="preserve">2017年市水利局财政收入总额为9,894,483元，其中：财政拨款收入7,786,668.50元，其它资金收入2,107,814.50元。</w:t>
      </w:r>
      <w:r>
        <w:rPr>
          <w:rFonts w:ascii="Arial" w:hAnsi="Arial" w:cs="Arial"/>
          <w:color w:val="000000"/>
          <w:shd w:val="clear" w:color="auto" w:fill="ffffff"/>
        </w:rPr>
      </w:r>
      <w:r>
        <w:rPr>
          <w:rFonts w:ascii="Arial" w:hAnsi="Arial" w:cs="Arial"/>
          <w:color w:val="000000"/>
          <w:shd w:val="clear" w:color="auto" w:fill="ffffff"/>
        </w:rPr>
      </w:r>
    </w:p>
    <w:p>
      <w:pPr>
        <w:pStyle w:val="865"/>
        <w:numPr>
          <w:ilvl w:val="0"/>
          <w:numId w:val="1"/>
        </w:numPr>
        <w:pBdr/>
        <w:shd w:val="clear" w:color="auto" w:fill="ffffff"/>
        <w:spacing w:after="0" w:afterAutospacing="0" w:before="0" w:beforeAutospacing="0" w:line="500" w:lineRule="exact"/>
        <w:ind/>
        <w:rPr>
          <w:rFonts w:ascii="Arial" w:hAnsi="Arial" w:cs="Arial"/>
          <w:b/>
          <w:color w:val="000000"/>
          <w:shd w:val="clear" w:color="auto" w:fill="ffffff"/>
        </w:rPr>
      </w:pPr>
      <w:r>
        <w:rPr>
          <w:rFonts w:ascii="Arial" w:hAnsi="Arial" w:cs="Arial"/>
          <w:b/>
          <w:color w:val="000000"/>
          <w:shd w:val="clear" w:color="auto" w:fill="ffffff"/>
        </w:rPr>
        <w:t xml:space="preserve">部门财政资金支出情况</w:t>
      </w:r>
      <w:r>
        <w:rPr>
          <w:rFonts w:ascii="Arial" w:hAnsi="Arial" w:cs="Arial"/>
          <w:b/>
          <w:color w:val="000000"/>
          <w:shd w:val="clear" w:color="auto" w:fill="ffffff"/>
        </w:rPr>
      </w:r>
      <w:r>
        <w:rPr>
          <w:rFonts w:ascii="Arial" w:hAnsi="Arial" w:cs="Arial"/>
          <w:b/>
          <w:color w:val="000000"/>
          <w:shd w:val="clear" w:color="auto" w:fill="ffffff"/>
        </w:rPr>
      </w:r>
    </w:p>
    <w:p>
      <w:pPr>
        <w:pStyle w:val="865"/>
        <w:pBdr/>
        <w:shd w:val="clear" w:color="auto" w:fill="ffffff"/>
        <w:spacing w:after="0" w:afterAutospacing="0" w:before="0" w:beforeAutospacing="0" w:line="500" w:lineRule="exact"/>
        <w:ind w:firstLine="480"/>
        <w:rPr>
          <w:rFonts w:ascii="Arial" w:hAnsi="Arial" w:cs="Arial"/>
          <w:color w:val="000000"/>
          <w:shd w:val="clear" w:color="auto" w:fill="ffffff"/>
        </w:rPr>
      </w:pPr>
      <w:r/>
      <w:bookmarkStart w:id="0" w:name="_Toc432163751"/>
      <w:r>
        <w:rPr>
          <w:rFonts w:ascii="Arial" w:hAnsi="Arial" w:cs="Arial"/>
          <w:color w:val="000000"/>
          <w:shd w:val="clear" w:color="auto" w:fill="ffffff"/>
        </w:rPr>
        <w:t xml:space="preserve">本年实际支出总额为10,022,241.21元, 其中：2017年基本支出4,716,705.60元、项目支出4,356,110.26元、非项目支出949,425.35元。基本支出按经济分类主要用于以下方面: （1）工资福利支出3,635,442.38元 。（2）商品和服务支出380,662.14元。（3）对个人和家庭的补助支出696,207.08元。（4）赠与支出394元。（5）基本建设支出4,000元。</w:t>
      </w:r>
      <w:r>
        <w:rPr>
          <w:rFonts w:ascii="Arial" w:hAnsi="Arial" w:cs="Arial"/>
          <w:color w:val="000000"/>
          <w:shd w:val="clear" w:color="auto" w:fill="ffffff"/>
        </w:rPr>
      </w:r>
      <w:r>
        <w:rPr>
          <w:rFonts w:ascii="Arial" w:hAnsi="Arial" w:cs="Arial"/>
          <w:color w:val="000000"/>
          <w:shd w:val="clear" w:color="auto" w:fill="ffffff"/>
        </w:rPr>
      </w:r>
    </w:p>
    <w:p>
      <w:pPr>
        <w:pStyle w:val="865"/>
        <w:pBdr/>
        <w:shd w:val="clear" w:color="auto" w:fill="ffffff"/>
        <w:spacing w:after="0" w:afterAutospacing="0" w:before="0" w:beforeAutospacing="0" w:line="500" w:lineRule="exact"/>
        <w:ind w:firstLine="602" w:left="-141"/>
        <w:rPr>
          <w:rFonts w:ascii="Arial" w:hAnsi="Arial" w:cs="Arial"/>
          <w:b/>
          <w:color w:val="000000"/>
          <w:shd w:val="clear" w:color="auto" w:fill="ffffff"/>
        </w:rPr>
      </w:pPr>
      <w:r>
        <w:rPr>
          <w:rFonts w:ascii="Arial" w:hAnsi="Arial" w:cs="Arial"/>
          <w:b/>
          <w:color w:val="000000"/>
          <w:shd w:val="clear" w:color="auto" w:fill="ffffff"/>
        </w:rPr>
        <w:t xml:space="preserve">3、预算支出完成情况</w:t>
      </w:r>
      <w:bookmarkEnd w:id="0"/>
      <w:r>
        <w:rPr>
          <w:rFonts w:ascii="Arial" w:hAnsi="Arial" w:cs="Arial"/>
          <w:b/>
          <w:color w:val="000000"/>
          <w:shd w:val="clear" w:color="auto" w:fill="ffffff"/>
        </w:rPr>
      </w:r>
      <w:r>
        <w:rPr>
          <w:rFonts w:ascii="Arial" w:hAnsi="Arial" w:cs="Arial"/>
          <w:b/>
          <w:color w:val="000000"/>
          <w:shd w:val="clear" w:color="auto" w:fill="ffffff"/>
        </w:rPr>
      </w:r>
    </w:p>
    <w:p>
      <w:pPr>
        <w:pStyle w:val="856"/>
        <w:widowControl w:val="true"/>
        <w:pBdr/>
        <w:spacing w:line="500" w:lineRule="exact"/>
        <w:ind w:firstLine="480"/>
        <w:jc w:val="left"/>
        <w:rPr>
          <w:rFonts w:hint="eastAsia" w:ascii="Arial" w:hAnsi="Arial" w:cs="Arial"/>
          <w:color w:val="000000"/>
          <w:sz w:val="24"/>
          <w:szCs w:val="24"/>
          <w:shd w:val="clear" w:color="auto" w:fill="ffffff"/>
        </w:rPr>
      </w:pPr>
      <w:r>
        <w:rPr>
          <w:rFonts w:ascii="Arial" w:hAnsi="Arial" w:cs="Arial"/>
          <w:color w:val="000000"/>
          <w:sz w:val="24"/>
          <w:szCs w:val="24"/>
          <w:shd w:val="clear" w:color="auto" w:fill="ffffff"/>
        </w:rPr>
        <w:t xml:space="preserve">市水利局2017年实际支出总额共计10,022,241.21元。</w:t>
      </w:r>
      <w:r>
        <w:rPr>
          <w:rFonts w:hint="eastAsia" w:ascii="Arial" w:hAnsi="Arial" w:cs="Arial"/>
          <w:color w:val="000000"/>
          <w:sz w:val="24"/>
          <w:szCs w:val="24"/>
          <w:shd w:val="clear" w:color="auto" w:fill="ffffff"/>
        </w:rPr>
      </w:r>
      <w:r>
        <w:rPr>
          <w:rFonts w:hint="eastAsia" w:ascii="Arial" w:hAnsi="Arial" w:cs="Arial"/>
          <w:color w:val="000000"/>
          <w:sz w:val="24"/>
          <w:szCs w:val="24"/>
          <w:shd w:val="clear" w:color="auto" w:fill="ffffff"/>
        </w:rPr>
      </w:r>
    </w:p>
    <w:p>
      <w:pPr>
        <w:pStyle w:val="856"/>
        <w:widowControl w:val="true"/>
        <w:pBdr/>
        <w:spacing w:line="500" w:lineRule="exact"/>
        <w:ind w:firstLine="2640"/>
        <w:rPr>
          <w:rFonts w:hint="eastAsia" w:ascii="Arial" w:hAnsi="Arial" w:cs="Arial"/>
          <w:color w:val="000000"/>
          <w:sz w:val="24"/>
          <w:szCs w:val="24"/>
          <w:shd w:val="clear" w:color="auto" w:fill="ffffff"/>
        </w:rPr>
      </w:pPr>
      <w:r>
        <w:rPr>
          <w:rFonts w:hint="eastAsia" w:ascii="Arial" w:hAnsi="Arial" w:cs="Arial"/>
          <w:color w:val="000000"/>
          <w:sz w:val="24"/>
          <w:szCs w:val="24"/>
          <w:shd w:val="clear" w:color="auto" w:fill="ffffff"/>
        </w:rPr>
      </w:r>
      <w:r>
        <w:rPr>
          <w:rFonts w:hint="eastAsia" w:ascii="Arial" w:hAnsi="Arial" w:cs="Arial"/>
          <w:color w:val="000000"/>
          <w:sz w:val="24"/>
          <w:szCs w:val="24"/>
          <w:shd w:val="clear" w:color="auto" w:fill="ffffff"/>
        </w:rPr>
      </w:r>
      <w:r>
        <w:rPr>
          <w:rFonts w:hint="eastAsia" w:ascii="Arial" w:hAnsi="Arial" w:cs="Arial"/>
          <w:color w:val="000000"/>
          <w:sz w:val="24"/>
          <w:szCs w:val="24"/>
          <w:shd w:val="clear" w:color="auto" w:fill="ffffff"/>
        </w:rPr>
      </w:r>
    </w:p>
    <w:p>
      <w:pPr>
        <w:pStyle w:val="856"/>
        <w:widowControl w:val="true"/>
        <w:pBdr/>
        <w:spacing w:line="500" w:lineRule="exact"/>
        <w:ind w:firstLine="2640"/>
        <w:rPr>
          <w:rFonts w:hint="eastAsia" w:ascii="Arial" w:hAnsi="Arial" w:cs="Arial"/>
          <w:color w:val="000000"/>
          <w:sz w:val="24"/>
          <w:szCs w:val="24"/>
          <w:shd w:val="clear" w:color="auto" w:fill="ffffff"/>
        </w:rPr>
      </w:pPr>
      <w:r>
        <w:rPr>
          <w:rFonts w:hint="eastAsia" w:ascii="Arial" w:hAnsi="Arial" w:cs="Arial"/>
          <w:color w:val="000000"/>
          <w:sz w:val="24"/>
          <w:szCs w:val="24"/>
          <w:shd w:val="clear" w:color="auto" w:fill="ffffff"/>
        </w:rPr>
      </w:r>
      <w:r>
        <w:rPr>
          <w:rFonts w:hint="eastAsia" w:ascii="Arial" w:hAnsi="Arial" w:cs="Arial"/>
          <w:color w:val="000000"/>
          <w:sz w:val="24"/>
          <w:szCs w:val="24"/>
          <w:shd w:val="clear" w:color="auto" w:fill="ffffff"/>
        </w:rPr>
      </w:r>
      <w:r>
        <w:rPr>
          <w:rFonts w:hint="eastAsia" w:ascii="Arial" w:hAnsi="Arial" w:cs="Arial"/>
          <w:color w:val="000000"/>
          <w:sz w:val="24"/>
          <w:szCs w:val="24"/>
          <w:shd w:val="clear" w:color="auto" w:fill="ffffff"/>
        </w:rPr>
      </w:r>
    </w:p>
    <w:p>
      <w:pPr>
        <w:pStyle w:val="856"/>
        <w:widowControl w:val="true"/>
        <w:pBdr/>
        <w:spacing w:line="500" w:lineRule="exact"/>
        <w:ind w:firstLine="2640"/>
        <w:rPr>
          <w:rFonts w:hint="eastAsia" w:ascii="Arial" w:hAnsi="Arial" w:cs="Arial"/>
          <w:color w:val="000000"/>
          <w:sz w:val="24"/>
          <w:szCs w:val="24"/>
          <w:shd w:val="clear" w:color="auto" w:fill="ffffff"/>
        </w:rPr>
      </w:pPr>
      <w:r>
        <w:rPr>
          <w:rFonts w:hint="eastAsia" w:ascii="Arial" w:hAnsi="Arial" w:cs="Arial"/>
          <w:color w:val="000000"/>
          <w:sz w:val="24"/>
          <w:szCs w:val="24"/>
          <w:shd w:val="clear" w:color="auto" w:fill="ffffff"/>
        </w:rPr>
      </w:r>
      <w:r>
        <w:rPr>
          <w:rFonts w:hint="eastAsia" w:ascii="Arial" w:hAnsi="Arial" w:cs="Arial"/>
          <w:color w:val="000000"/>
          <w:sz w:val="24"/>
          <w:szCs w:val="24"/>
          <w:shd w:val="clear" w:color="auto" w:fill="ffffff"/>
        </w:rPr>
      </w:r>
      <w:r>
        <w:rPr>
          <w:rFonts w:hint="eastAsia" w:ascii="Arial" w:hAnsi="Arial" w:cs="Arial"/>
          <w:color w:val="000000"/>
          <w:sz w:val="24"/>
          <w:szCs w:val="24"/>
          <w:shd w:val="clear" w:color="auto" w:fill="ffffff"/>
        </w:rPr>
      </w:r>
    </w:p>
    <w:p>
      <w:pPr>
        <w:pStyle w:val="856"/>
        <w:widowControl w:val="true"/>
        <w:pBdr/>
        <w:spacing w:line="500" w:lineRule="exact"/>
        <w:ind w:firstLine="2640"/>
        <w:rPr>
          <w:rFonts w:hint="eastAsia" w:ascii="Arial" w:hAnsi="Arial" w:cs="Arial"/>
          <w:color w:val="000000"/>
          <w:sz w:val="24"/>
          <w:szCs w:val="24"/>
          <w:shd w:val="clear" w:color="auto" w:fill="ffffff"/>
        </w:rPr>
      </w:pPr>
      <w:r>
        <w:rPr>
          <w:rFonts w:hint="eastAsia" w:ascii="Arial" w:hAnsi="Arial" w:cs="Arial"/>
          <w:color w:val="000000"/>
          <w:sz w:val="24"/>
          <w:szCs w:val="24"/>
          <w:shd w:val="clear" w:color="auto" w:fill="ffffff"/>
        </w:rPr>
      </w:r>
      <w:r>
        <w:rPr>
          <w:rFonts w:hint="eastAsia" w:ascii="Arial" w:hAnsi="Arial" w:cs="Arial"/>
          <w:color w:val="000000"/>
          <w:sz w:val="24"/>
          <w:szCs w:val="24"/>
          <w:shd w:val="clear" w:color="auto" w:fill="ffffff"/>
        </w:rPr>
      </w:r>
      <w:r>
        <w:rPr>
          <w:rFonts w:hint="eastAsia" w:ascii="Arial" w:hAnsi="Arial" w:cs="Arial"/>
          <w:color w:val="000000"/>
          <w:sz w:val="24"/>
          <w:szCs w:val="24"/>
          <w:shd w:val="clear" w:color="auto" w:fill="ffffff"/>
        </w:rPr>
      </w:r>
    </w:p>
    <w:p>
      <w:pPr>
        <w:pStyle w:val="856"/>
        <w:widowControl w:val="true"/>
        <w:pBdr/>
        <w:spacing w:line="500" w:lineRule="exact"/>
        <w:ind w:firstLine="2640"/>
        <w:rPr>
          <w:rFonts w:hint="eastAsia" w:ascii="Arial" w:hAnsi="Arial" w:cs="Arial"/>
          <w:color w:val="000000"/>
          <w:sz w:val="24"/>
          <w:szCs w:val="24"/>
          <w:shd w:val="clear" w:color="auto" w:fill="ffffff"/>
        </w:rPr>
      </w:pPr>
      <w:r>
        <w:rPr>
          <w:rFonts w:hint="eastAsia" w:ascii="Arial" w:hAnsi="Arial" w:cs="Arial"/>
          <w:color w:val="000000"/>
          <w:sz w:val="24"/>
          <w:szCs w:val="24"/>
          <w:shd w:val="clear" w:color="auto" w:fill="ffffff"/>
        </w:rPr>
      </w:r>
      <w:r>
        <w:rPr>
          <w:rFonts w:hint="eastAsia" w:ascii="Arial" w:hAnsi="Arial" w:cs="Arial"/>
          <w:color w:val="000000"/>
          <w:sz w:val="24"/>
          <w:szCs w:val="24"/>
          <w:shd w:val="clear" w:color="auto" w:fill="ffffff"/>
        </w:rPr>
      </w:r>
      <w:r>
        <w:rPr>
          <w:rFonts w:hint="eastAsia" w:ascii="Arial" w:hAnsi="Arial" w:cs="Arial"/>
          <w:color w:val="000000"/>
          <w:sz w:val="24"/>
          <w:szCs w:val="24"/>
          <w:shd w:val="clear" w:color="auto" w:fill="ffffff"/>
        </w:rPr>
      </w:r>
    </w:p>
    <w:p>
      <w:pPr>
        <w:pStyle w:val="856"/>
        <w:widowControl w:val="true"/>
        <w:pBdr/>
        <w:spacing w:line="500" w:lineRule="exact"/>
        <w:ind w:firstLine="2640"/>
        <w:rPr>
          <w:rFonts w:hint="eastAsia" w:ascii="Arial" w:hAnsi="Arial" w:cs="Arial"/>
          <w:color w:val="000000"/>
          <w:sz w:val="24"/>
          <w:szCs w:val="24"/>
          <w:shd w:val="clear" w:color="auto" w:fill="ffffff"/>
        </w:rPr>
      </w:pPr>
      <w:r>
        <w:rPr>
          <w:rFonts w:hint="eastAsia" w:ascii="Arial" w:hAnsi="Arial" w:cs="Arial"/>
          <w:color w:val="000000"/>
          <w:sz w:val="24"/>
          <w:szCs w:val="24"/>
          <w:shd w:val="clear" w:color="auto" w:fill="ffffff"/>
        </w:rPr>
      </w:r>
      <w:r>
        <w:rPr>
          <w:rFonts w:hint="eastAsia" w:ascii="Arial" w:hAnsi="Arial" w:cs="Arial"/>
          <w:color w:val="000000"/>
          <w:sz w:val="24"/>
          <w:szCs w:val="24"/>
          <w:shd w:val="clear" w:color="auto" w:fill="ffffff"/>
        </w:rPr>
      </w:r>
      <w:r>
        <w:rPr>
          <w:rFonts w:hint="eastAsia" w:ascii="Arial" w:hAnsi="Arial" w:cs="Arial"/>
          <w:color w:val="000000"/>
          <w:sz w:val="24"/>
          <w:szCs w:val="24"/>
          <w:shd w:val="clear" w:color="auto" w:fill="ffffff"/>
        </w:rPr>
      </w:r>
    </w:p>
    <w:p>
      <w:pPr>
        <w:pStyle w:val="856"/>
        <w:widowControl w:val="true"/>
        <w:pBdr/>
        <w:spacing w:line="500" w:lineRule="exact"/>
        <w:ind w:firstLine="2640"/>
        <w:rPr>
          <w:rFonts w:hint="eastAsia" w:ascii="Arial" w:hAnsi="Arial" w:cs="Arial"/>
          <w:color w:val="000000"/>
          <w:sz w:val="24"/>
          <w:szCs w:val="24"/>
          <w:shd w:val="clear" w:color="auto" w:fill="ffffff"/>
        </w:rPr>
      </w:pPr>
      <w:r>
        <w:rPr>
          <w:rFonts w:hint="eastAsia" w:ascii="Arial" w:hAnsi="Arial" w:cs="Arial"/>
          <w:color w:val="000000"/>
          <w:sz w:val="24"/>
          <w:szCs w:val="24"/>
          <w:shd w:val="clear" w:color="auto" w:fill="ffffff"/>
        </w:rPr>
      </w:r>
      <w:r>
        <w:rPr>
          <w:rFonts w:hint="eastAsia" w:ascii="Arial" w:hAnsi="Arial" w:cs="Arial"/>
          <w:color w:val="000000"/>
          <w:sz w:val="24"/>
          <w:szCs w:val="24"/>
          <w:shd w:val="clear" w:color="auto" w:fill="ffffff"/>
        </w:rPr>
      </w:r>
      <w:r>
        <w:rPr>
          <w:rFonts w:hint="eastAsia" w:ascii="Arial" w:hAnsi="Arial" w:cs="Arial"/>
          <w:color w:val="000000"/>
          <w:sz w:val="24"/>
          <w:szCs w:val="24"/>
          <w:shd w:val="clear" w:color="auto" w:fill="ffffff"/>
        </w:rPr>
      </w:r>
    </w:p>
    <w:p>
      <w:pPr>
        <w:pStyle w:val="856"/>
        <w:widowControl w:val="true"/>
        <w:pBdr/>
        <w:spacing w:line="500" w:lineRule="exact"/>
        <w:ind w:firstLine="2640"/>
        <w:rPr>
          <w:rFonts w:hint="eastAsia" w:ascii="Arial" w:hAnsi="Arial" w:cs="Arial"/>
          <w:color w:val="000000"/>
          <w:sz w:val="24"/>
          <w:szCs w:val="24"/>
          <w:shd w:val="clear" w:color="auto" w:fill="ffffff"/>
        </w:rPr>
      </w:pPr>
      <w:r>
        <w:rPr>
          <w:rFonts w:hint="eastAsia" w:ascii="Arial" w:hAnsi="Arial" w:cs="Arial"/>
          <w:color w:val="000000"/>
          <w:sz w:val="24"/>
          <w:szCs w:val="24"/>
          <w:shd w:val="clear" w:color="auto" w:fill="ffffff"/>
        </w:rPr>
      </w:r>
      <w:r>
        <w:rPr>
          <w:rFonts w:hint="eastAsia" w:ascii="Arial" w:hAnsi="Arial" w:cs="Arial"/>
          <w:color w:val="000000"/>
          <w:sz w:val="24"/>
          <w:szCs w:val="24"/>
          <w:shd w:val="clear" w:color="auto" w:fill="ffffff"/>
        </w:rPr>
      </w:r>
      <w:r>
        <w:rPr>
          <w:rFonts w:hint="eastAsia" w:ascii="Arial" w:hAnsi="Arial" w:cs="Arial"/>
          <w:color w:val="000000"/>
          <w:sz w:val="24"/>
          <w:szCs w:val="24"/>
          <w:shd w:val="clear" w:color="auto" w:fill="ffffff"/>
        </w:rPr>
      </w:r>
    </w:p>
    <w:p>
      <w:pPr>
        <w:pStyle w:val="856"/>
        <w:widowControl w:val="true"/>
        <w:pBdr/>
        <w:spacing w:line="500" w:lineRule="exact"/>
        <w:ind w:firstLine="2650"/>
        <w:rPr>
          <w:rFonts w:ascii="Arial" w:hAnsi="Arial" w:cs="Arial"/>
          <w:b/>
          <w:color w:val="0c0c0c"/>
          <w:sz w:val="24"/>
          <w:szCs w:val="24"/>
        </w:rPr>
      </w:pPr>
      <w:r>
        <w:rPr>
          <w:rFonts w:ascii="Arial" w:hAnsi="Arial" w:cs="Arial"/>
          <w:b/>
          <w:color w:val="0c0c0c"/>
          <w:sz w:val="24"/>
          <w:szCs w:val="24"/>
        </w:rPr>
        <w:t xml:space="preserve">2017年预算完成情况明细表</w:t>
      </w:r>
      <w:r>
        <w:rPr>
          <w:rFonts w:ascii="Arial" w:hAnsi="Arial" w:cs="Arial"/>
          <w:b/>
          <w:color w:val="0c0c0c"/>
          <w:sz w:val="24"/>
          <w:szCs w:val="24"/>
        </w:rPr>
      </w:r>
      <w:r>
        <w:rPr>
          <w:rFonts w:ascii="Arial" w:hAnsi="Arial" w:cs="Arial"/>
          <w:b/>
          <w:color w:val="0c0c0c"/>
          <w:sz w:val="24"/>
          <w:szCs w:val="24"/>
        </w:rPr>
      </w:r>
    </w:p>
    <w:p>
      <w:pPr>
        <w:pStyle w:val="856"/>
        <w:widowControl w:val="true"/>
        <w:pBdr/>
        <w:spacing w:line="500" w:lineRule="exact"/>
        <w:ind w:right="240"/>
        <w:jc w:val="right"/>
        <w:rPr>
          <w:rFonts w:ascii="Arial" w:hAnsi="Arial" w:cs="Arial"/>
          <w:color w:val="0c0c0c"/>
          <w:sz w:val="24"/>
          <w:szCs w:val="24"/>
        </w:rPr>
      </w:pPr>
      <w:r>
        <w:rPr>
          <w:rFonts w:ascii="Arial" w:hAnsi="Arial" w:cs="Arial"/>
          <w:color w:val="0c0c0c"/>
          <w:sz w:val="24"/>
          <w:szCs w:val="24"/>
        </w:rPr>
        <w:t xml:space="preserve"> 单位：元</w:t>
      </w:r>
      <w:r>
        <w:rPr>
          <w:rFonts w:ascii="Arial" w:hAnsi="Arial" w:cs="Arial"/>
          <w:color w:val="0c0c0c"/>
          <w:sz w:val="24"/>
          <w:szCs w:val="24"/>
        </w:rPr>
      </w:r>
      <w:r>
        <w:rPr>
          <w:rFonts w:ascii="Arial" w:hAnsi="Arial" w:cs="Arial"/>
          <w:color w:val="0c0c0c"/>
          <w:sz w:val="24"/>
          <w:szCs w:val="24"/>
        </w:rPr>
      </w:r>
    </w:p>
    <w:tbl>
      <w:tblPr>
        <w:tblW w:w="8541" w:type="dxa"/>
        <w:tblInd w:w="-34"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2127"/>
        <w:gridCol w:w="1366"/>
        <w:gridCol w:w="1584"/>
        <w:gridCol w:w="1680"/>
        <w:gridCol w:w="1784"/>
      </w:tblGrid>
      <w:tr>
        <w:trPr>
          <w:trHeight w:val="88"/>
        </w:trPr>
        <w:tc>
          <w:tcPr>
            <w:tcBorders/>
            <w:tcW w:w="2127" w:type="dxa"/>
            <w:vAlign w:val="center"/>
            <w:textDirection w:val="lrTb"/>
            <w:noWrap w:val="false"/>
          </w:tcPr>
          <w:p>
            <w:pPr>
              <w:pStyle w:val="856"/>
              <w:widowControl w:val="true"/>
              <w:pBdr/>
              <w:spacing w:line="500" w:lineRule="exact"/>
              <w:ind/>
              <w:jc w:val="center"/>
              <w:rPr>
                <w:rFonts w:ascii="Arial" w:hAnsi="Arial" w:cs="Arial"/>
                <w:color w:val="0c0c0c"/>
                <w:szCs w:val="21"/>
              </w:rPr>
            </w:pPr>
            <w:r>
              <w:rPr>
                <w:rFonts w:ascii="Arial" w:hAnsi="Arial" w:cs="Arial"/>
                <w:color w:val="0c0c0c"/>
                <w:szCs w:val="21"/>
              </w:rPr>
              <w:t xml:space="preserve">科  目</w:t>
            </w:r>
            <w:r>
              <w:rPr>
                <w:rFonts w:ascii="Arial" w:hAnsi="Arial" w:cs="Arial"/>
                <w:color w:val="0c0c0c"/>
                <w:szCs w:val="21"/>
              </w:rPr>
            </w:r>
            <w:r>
              <w:rPr>
                <w:rFonts w:ascii="Arial" w:hAnsi="Arial" w:cs="Arial"/>
                <w:color w:val="0c0c0c"/>
                <w:szCs w:val="21"/>
              </w:rPr>
            </w:r>
          </w:p>
        </w:tc>
        <w:tc>
          <w:tcPr>
            <w:tcBorders/>
            <w:tcW w:w="1366" w:type="dxa"/>
            <w:vAlign w:val="center"/>
            <w:textDirection w:val="lrTb"/>
            <w:noWrap w:val="false"/>
          </w:tcPr>
          <w:p>
            <w:pPr>
              <w:pStyle w:val="856"/>
              <w:widowControl w:val="true"/>
              <w:pBdr/>
              <w:spacing w:line="500" w:lineRule="exact"/>
              <w:ind/>
              <w:jc w:val="center"/>
              <w:rPr>
                <w:rFonts w:ascii="Arial" w:hAnsi="Arial" w:cs="Arial"/>
                <w:color w:val="0c0c0c"/>
                <w:szCs w:val="21"/>
              </w:rPr>
            </w:pPr>
            <w:r>
              <w:rPr>
                <w:rFonts w:ascii="Arial" w:hAnsi="Arial" w:cs="Arial"/>
                <w:color w:val="0c0c0c"/>
                <w:szCs w:val="21"/>
              </w:rPr>
              <w:t xml:space="preserve">预算支出</w:t>
            </w:r>
            <w:r>
              <w:rPr>
                <w:rFonts w:ascii="Arial" w:hAnsi="Arial" w:cs="Arial"/>
                <w:color w:val="0c0c0c"/>
                <w:szCs w:val="21"/>
              </w:rPr>
            </w:r>
            <w:r>
              <w:rPr>
                <w:rFonts w:ascii="Arial" w:hAnsi="Arial" w:cs="Arial"/>
                <w:color w:val="0c0c0c"/>
                <w:szCs w:val="21"/>
              </w:rPr>
            </w:r>
          </w:p>
        </w:tc>
        <w:tc>
          <w:tcPr>
            <w:tcBorders/>
            <w:tcW w:w="1584" w:type="dxa"/>
            <w:vAlign w:val="center"/>
            <w:textDirection w:val="lrTb"/>
            <w:noWrap w:val="false"/>
          </w:tcPr>
          <w:p>
            <w:pPr>
              <w:pStyle w:val="856"/>
              <w:widowControl w:val="true"/>
              <w:pBdr/>
              <w:spacing w:line="500" w:lineRule="exact"/>
              <w:ind/>
              <w:jc w:val="center"/>
              <w:rPr>
                <w:rFonts w:ascii="Arial" w:hAnsi="Arial" w:cs="Arial"/>
                <w:color w:val="0c0c0c"/>
                <w:szCs w:val="21"/>
              </w:rPr>
            </w:pPr>
            <w:r>
              <w:rPr>
                <w:rFonts w:ascii="Arial" w:hAnsi="Arial" w:cs="Arial"/>
                <w:color w:val="0c0c0c"/>
                <w:szCs w:val="21"/>
              </w:rPr>
              <w:t xml:space="preserve">实际支出</w:t>
            </w:r>
            <w:r>
              <w:rPr>
                <w:rFonts w:ascii="Arial" w:hAnsi="Arial" w:cs="Arial"/>
                <w:color w:val="0c0c0c"/>
                <w:szCs w:val="21"/>
              </w:rPr>
            </w:r>
            <w:r>
              <w:rPr>
                <w:rFonts w:ascii="Arial" w:hAnsi="Arial" w:cs="Arial"/>
                <w:color w:val="0c0c0c"/>
                <w:szCs w:val="21"/>
              </w:rPr>
            </w:r>
          </w:p>
        </w:tc>
        <w:tc>
          <w:tcPr>
            <w:tcBorders/>
            <w:tcW w:w="1680" w:type="dxa"/>
            <w:vAlign w:val="center"/>
            <w:textDirection w:val="lrTb"/>
            <w:noWrap w:val="false"/>
          </w:tcPr>
          <w:p>
            <w:pPr>
              <w:pStyle w:val="856"/>
              <w:widowControl w:val="true"/>
              <w:pBdr/>
              <w:spacing w:line="500" w:lineRule="exact"/>
              <w:ind/>
              <w:jc w:val="center"/>
              <w:rPr>
                <w:rFonts w:ascii="Arial" w:hAnsi="Arial" w:cs="Arial"/>
                <w:color w:val="0c0c0c"/>
                <w:szCs w:val="21"/>
              </w:rPr>
            </w:pPr>
            <w:r>
              <w:rPr>
                <w:rFonts w:ascii="Arial" w:hAnsi="Arial" w:cs="Arial"/>
                <w:color w:val="0c0c0c"/>
                <w:szCs w:val="21"/>
              </w:rPr>
              <w:t xml:space="preserve">超  支</w:t>
            </w:r>
            <w:r>
              <w:rPr>
                <w:rFonts w:ascii="Arial" w:hAnsi="Arial" w:cs="Arial"/>
                <w:color w:val="0c0c0c"/>
                <w:szCs w:val="21"/>
              </w:rPr>
            </w:r>
            <w:r>
              <w:rPr>
                <w:rFonts w:ascii="Arial" w:hAnsi="Arial" w:cs="Arial"/>
                <w:color w:val="0c0c0c"/>
                <w:szCs w:val="21"/>
              </w:rPr>
            </w:r>
          </w:p>
        </w:tc>
        <w:tc>
          <w:tcPr>
            <w:tcBorders/>
            <w:tcW w:w="1784" w:type="dxa"/>
            <w:vAlign w:val="center"/>
            <w:textDirection w:val="lrTb"/>
            <w:noWrap w:val="false"/>
          </w:tcPr>
          <w:p>
            <w:pPr>
              <w:pStyle w:val="856"/>
              <w:widowControl w:val="true"/>
              <w:pBdr/>
              <w:spacing w:line="500" w:lineRule="exact"/>
              <w:ind/>
              <w:jc w:val="center"/>
              <w:rPr>
                <w:rFonts w:ascii="Arial" w:hAnsi="Arial" w:cs="Arial"/>
                <w:color w:val="0c0c0c"/>
                <w:szCs w:val="21"/>
              </w:rPr>
            </w:pPr>
            <w:r>
              <w:rPr>
                <w:rFonts w:ascii="Arial" w:hAnsi="Arial" w:cs="Arial"/>
                <w:color w:val="0c0c0c"/>
                <w:szCs w:val="21"/>
              </w:rPr>
              <w:t xml:space="preserve">预算支出完成率</w:t>
            </w:r>
            <w:r>
              <w:rPr>
                <w:rFonts w:ascii="Arial" w:hAnsi="Arial" w:cs="Arial"/>
                <w:color w:val="0c0c0c"/>
                <w:szCs w:val="21"/>
              </w:rPr>
            </w:r>
            <w:r>
              <w:rPr>
                <w:rFonts w:ascii="Arial" w:hAnsi="Arial" w:cs="Arial"/>
                <w:color w:val="0c0c0c"/>
                <w:szCs w:val="21"/>
              </w:rPr>
            </w:r>
          </w:p>
        </w:tc>
      </w:tr>
      <w:tr>
        <w:trPr>
          <w:trHeight w:val="36"/>
        </w:trPr>
        <w:tc>
          <w:tcPr>
            <w:tcBorders/>
            <w:tcW w:w="2127" w:type="dxa"/>
            <w:vAlign w:val="center"/>
            <w:textDirection w:val="lrTb"/>
            <w:noWrap w:val="false"/>
          </w:tcPr>
          <w:p>
            <w:pPr>
              <w:pStyle w:val="856"/>
              <w:widowControl w:val="true"/>
              <w:pBdr/>
              <w:spacing w:line="500" w:lineRule="exact"/>
              <w:ind/>
              <w:jc w:val="center"/>
              <w:rPr>
                <w:rFonts w:ascii="Arial" w:hAnsi="Arial" w:cs="Arial"/>
                <w:color w:val="0c0c0c"/>
                <w:szCs w:val="21"/>
              </w:rPr>
            </w:pPr>
            <w:r>
              <w:rPr>
                <w:rFonts w:ascii="Arial" w:hAnsi="Arial" w:cs="Arial"/>
                <w:color w:val="0c0c0c"/>
                <w:szCs w:val="21"/>
              </w:rPr>
              <w:t xml:space="preserve">工资福利支出</w:t>
            </w:r>
            <w:r>
              <w:rPr>
                <w:rFonts w:ascii="Arial" w:hAnsi="Arial" w:cs="Arial"/>
                <w:color w:val="0c0c0c"/>
                <w:szCs w:val="21"/>
              </w:rPr>
            </w:r>
            <w:r>
              <w:rPr>
                <w:rFonts w:ascii="Arial" w:hAnsi="Arial" w:cs="Arial"/>
                <w:color w:val="0c0c0c"/>
                <w:szCs w:val="21"/>
              </w:rPr>
            </w:r>
          </w:p>
        </w:tc>
        <w:tc>
          <w:tcPr>
            <w:tcBorders/>
            <w:tcW w:w="1366" w:type="dxa"/>
            <w:vAlign w:val="center"/>
            <w:textDirection w:val="lrTb"/>
            <w:noWrap w:val="false"/>
          </w:tcPr>
          <w:p>
            <w:pPr>
              <w:pStyle w:val="856"/>
              <w:widowControl w:val="true"/>
              <w:pBdr/>
              <w:spacing w:line="500" w:lineRule="exact"/>
              <w:ind/>
              <w:jc w:val="center"/>
              <w:rPr>
                <w:rFonts w:ascii="Arial" w:hAnsi="Arial" w:cs="Arial"/>
                <w:color w:val="000000"/>
                <w:szCs w:val="21"/>
              </w:rPr>
            </w:pPr>
            <w:r>
              <w:rPr>
                <w:rFonts w:ascii="Arial" w:hAnsi="Arial" w:cs="Arial"/>
                <w:color w:val="000000"/>
                <w:szCs w:val="21"/>
              </w:rPr>
              <w:t xml:space="preserve">2,887,500</w:t>
            </w:r>
            <w:r>
              <w:rPr>
                <w:rFonts w:ascii="Arial" w:hAnsi="Arial" w:cs="Arial"/>
                <w:color w:val="000000"/>
                <w:szCs w:val="21"/>
              </w:rPr>
            </w:r>
            <w:r>
              <w:rPr>
                <w:rFonts w:ascii="Arial" w:hAnsi="Arial" w:cs="Arial"/>
                <w:color w:val="000000"/>
                <w:szCs w:val="21"/>
              </w:rPr>
            </w:r>
          </w:p>
        </w:tc>
        <w:tc>
          <w:tcPr>
            <w:tcBorders/>
            <w:tcW w:w="1584" w:type="dxa"/>
            <w:vAlign w:val="center"/>
            <w:textDirection w:val="lrTb"/>
            <w:noWrap w:val="false"/>
          </w:tcPr>
          <w:p>
            <w:pPr>
              <w:pStyle w:val="856"/>
              <w:widowControl w:val="true"/>
              <w:pBdr/>
              <w:spacing w:line="500" w:lineRule="exact"/>
              <w:ind/>
              <w:jc w:val="center"/>
              <w:rPr>
                <w:rFonts w:ascii="Arial" w:hAnsi="Arial" w:cs="Arial"/>
                <w:color w:val="000000"/>
                <w:szCs w:val="21"/>
              </w:rPr>
            </w:pPr>
            <w:r>
              <w:rPr>
                <w:rFonts w:ascii="Arial" w:hAnsi="Arial" w:cs="Arial"/>
                <w:color w:val="000000"/>
                <w:szCs w:val="21"/>
              </w:rPr>
              <w:t xml:space="preserve">3,635,442.38</w:t>
            </w:r>
            <w:r>
              <w:rPr>
                <w:rFonts w:ascii="Arial" w:hAnsi="Arial" w:cs="Arial"/>
                <w:color w:val="000000"/>
                <w:szCs w:val="21"/>
              </w:rPr>
            </w:r>
            <w:r>
              <w:rPr>
                <w:rFonts w:ascii="Arial" w:hAnsi="Arial" w:cs="Arial"/>
                <w:color w:val="000000"/>
                <w:szCs w:val="21"/>
              </w:rPr>
            </w:r>
          </w:p>
        </w:tc>
        <w:tc>
          <w:tcPr>
            <w:tcBorders/>
            <w:tcW w:w="1680" w:type="dxa"/>
            <w:vAlign w:val="center"/>
            <w:textDirection w:val="lrTb"/>
            <w:noWrap w:val="false"/>
          </w:tcPr>
          <w:p>
            <w:pPr>
              <w:pStyle w:val="856"/>
              <w:pBdr/>
              <w:spacing w:line="500" w:lineRule="exact"/>
              <w:ind/>
              <w:jc w:val="center"/>
              <w:rPr>
                <w:rFonts w:ascii="Arial" w:hAnsi="Arial" w:cs="Arial"/>
                <w:color w:val="000000"/>
                <w:szCs w:val="21"/>
              </w:rPr>
            </w:pPr>
            <w:r>
              <w:rPr>
                <w:rFonts w:ascii="Arial" w:hAnsi="Arial" w:cs="Arial"/>
                <w:color w:val="000000"/>
                <w:szCs w:val="21"/>
              </w:rPr>
              <w:t xml:space="preserve">747,942.38</w:t>
            </w:r>
            <w:r>
              <w:rPr>
                <w:rFonts w:ascii="Arial" w:hAnsi="Arial" w:cs="Arial"/>
                <w:color w:val="000000"/>
                <w:szCs w:val="21"/>
              </w:rPr>
            </w:r>
            <w:r>
              <w:rPr>
                <w:rFonts w:ascii="Arial" w:hAnsi="Arial" w:cs="Arial"/>
                <w:color w:val="000000"/>
                <w:szCs w:val="21"/>
              </w:rPr>
            </w:r>
          </w:p>
        </w:tc>
        <w:tc>
          <w:tcPr>
            <w:tcBorders/>
            <w:tcW w:w="1784" w:type="dxa"/>
            <w:vAlign w:val="center"/>
            <w:textDirection w:val="lrTb"/>
            <w:noWrap w:val="false"/>
          </w:tcPr>
          <w:p>
            <w:pPr>
              <w:pStyle w:val="856"/>
              <w:pBdr/>
              <w:spacing w:line="500" w:lineRule="exact"/>
              <w:ind/>
              <w:jc w:val="center"/>
              <w:rPr>
                <w:rFonts w:ascii="Arial" w:hAnsi="Arial" w:cs="Arial"/>
                <w:color w:val="000000"/>
                <w:szCs w:val="21"/>
              </w:rPr>
            </w:pPr>
            <w:r>
              <w:rPr>
                <w:rFonts w:ascii="Arial" w:hAnsi="Arial" w:cs="Arial"/>
                <w:color w:val="000000"/>
                <w:szCs w:val="21"/>
              </w:rPr>
              <w:t xml:space="preserve">125.90%</w:t>
            </w:r>
            <w:r>
              <w:rPr>
                <w:rFonts w:ascii="Arial" w:hAnsi="Arial" w:cs="Arial"/>
                <w:color w:val="000000"/>
                <w:szCs w:val="21"/>
              </w:rPr>
            </w:r>
            <w:r>
              <w:rPr>
                <w:rFonts w:ascii="Arial" w:hAnsi="Arial" w:cs="Arial"/>
                <w:color w:val="000000"/>
                <w:szCs w:val="21"/>
              </w:rPr>
            </w:r>
          </w:p>
        </w:tc>
      </w:tr>
      <w:tr>
        <w:trPr>
          <w:trHeight w:val="495"/>
        </w:trPr>
        <w:tc>
          <w:tcPr>
            <w:tcBorders/>
            <w:tcW w:w="2127" w:type="dxa"/>
            <w:vAlign w:val="center"/>
            <w:textDirection w:val="lrTb"/>
            <w:noWrap w:val="false"/>
          </w:tcPr>
          <w:p>
            <w:pPr>
              <w:pStyle w:val="856"/>
              <w:widowControl w:val="true"/>
              <w:pBdr/>
              <w:spacing w:line="500" w:lineRule="exact"/>
              <w:ind/>
              <w:jc w:val="center"/>
              <w:rPr>
                <w:rFonts w:ascii="Arial" w:hAnsi="Arial" w:cs="Arial"/>
                <w:color w:val="0c0c0c"/>
                <w:szCs w:val="21"/>
              </w:rPr>
            </w:pPr>
            <w:r>
              <w:rPr>
                <w:rFonts w:ascii="Arial" w:hAnsi="Arial" w:cs="Arial"/>
                <w:color w:val="0c0c0c"/>
                <w:szCs w:val="21"/>
              </w:rPr>
              <w:t xml:space="preserve">商品和服务支出</w:t>
            </w:r>
            <w:r>
              <w:rPr>
                <w:rFonts w:ascii="Arial" w:hAnsi="Arial" w:cs="Arial"/>
                <w:color w:val="0c0c0c"/>
                <w:szCs w:val="21"/>
              </w:rPr>
            </w:r>
            <w:r>
              <w:rPr>
                <w:rFonts w:ascii="Arial" w:hAnsi="Arial" w:cs="Arial"/>
                <w:color w:val="0c0c0c"/>
                <w:szCs w:val="21"/>
              </w:rPr>
            </w:r>
          </w:p>
        </w:tc>
        <w:tc>
          <w:tcPr>
            <w:tcBorders/>
            <w:tcW w:w="1366" w:type="dxa"/>
            <w:vAlign w:val="center"/>
            <w:textDirection w:val="lrTb"/>
            <w:noWrap w:val="false"/>
          </w:tcPr>
          <w:p>
            <w:pPr>
              <w:pStyle w:val="856"/>
              <w:widowControl w:val="true"/>
              <w:pBdr/>
              <w:spacing w:line="500" w:lineRule="exact"/>
              <w:ind/>
              <w:jc w:val="center"/>
              <w:rPr>
                <w:rFonts w:ascii="Arial" w:hAnsi="Arial" w:cs="Arial"/>
                <w:color w:val="000000"/>
                <w:szCs w:val="21"/>
              </w:rPr>
            </w:pPr>
            <w:r>
              <w:rPr>
                <w:rFonts w:ascii="Arial" w:hAnsi="Arial" w:cs="Arial"/>
                <w:color w:val="000000"/>
                <w:szCs w:val="21"/>
              </w:rPr>
              <w:t xml:space="preserve">1,207,100</w:t>
            </w:r>
            <w:r>
              <w:rPr>
                <w:rFonts w:ascii="Arial" w:hAnsi="Arial" w:cs="Arial"/>
                <w:color w:val="000000"/>
                <w:szCs w:val="21"/>
              </w:rPr>
            </w:r>
            <w:r>
              <w:rPr>
                <w:rFonts w:ascii="Arial" w:hAnsi="Arial" w:cs="Arial"/>
                <w:color w:val="000000"/>
                <w:szCs w:val="21"/>
              </w:rPr>
            </w:r>
          </w:p>
        </w:tc>
        <w:tc>
          <w:tcPr>
            <w:tcBorders/>
            <w:tcW w:w="1584" w:type="dxa"/>
            <w:vAlign w:val="center"/>
            <w:textDirection w:val="lrTb"/>
            <w:noWrap w:val="false"/>
          </w:tcPr>
          <w:p>
            <w:pPr>
              <w:pStyle w:val="856"/>
              <w:widowControl w:val="true"/>
              <w:pBdr/>
              <w:spacing w:line="500" w:lineRule="exact"/>
              <w:ind/>
              <w:jc w:val="center"/>
              <w:rPr>
                <w:rFonts w:ascii="Arial" w:hAnsi="Arial" w:cs="Arial"/>
                <w:color w:val="000000"/>
                <w:szCs w:val="21"/>
              </w:rPr>
            </w:pPr>
            <w:r>
              <w:rPr>
                <w:rFonts w:ascii="Arial" w:hAnsi="Arial" w:cs="Arial"/>
                <w:color w:val="000000"/>
                <w:szCs w:val="21"/>
              </w:rPr>
              <w:t xml:space="preserve">380,662.14</w:t>
            </w:r>
            <w:r>
              <w:rPr>
                <w:rFonts w:ascii="Arial" w:hAnsi="Arial" w:cs="Arial"/>
                <w:color w:val="000000"/>
                <w:szCs w:val="21"/>
              </w:rPr>
            </w:r>
            <w:r>
              <w:rPr>
                <w:rFonts w:ascii="Arial" w:hAnsi="Arial" w:cs="Arial"/>
                <w:color w:val="000000"/>
                <w:szCs w:val="21"/>
              </w:rPr>
            </w:r>
          </w:p>
        </w:tc>
        <w:tc>
          <w:tcPr>
            <w:tcBorders/>
            <w:tcW w:w="1680" w:type="dxa"/>
            <w:vAlign w:val="center"/>
            <w:textDirection w:val="lrTb"/>
            <w:noWrap w:val="false"/>
          </w:tcPr>
          <w:p>
            <w:pPr>
              <w:pStyle w:val="856"/>
              <w:pBdr/>
              <w:spacing w:line="500" w:lineRule="exact"/>
              <w:ind/>
              <w:jc w:val="center"/>
              <w:rPr>
                <w:rFonts w:ascii="Arial" w:hAnsi="Arial" w:cs="Arial"/>
                <w:color w:val="000000"/>
                <w:szCs w:val="21"/>
              </w:rPr>
            </w:pPr>
            <w:r>
              <w:rPr>
                <w:rFonts w:ascii="Arial" w:hAnsi="Arial" w:cs="Arial"/>
                <w:color w:val="000000"/>
                <w:szCs w:val="21"/>
              </w:rPr>
              <w:t xml:space="preserve">-826,437.86</w:t>
            </w:r>
            <w:r>
              <w:rPr>
                <w:rFonts w:ascii="Arial" w:hAnsi="Arial" w:cs="Arial"/>
                <w:color w:val="000000"/>
                <w:szCs w:val="21"/>
              </w:rPr>
            </w:r>
            <w:r>
              <w:rPr>
                <w:rFonts w:ascii="Arial" w:hAnsi="Arial" w:cs="Arial"/>
                <w:color w:val="000000"/>
                <w:szCs w:val="21"/>
              </w:rPr>
            </w:r>
          </w:p>
        </w:tc>
        <w:tc>
          <w:tcPr>
            <w:tcBorders/>
            <w:tcW w:w="1784" w:type="dxa"/>
            <w:vAlign w:val="center"/>
            <w:textDirection w:val="lrTb"/>
            <w:noWrap w:val="false"/>
          </w:tcPr>
          <w:p>
            <w:pPr>
              <w:pStyle w:val="856"/>
              <w:pBdr/>
              <w:spacing w:line="500" w:lineRule="exact"/>
              <w:ind/>
              <w:jc w:val="center"/>
              <w:rPr>
                <w:rFonts w:ascii="Arial" w:hAnsi="Arial" w:cs="Arial"/>
                <w:color w:val="000000"/>
                <w:szCs w:val="21"/>
              </w:rPr>
            </w:pPr>
            <w:r>
              <w:rPr>
                <w:rFonts w:ascii="Arial" w:hAnsi="Arial" w:cs="Arial"/>
                <w:color w:val="000000"/>
                <w:szCs w:val="21"/>
              </w:rPr>
              <w:t xml:space="preserve">31.54%</w:t>
            </w:r>
            <w:r>
              <w:rPr>
                <w:rFonts w:ascii="Arial" w:hAnsi="Arial" w:cs="Arial"/>
                <w:color w:val="000000"/>
                <w:szCs w:val="21"/>
              </w:rPr>
            </w:r>
            <w:r>
              <w:rPr>
                <w:rFonts w:ascii="Arial" w:hAnsi="Arial" w:cs="Arial"/>
                <w:color w:val="000000"/>
                <w:szCs w:val="21"/>
              </w:rPr>
            </w:r>
          </w:p>
        </w:tc>
      </w:tr>
      <w:tr>
        <w:trPr>
          <w:trHeight w:val="88"/>
        </w:trPr>
        <w:tc>
          <w:tcPr>
            <w:tcBorders/>
            <w:tcW w:w="2127" w:type="dxa"/>
            <w:vAlign w:val="center"/>
            <w:textDirection w:val="lrTb"/>
            <w:noWrap w:val="false"/>
          </w:tcPr>
          <w:p>
            <w:pPr>
              <w:pStyle w:val="856"/>
              <w:widowControl w:val="true"/>
              <w:pBdr/>
              <w:spacing w:line="500" w:lineRule="exact"/>
              <w:ind/>
              <w:jc w:val="center"/>
              <w:rPr>
                <w:rFonts w:ascii="Arial" w:hAnsi="Arial" w:cs="Arial"/>
                <w:color w:val="0c0c0c"/>
                <w:szCs w:val="21"/>
              </w:rPr>
            </w:pPr>
            <w:r>
              <w:rPr>
                <w:rFonts w:ascii="Arial" w:hAnsi="Arial" w:cs="Arial"/>
                <w:color w:val="0c0c0c"/>
                <w:szCs w:val="21"/>
              </w:rPr>
              <w:t xml:space="preserve">对个人和家庭的补助</w:t>
            </w:r>
            <w:r>
              <w:rPr>
                <w:rFonts w:ascii="Arial" w:hAnsi="Arial" w:cs="Arial"/>
                <w:color w:val="0c0c0c"/>
                <w:szCs w:val="21"/>
              </w:rPr>
            </w:r>
            <w:r>
              <w:rPr>
                <w:rFonts w:ascii="Arial" w:hAnsi="Arial" w:cs="Arial"/>
                <w:color w:val="0c0c0c"/>
                <w:szCs w:val="21"/>
              </w:rPr>
            </w:r>
          </w:p>
        </w:tc>
        <w:tc>
          <w:tcPr>
            <w:tcBorders/>
            <w:tcW w:w="1366" w:type="dxa"/>
            <w:vAlign w:val="center"/>
            <w:textDirection w:val="lrTb"/>
            <w:noWrap w:val="false"/>
          </w:tcPr>
          <w:p>
            <w:pPr>
              <w:pStyle w:val="856"/>
              <w:widowControl w:val="true"/>
              <w:pBdr/>
              <w:spacing w:line="500" w:lineRule="exact"/>
              <w:ind/>
              <w:jc w:val="center"/>
              <w:rPr>
                <w:rFonts w:ascii="Arial" w:hAnsi="Arial" w:cs="Arial"/>
                <w:color w:val="000000"/>
                <w:szCs w:val="21"/>
              </w:rPr>
            </w:pPr>
            <w:r>
              <w:rPr>
                <w:rFonts w:ascii="Arial" w:hAnsi="Arial" w:cs="Arial"/>
                <w:color w:val="000000"/>
                <w:szCs w:val="21"/>
              </w:rPr>
              <w:t xml:space="preserve">744,000</w:t>
            </w:r>
            <w:r>
              <w:rPr>
                <w:rFonts w:ascii="Arial" w:hAnsi="Arial" w:cs="Arial"/>
                <w:color w:val="000000"/>
                <w:szCs w:val="21"/>
              </w:rPr>
            </w:r>
            <w:r>
              <w:rPr>
                <w:rFonts w:ascii="Arial" w:hAnsi="Arial" w:cs="Arial"/>
                <w:color w:val="000000"/>
                <w:szCs w:val="21"/>
              </w:rPr>
            </w:r>
          </w:p>
        </w:tc>
        <w:tc>
          <w:tcPr>
            <w:tcBorders/>
            <w:tcW w:w="1584" w:type="dxa"/>
            <w:vAlign w:val="center"/>
            <w:textDirection w:val="lrTb"/>
            <w:noWrap w:val="false"/>
          </w:tcPr>
          <w:p>
            <w:pPr>
              <w:pStyle w:val="856"/>
              <w:widowControl w:val="true"/>
              <w:pBdr/>
              <w:spacing w:line="500" w:lineRule="exact"/>
              <w:ind/>
              <w:jc w:val="center"/>
              <w:rPr>
                <w:rFonts w:ascii="Arial" w:hAnsi="Arial" w:cs="Arial"/>
                <w:color w:val="000000"/>
                <w:szCs w:val="21"/>
              </w:rPr>
            </w:pPr>
            <w:r>
              <w:rPr>
                <w:rFonts w:ascii="Arial" w:hAnsi="Arial" w:cs="Arial"/>
                <w:color w:val="000000"/>
                <w:szCs w:val="21"/>
              </w:rPr>
              <w:t xml:space="preserve">696,207.08</w:t>
            </w:r>
            <w:r>
              <w:rPr>
                <w:rFonts w:ascii="Arial" w:hAnsi="Arial" w:cs="Arial"/>
                <w:color w:val="000000"/>
                <w:szCs w:val="21"/>
              </w:rPr>
            </w:r>
            <w:r>
              <w:rPr>
                <w:rFonts w:ascii="Arial" w:hAnsi="Arial" w:cs="Arial"/>
                <w:color w:val="000000"/>
                <w:szCs w:val="21"/>
              </w:rPr>
            </w:r>
          </w:p>
        </w:tc>
        <w:tc>
          <w:tcPr>
            <w:tcBorders/>
            <w:tcW w:w="1680" w:type="dxa"/>
            <w:vAlign w:val="center"/>
            <w:textDirection w:val="lrTb"/>
            <w:noWrap w:val="false"/>
          </w:tcPr>
          <w:p>
            <w:pPr>
              <w:pStyle w:val="856"/>
              <w:pBdr/>
              <w:spacing w:line="500" w:lineRule="exact"/>
              <w:ind/>
              <w:jc w:val="center"/>
              <w:rPr>
                <w:rFonts w:ascii="Arial" w:hAnsi="Arial" w:cs="Arial"/>
                <w:color w:val="000000"/>
                <w:szCs w:val="21"/>
              </w:rPr>
            </w:pPr>
            <w:r>
              <w:rPr>
                <w:rFonts w:ascii="Arial" w:hAnsi="Arial" w:cs="Arial"/>
                <w:color w:val="000000"/>
                <w:szCs w:val="21"/>
              </w:rPr>
              <w:t xml:space="preserve">-47,792.92</w:t>
            </w:r>
            <w:r>
              <w:rPr>
                <w:rFonts w:ascii="Arial" w:hAnsi="Arial" w:cs="Arial"/>
                <w:color w:val="000000"/>
                <w:szCs w:val="21"/>
              </w:rPr>
            </w:r>
            <w:r>
              <w:rPr>
                <w:rFonts w:ascii="Arial" w:hAnsi="Arial" w:cs="Arial"/>
                <w:color w:val="000000"/>
                <w:szCs w:val="21"/>
              </w:rPr>
            </w:r>
          </w:p>
        </w:tc>
        <w:tc>
          <w:tcPr>
            <w:tcBorders/>
            <w:tcW w:w="1784" w:type="dxa"/>
            <w:vAlign w:val="center"/>
            <w:textDirection w:val="lrTb"/>
            <w:noWrap w:val="false"/>
          </w:tcPr>
          <w:p>
            <w:pPr>
              <w:pStyle w:val="856"/>
              <w:pBdr/>
              <w:spacing w:line="500" w:lineRule="exact"/>
              <w:ind/>
              <w:jc w:val="center"/>
              <w:rPr>
                <w:rFonts w:ascii="Arial" w:hAnsi="Arial" w:cs="Arial"/>
                <w:color w:val="000000"/>
                <w:szCs w:val="21"/>
              </w:rPr>
            </w:pPr>
            <w:r>
              <w:rPr>
                <w:rFonts w:ascii="Arial" w:hAnsi="Arial" w:cs="Arial"/>
                <w:color w:val="000000"/>
                <w:szCs w:val="21"/>
              </w:rPr>
              <w:t xml:space="preserve">93.58%</w:t>
            </w:r>
            <w:r>
              <w:rPr>
                <w:rFonts w:ascii="Arial" w:hAnsi="Arial" w:cs="Arial"/>
                <w:color w:val="000000"/>
                <w:szCs w:val="21"/>
              </w:rPr>
            </w:r>
            <w:r>
              <w:rPr>
                <w:rFonts w:ascii="Arial" w:hAnsi="Arial" w:cs="Arial"/>
                <w:color w:val="000000"/>
                <w:szCs w:val="21"/>
              </w:rPr>
            </w:r>
          </w:p>
        </w:tc>
      </w:tr>
      <w:tr>
        <w:trPr>
          <w:trHeight w:val="36"/>
        </w:trPr>
        <w:tc>
          <w:tcPr>
            <w:tcBorders/>
            <w:tcW w:w="2127" w:type="dxa"/>
            <w:vAlign w:val="center"/>
            <w:textDirection w:val="lrTb"/>
            <w:noWrap w:val="false"/>
          </w:tcPr>
          <w:p>
            <w:pPr>
              <w:pStyle w:val="856"/>
              <w:widowControl w:val="true"/>
              <w:pBdr/>
              <w:spacing w:line="500" w:lineRule="exact"/>
              <w:ind/>
              <w:jc w:val="center"/>
              <w:rPr>
                <w:rFonts w:ascii="Arial" w:hAnsi="Arial" w:cs="Arial"/>
                <w:color w:val="0c0c0c"/>
                <w:szCs w:val="21"/>
              </w:rPr>
            </w:pPr>
            <w:r>
              <w:rPr>
                <w:rFonts w:ascii="Arial" w:hAnsi="Arial" w:cs="Arial"/>
                <w:color w:val="0c0c0c"/>
                <w:szCs w:val="21"/>
              </w:rPr>
              <w:t xml:space="preserve">赠与</w:t>
            </w:r>
            <w:r>
              <w:rPr>
                <w:rFonts w:ascii="Arial" w:hAnsi="Arial" w:cs="Arial"/>
                <w:color w:val="0c0c0c"/>
                <w:szCs w:val="21"/>
              </w:rPr>
            </w:r>
            <w:r>
              <w:rPr>
                <w:rFonts w:ascii="Arial" w:hAnsi="Arial" w:cs="Arial"/>
                <w:color w:val="0c0c0c"/>
                <w:szCs w:val="21"/>
              </w:rPr>
            </w:r>
          </w:p>
        </w:tc>
        <w:tc>
          <w:tcPr>
            <w:tcBorders/>
            <w:tcW w:w="1366" w:type="dxa"/>
            <w:vAlign w:val="center"/>
            <w:textDirection w:val="lrTb"/>
            <w:noWrap w:val="false"/>
          </w:tcPr>
          <w:p>
            <w:pPr>
              <w:pStyle w:val="856"/>
              <w:widowControl w:val="true"/>
              <w:pBdr/>
              <w:spacing w:line="500" w:lineRule="exact"/>
              <w:ind/>
              <w:jc w:val="center"/>
              <w:rPr>
                <w:rFonts w:ascii="Arial" w:hAnsi="Arial" w:cs="Arial"/>
                <w:color w:val="000000"/>
                <w:szCs w:val="21"/>
              </w:rPr>
            </w:pPr>
            <w:r>
              <w:rPr>
                <w:rFonts w:ascii="Arial" w:hAnsi="Arial" w:cs="Arial"/>
                <w:color w:val="000000"/>
                <w:szCs w:val="21"/>
              </w:rPr>
              <w:t xml:space="preserve">0</w:t>
            </w:r>
            <w:r>
              <w:rPr>
                <w:rFonts w:ascii="Arial" w:hAnsi="Arial" w:cs="Arial"/>
                <w:color w:val="000000"/>
                <w:szCs w:val="21"/>
              </w:rPr>
            </w:r>
            <w:r>
              <w:rPr>
                <w:rFonts w:ascii="Arial" w:hAnsi="Arial" w:cs="Arial"/>
                <w:color w:val="000000"/>
                <w:szCs w:val="21"/>
              </w:rPr>
            </w:r>
          </w:p>
        </w:tc>
        <w:tc>
          <w:tcPr>
            <w:tcBorders/>
            <w:tcW w:w="1584" w:type="dxa"/>
            <w:vAlign w:val="center"/>
            <w:textDirection w:val="lrTb"/>
            <w:noWrap w:val="false"/>
          </w:tcPr>
          <w:p>
            <w:pPr>
              <w:pStyle w:val="856"/>
              <w:widowControl w:val="true"/>
              <w:pBdr/>
              <w:spacing w:line="500" w:lineRule="exact"/>
              <w:ind/>
              <w:jc w:val="center"/>
              <w:rPr>
                <w:rFonts w:ascii="Arial" w:hAnsi="Arial" w:cs="Arial"/>
                <w:color w:val="000000"/>
                <w:szCs w:val="21"/>
              </w:rPr>
            </w:pPr>
            <w:r>
              <w:rPr>
                <w:rFonts w:ascii="Arial" w:hAnsi="Arial" w:cs="Arial"/>
                <w:color w:val="000000"/>
                <w:szCs w:val="21"/>
              </w:rPr>
              <w:t xml:space="preserve">394</w:t>
            </w:r>
            <w:r>
              <w:rPr>
                <w:rFonts w:ascii="Arial" w:hAnsi="Arial" w:cs="Arial"/>
                <w:color w:val="000000"/>
                <w:szCs w:val="21"/>
              </w:rPr>
            </w:r>
            <w:r>
              <w:rPr>
                <w:rFonts w:ascii="Arial" w:hAnsi="Arial" w:cs="Arial"/>
                <w:color w:val="000000"/>
                <w:szCs w:val="21"/>
              </w:rPr>
            </w:r>
          </w:p>
        </w:tc>
        <w:tc>
          <w:tcPr>
            <w:tcBorders/>
            <w:tcW w:w="1680" w:type="dxa"/>
            <w:vAlign w:val="center"/>
            <w:textDirection w:val="lrTb"/>
            <w:noWrap w:val="false"/>
          </w:tcPr>
          <w:p>
            <w:pPr>
              <w:pStyle w:val="856"/>
              <w:pBdr/>
              <w:spacing w:line="500" w:lineRule="exact"/>
              <w:ind/>
              <w:jc w:val="center"/>
              <w:rPr>
                <w:rFonts w:ascii="Arial" w:hAnsi="Arial" w:cs="Arial"/>
                <w:color w:val="000000"/>
                <w:szCs w:val="21"/>
              </w:rPr>
            </w:pPr>
            <w:r>
              <w:rPr>
                <w:rFonts w:ascii="Arial" w:hAnsi="Arial" w:cs="Arial"/>
                <w:color w:val="000000"/>
                <w:szCs w:val="21"/>
              </w:rPr>
              <w:t xml:space="preserve">394</w:t>
            </w:r>
            <w:r>
              <w:rPr>
                <w:rFonts w:ascii="Arial" w:hAnsi="Arial" w:cs="Arial"/>
                <w:color w:val="000000"/>
                <w:szCs w:val="21"/>
              </w:rPr>
            </w:r>
            <w:r>
              <w:rPr>
                <w:rFonts w:ascii="Arial" w:hAnsi="Arial" w:cs="Arial"/>
                <w:color w:val="000000"/>
                <w:szCs w:val="21"/>
              </w:rPr>
            </w:r>
          </w:p>
        </w:tc>
        <w:tc>
          <w:tcPr>
            <w:tcBorders/>
            <w:tcW w:w="1784" w:type="dxa"/>
            <w:vAlign w:val="center"/>
            <w:textDirection w:val="lrTb"/>
            <w:noWrap w:val="false"/>
          </w:tcPr>
          <w:p>
            <w:pPr>
              <w:pStyle w:val="856"/>
              <w:pBdr/>
              <w:spacing w:line="500" w:lineRule="exact"/>
              <w:ind/>
              <w:jc w:val="center"/>
              <w:rPr>
                <w:rFonts w:ascii="Arial" w:hAnsi="Arial" w:cs="Arial"/>
                <w:color w:val="000000"/>
                <w:szCs w:val="21"/>
              </w:rPr>
            </w:pPr>
            <w:r>
              <w:rPr>
                <w:rFonts w:ascii="Arial" w:hAnsi="Arial" w:cs="Arial"/>
                <w:color w:val="000000"/>
                <w:szCs w:val="21"/>
              </w:rPr>
              <w:t xml:space="preserve">　</w:t>
            </w:r>
            <w:r>
              <w:rPr>
                <w:rFonts w:ascii="Arial" w:hAnsi="Arial" w:cs="Arial"/>
                <w:color w:val="000000"/>
                <w:szCs w:val="21"/>
              </w:rPr>
            </w:r>
            <w:r>
              <w:rPr>
                <w:rFonts w:ascii="Arial" w:hAnsi="Arial" w:cs="Arial"/>
                <w:color w:val="000000"/>
                <w:szCs w:val="21"/>
              </w:rPr>
            </w:r>
          </w:p>
        </w:tc>
      </w:tr>
      <w:tr>
        <w:trPr>
          <w:trHeight w:val="495"/>
        </w:trPr>
        <w:tc>
          <w:tcPr>
            <w:tcBorders/>
            <w:tcW w:w="2127" w:type="dxa"/>
            <w:vAlign w:val="center"/>
            <w:textDirection w:val="lrTb"/>
            <w:noWrap w:val="false"/>
          </w:tcPr>
          <w:p>
            <w:pPr>
              <w:pStyle w:val="856"/>
              <w:widowControl w:val="true"/>
              <w:pBdr/>
              <w:spacing w:line="500" w:lineRule="exact"/>
              <w:ind/>
              <w:jc w:val="center"/>
              <w:rPr>
                <w:rFonts w:ascii="Arial" w:hAnsi="Arial" w:cs="Arial"/>
                <w:color w:val="0c0c0c"/>
                <w:szCs w:val="21"/>
              </w:rPr>
            </w:pPr>
            <w:r>
              <w:rPr>
                <w:rFonts w:ascii="Arial" w:hAnsi="Arial" w:cs="Arial"/>
                <w:color w:val="0c0c0c"/>
                <w:szCs w:val="21"/>
              </w:rPr>
              <w:t xml:space="preserve">基本建设支出</w:t>
            </w:r>
            <w:r>
              <w:rPr>
                <w:rFonts w:ascii="Arial" w:hAnsi="Arial" w:cs="Arial"/>
                <w:color w:val="0c0c0c"/>
                <w:szCs w:val="21"/>
              </w:rPr>
            </w:r>
            <w:r>
              <w:rPr>
                <w:rFonts w:ascii="Arial" w:hAnsi="Arial" w:cs="Arial"/>
                <w:color w:val="0c0c0c"/>
                <w:szCs w:val="21"/>
              </w:rPr>
            </w:r>
          </w:p>
        </w:tc>
        <w:tc>
          <w:tcPr>
            <w:tcBorders/>
            <w:tcW w:w="1366" w:type="dxa"/>
            <w:vAlign w:val="center"/>
            <w:textDirection w:val="lrTb"/>
            <w:noWrap w:val="false"/>
          </w:tcPr>
          <w:p>
            <w:pPr>
              <w:pStyle w:val="856"/>
              <w:widowControl w:val="true"/>
              <w:pBdr/>
              <w:spacing w:line="500" w:lineRule="exact"/>
              <w:ind/>
              <w:jc w:val="center"/>
              <w:rPr>
                <w:rFonts w:ascii="Arial" w:hAnsi="Arial" w:cs="Arial"/>
                <w:color w:val="000000"/>
                <w:szCs w:val="21"/>
              </w:rPr>
            </w:pPr>
            <w:r>
              <w:rPr>
                <w:rFonts w:ascii="Arial" w:hAnsi="Arial" w:cs="Arial"/>
                <w:color w:val="000000"/>
                <w:szCs w:val="21"/>
              </w:rPr>
              <w:t xml:space="preserve">0</w:t>
            </w:r>
            <w:r>
              <w:rPr>
                <w:rFonts w:ascii="Arial" w:hAnsi="Arial" w:cs="Arial"/>
                <w:color w:val="000000"/>
                <w:szCs w:val="21"/>
              </w:rPr>
            </w:r>
            <w:r>
              <w:rPr>
                <w:rFonts w:ascii="Arial" w:hAnsi="Arial" w:cs="Arial"/>
                <w:color w:val="000000"/>
                <w:szCs w:val="21"/>
              </w:rPr>
            </w:r>
          </w:p>
        </w:tc>
        <w:tc>
          <w:tcPr>
            <w:tcBorders/>
            <w:tcW w:w="1584" w:type="dxa"/>
            <w:vAlign w:val="center"/>
            <w:textDirection w:val="lrTb"/>
            <w:noWrap w:val="false"/>
          </w:tcPr>
          <w:p>
            <w:pPr>
              <w:pStyle w:val="856"/>
              <w:widowControl w:val="true"/>
              <w:pBdr/>
              <w:spacing w:line="500" w:lineRule="exact"/>
              <w:ind/>
              <w:jc w:val="center"/>
              <w:rPr>
                <w:rFonts w:ascii="Arial" w:hAnsi="Arial" w:cs="Arial"/>
                <w:color w:val="000000"/>
                <w:szCs w:val="21"/>
              </w:rPr>
            </w:pPr>
            <w:r>
              <w:rPr>
                <w:rFonts w:ascii="Arial" w:hAnsi="Arial" w:cs="Arial"/>
                <w:color w:val="000000"/>
                <w:szCs w:val="21"/>
              </w:rPr>
              <w:t xml:space="preserve">4,000</w:t>
            </w:r>
            <w:r>
              <w:rPr>
                <w:rFonts w:ascii="Arial" w:hAnsi="Arial" w:cs="Arial"/>
                <w:color w:val="000000"/>
                <w:szCs w:val="21"/>
              </w:rPr>
            </w:r>
            <w:r>
              <w:rPr>
                <w:rFonts w:ascii="Arial" w:hAnsi="Arial" w:cs="Arial"/>
                <w:color w:val="000000"/>
                <w:szCs w:val="21"/>
              </w:rPr>
            </w:r>
          </w:p>
        </w:tc>
        <w:tc>
          <w:tcPr>
            <w:tcBorders/>
            <w:tcW w:w="1680" w:type="dxa"/>
            <w:vAlign w:val="center"/>
            <w:textDirection w:val="lrTb"/>
            <w:noWrap w:val="false"/>
          </w:tcPr>
          <w:p>
            <w:pPr>
              <w:pStyle w:val="856"/>
              <w:pBdr/>
              <w:spacing w:line="500" w:lineRule="exact"/>
              <w:ind/>
              <w:jc w:val="center"/>
              <w:rPr>
                <w:rFonts w:ascii="Arial" w:hAnsi="Arial" w:cs="Arial"/>
                <w:color w:val="000000"/>
                <w:szCs w:val="21"/>
              </w:rPr>
            </w:pPr>
            <w:r>
              <w:rPr>
                <w:rFonts w:ascii="Arial" w:hAnsi="Arial" w:cs="Arial"/>
                <w:color w:val="000000"/>
                <w:szCs w:val="21"/>
              </w:rPr>
              <w:t xml:space="preserve">4,000</w:t>
            </w:r>
            <w:r>
              <w:rPr>
                <w:rFonts w:ascii="Arial" w:hAnsi="Arial" w:cs="Arial"/>
                <w:color w:val="000000"/>
                <w:szCs w:val="21"/>
              </w:rPr>
            </w:r>
            <w:r>
              <w:rPr>
                <w:rFonts w:ascii="Arial" w:hAnsi="Arial" w:cs="Arial"/>
                <w:color w:val="000000"/>
                <w:szCs w:val="21"/>
              </w:rPr>
            </w:r>
          </w:p>
        </w:tc>
        <w:tc>
          <w:tcPr>
            <w:tcBorders/>
            <w:tcW w:w="1784" w:type="dxa"/>
            <w:vAlign w:val="center"/>
            <w:textDirection w:val="lrTb"/>
            <w:noWrap w:val="false"/>
          </w:tcPr>
          <w:p>
            <w:pPr>
              <w:pStyle w:val="856"/>
              <w:pBdr/>
              <w:spacing w:line="500" w:lineRule="exact"/>
              <w:ind/>
              <w:jc w:val="center"/>
              <w:rPr>
                <w:rFonts w:ascii="Arial" w:hAnsi="Arial" w:cs="Arial"/>
                <w:color w:val="000000"/>
                <w:szCs w:val="21"/>
              </w:rPr>
            </w:pPr>
            <w:r>
              <w:rPr>
                <w:rFonts w:ascii="Arial" w:hAnsi="Arial" w:cs="Arial"/>
                <w:color w:val="000000"/>
                <w:szCs w:val="21"/>
              </w:rPr>
              <w:t xml:space="preserve">　</w:t>
            </w:r>
            <w:r>
              <w:rPr>
                <w:rFonts w:ascii="Arial" w:hAnsi="Arial" w:cs="Arial"/>
                <w:color w:val="000000"/>
                <w:szCs w:val="21"/>
              </w:rPr>
            </w:r>
            <w:r>
              <w:rPr>
                <w:rFonts w:ascii="Arial" w:hAnsi="Arial" w:cs="Arial"/>
                <w:color w:val="000000"/>
                <w:szCs w:val="21"/>
              </w:rPr>
            </w:r>
          </w:p>
        </w:tc>
      </w:tr>
      <w:tr>
        <w:trPr>
          <w:trHeight w:val="156"/>
        </w:trPr>
        <w:tc>
          <w:tcPr>
            <w:tcBorders/>
            <w:tcW w:w="2127" w:type="dxa"/>
            <w:vAlign w:val="center"/>
            <w:textDirection w:val="lrTb"/>
            <w:noWrap w:val="false"/>
          </w:tcPr>
          <w:p>
            <w:pPr>
              <w:pStyle w:val="856"/>
              <w:widowControl w:val="true"/>
              <w:pBdr/>
              <w:spacing w:line="500" w:lineRule="exact"/>
              <w:ind/>
              <w:jc w:val="center"/>
              <w:rPr>
                <w:rFonts w:ascii="Arial" w:hAnsi="Arial" w:cs="Arial"/>
                <w:color w:val="0c0c0c"/>
                <w:szCs w:val="21"/>
              </w:rPr>
            </w:pPr>
            <w:r>
              <w:rPr>
                <w:rFonts w:ascii="Arial" w:hAnsi="Arial" w:cs="Arial"/>
                <w:color w:val="0c0c0c"/>
                <w:szCs w:val="21"/>
              </w:rPr>
              <w:t xml:space="preserve">项目支出</w:t>
            </w:r>
            <w:r>
              <w:rPr>
                <w:rFonts w:ascii="Arial" w:hAnsi="Arial" w:cs="Arial"/>
                <w:color w:val="0c0c0c"/>
                <w:szCs w:val="21"/>
              </w:rPr>
            </w:r>
            <w:r>
              <w:rPr>
                <w:rFonts w:ascii="Arial" w:hAnsi="Arial" w:cs="Arial"/>
                <w:color w:val="0c0c0c"/>
                <w:szCs w:val="21"/>
              </w:rPr>
            </w:r>
          </w:p>
        </w:tc>
        <w:tc>
          <w:tcPr>
            <w:tcBorders/>
            <w:tcW w:w="1366" w:type="dxa"/>
            <w:vAlign w:val="center"/>
            <w:textDirection w:val="lrTb"/>
            <w:noWrap w:val="false"/>
          </w:tcPr>
          <w:p>
            <w:pPr>
              <w:pStyle w:val="856"/>
              <w:widowControl w:val="true"/>
              <w:pBdr/>
              <w:spacing w:line="500" w:lineRule="exact"/>
              <w:ind/>
              <w:jc w:val="center"/>
              <w:rPr>
                <w:rFonts w:ascii="Arial" w:hAnsi="Arial" w:cs="Arial"/>
                <w:color w:val="000000"/>
                <w:szCs w:val="21"/>
              </w:rPr>
            </w:pPr>
            <w:r>
              <w:rPr>
                <w:rFonts w:ascii="Arial" w:hAnsi="Arial" w:cs="Arial"/>
                <w:color w:val="000000"/>
                <w:szCs w:val="21"/>
              </w:rPr>
              <w:t xml:space="preserve">18,606,200</w:t>
            </w:r>
            <w:r>
              <w:rPr>
                <w:rFonts w:ascii="Arial" w:hAnsi="Arial" w:cs="Arial"/>
                <w:color w:val="000000"/>
                <w:szCs w:val="21"/>
              </w:rPr>
            </w:r>
            <w:r>
              <w:rPr>
                <w:rFonts w:ascii="Arial" w:hAnsi="Arial" w:cs="Arial"/>
                <w:color w:val="000000"/>
                <w:szCs w:val="21"/>
              </w:rPr>
            </w:r>
          </w:p>
        </w:tc>
        <w:tc>
          <w:tcPr>
            <w:tcBorders/>
            <w:tcW w:w="1584" w:type="dxa"/>
            <w:vAlign w:val="center"/>
            <w:textDirection w:val="lrTb"/>
            <w:noWrap w:val="false"/>
          </w:tcPr>
          <w:p>
            <w:pPr>
              <w:pStyle w:val="856"/>
              <w:widowControl w:val="true"/>
              <w:pBdr/>
              <w:spacing w:line="500" w:lineRule="exact"/>
              <w:ind/>
              <w:jc w:val="center"/>
              <w:rPr>
                <w:rFonts w:ascii="Arial" w:hAnsi="Arial" w:cs="Arial"/>
                <w:color w:val="000000"/>
                <w:szCs w:val="21"/>
              </w:rPr>
            </w:pPr>
            <w:r>
              <w:rPr>
                <w:rFonts w:ascii="Arial" w:hAnsi="Arial" w:cs="Arial"/>
                <w:color w:val="000000"/>
                <w:szCs w:val="21"/>
              </w:rPr>
              <w:t xml:space="preserve">4,356,110.26</w:t>
            </w:r>
            <w:r>
              <w:rPr>
                <w:rFonts w:ascii="Arial" w:hAnsi="Arial" w:cs="Arial"/>
                <w:color w:val="000000"/>
                <w:szCs w:val="21"/>
              </w:rPr>
            </w:r>
            <w:r>
              <w:rPr>
                <w:rFonts w:ascii="Arial" w:hAnsi="Arial" w:cs="Arial"/>
                <w:color w:val="000000"/>
                <w:szCs w:val="21"/>
              </w:rPr>
            </w:r>
          </w:p>
        </w:tc>
        <w:tc>
          <w:tcPr>
            <w:tcBorders/>
            <w:tcW w:w="1680" w:type="dxa"/>
            <w:vAlign w:val="center"/>
            <w:textDirection w:val="lrTb"/>
            <w:noWrap w:val="false"/>
          </w:tcPr>
          <w:p>
            <w:pPr>
              <w:pStyle w:val="856"/>
              <w:pBdr/>
              <w:spacing w:line="500" w:lineRule="exact"/>
              <w:ind/>
              <w:jc w:val="center"/>
              <w:rPr>
                <w:rFonts w:ascii="Arial" w:hAnsi="Arial" w:cs="Arial"/>
                <w:color w:val="000000"/>
                <w:szCs w:val="21"/>
              </w:rPr>
            </w:pPr>
            <w:r>
              <w:rPr>
                <w:rFonts w:ascii="Arial" w:hAnsi="Arial" w:cs="Arial"/>
                <w:color w:val="000000"/>
                <w:szCs w:val="21"/>
              </w:rPr>
              <w:t xml:space="preserve">-1,4250,089.70</w:t>
            </w:r>
            <w:r>
              <w:rPr>
                <w:rFonts w:ascii="Arial" w:hAnsi="Arial" w:cs="Arial"/>
                <w:color w:val="000000"/>
                <w:szCs w:val="21"/>
              </w:rPr>
            </w:r>
            <w:r>
              <w:rPr>
                <w:rFonts w:ascii="Arial" w:hAnsi="Arial" w:cs="Arial"/>
                <w:color w:val="000000"/>
                <w:szCs w:val="21"/>
              </w:rPr>
            </w:r>
          </w:p>
        </w:tc>
        <w:tc>
          <w:tcPr>
            <w:tcBorders/>
            <w:tcW w:w="1784" w:type="dxa"/>
            <w:vAlign w:val="center"/>
            <w:textDirection w:val="lrTb"/>
            <w:noWrap w:val="false"/>
          </w:tcPr>
          <w:p>
            <w:pPr>
              <w:pStyle w:val="856"/>
              <w:pBdr/>
              <w:spacing w:line="500" w:lineRule="exact"/>
              <w:ind/>
              <w:jc w:val="center"/>
              <w:rPr>
                <w:rFonts w:ascii="Arial" w:hAnsi="Arial" w:cs="Arial"/>
                <w:color w:val="0c0c0c"/>
                <w:szCs w:val="21"/>
              </w:rPr>
            </w:pPr>
            <w:r>
              <w:rPr>
                <w:rFonts w:ascii="Arial" w:hAnsi="Arial" w:cs="Arial"/>
                <w:color w:val="0c0c0c"/>
                <w:szCs w:val="21"/>
              </w:rPr>
              <w:t xml:space="preserve">23.41%</w:t>
            </w:r>
            <w:r>
              <w:rPr>
                <w:rFonts w:ascii="Arial" w:hAnsi="Arial" w:cs="Arial"/>
                <w:color w:val="0c0c0c"/>
                <w:szCs w:val="21"/>
              </w:rPr>
            </w:r>
            <w:r>
              <w:rPr>
                <w:rFonts w:ascii="Arial" w:hAnsi="Arial" w:cs="Arial"/>
                <w:color w:val="0c0c0c"/>
                <w:szCs w:val="21"/>
              </w:rPr>
            </w:r>
          </w:p>
        </w:tc>
      </w:tr>
      <w:tr>
        <w:trPr>
          <w:trHeight w:val="450"/>
        </w:trPr>
        <w:tc>
          <w:tcPr>
            <w:tcBorders/>
            <w:tcW w:w="2127" w:type="dxa"/>
            <w:vAlign w:val="center"/>
            <w:textDirection w:val="lrTb"/>
            <w:noWrap w:val="false"/>
          </w:tcPr>
          <w:p>
            <w:pPr>
              <w:pStyle w:val="856"/>
              <w:widowControl w:val="true"/>
              <w:pBdr/>
              <w:spacing w:line="500" w:lineRule="exact"/>
              <w:ind/>
              <w:jc w:val="center"/>
              <w:rPr>
                <w:rFonts w:ascii="Arial" w:hAnsi="Arial" w:cs="Arial"/>
                <w:color w:val="0c0c0c"/>
                <w:szCs w:val="21"/>
              </w:rPr>
            </w:pPr>
            <w:r>
              <w:rPr>
                <w:rFonts w:ascii="Arial" w:hAnsi="Arial" w:cs="Arial"/>
                <w:color w:val="0c0c0c"/>
                <w:szCs w:val="21"/>
              </w:rPr>
              <w:t xml:space="preserve">非项目支出</w:t>
            </w:r>
            <w:r>
              <w:rPr>
                <w:rFonts w:ascii="Arial" w:hAnsi="Arial" w:cs="Arial"/>
                <w:color w:val="0c0c0c"/>
                <w:szCs w:val="21"/>
              </w:rPr>
            </w:r>
            <w:r>
              <w:rPr>
                <w:rFonts w:ascii="Arial" w:hAnsi="Arial" w:cs="Arial"/>
                <w:color w:val="0c0c0c"/>
                <w:szCs w:val="21"/>
              </w:rPr>
            </w:r>
          </w:p>
        </w:tc>
        <w:tc>
          <w:tcPr>
            <w:tcBorders/>
            <w:tcW w:w="1366" w:type="dxa"/>
            <w:vAlign w:val="center"/>
            <w:textDirection w:val="lrTb"/>
            <w:noWrap w:val="false"/>
          </w:tcPr>
          <w:p>
            <w:pPr>
              <w:pStyle w:val="856"/>
              <w:widowControl w:val="true"/>
              <w:pBdr/>
              <w:spacing w:line="500" w:lineRule="exact"/>
              <w:ind/>
              <w:jc w:val="center"/>
              <w:rPr>
                <w:rFonts w:ascii="Arial" w:hAnsi="Arial" w:cs="Arial"/>
                <w:color w:val="000000"/>
                <w:szCs w:val="21"/>
              </w:rPr>
            </w:pPr>
            <w:r>
              <w:rPr>
                <w:rFonts w:ascii="Arial" w:hAnsi="Arial" w:cs="Arial"/>
                <w:color w:val="000000"/>
                <w:szCs w:val="21"/>
              </w:rPr>
              <w:t xml:space="preserve">　</w:t>
            </w:r>
            <w:r>
              <w:rPr>
                <w:rFonts w:ascii="Arial" w:hAnsi="Arial" w:cs="Arial"/>
                <w:color w:val="000000"/>
                <w:szCs w:val="21"/>
              </w:rPr>
            </w:r>
            <w:r>
              <w:rPr>
                <w:rFonts w:ascii="Arial" w:hAnsi="Arial" w:cs="Arial"/>
                <w:color w:val="000000"/>
                <w:szCs w:val="21"/>
              </w:rPr>
            </w:r>
          </w:p>
        </w:tc>
        <w:tc>
          <w:tcPr>
            <w:tcBorders/>
            <w:tcW w:w="1584" w:type="dxa"/>
            <w:vAlign w:val="center"/>
            <w:textDirection w:val="lrTb"/>
            <w:noWrap w:val="false"/>
          </w:tcPr>
          <w:p>
            <w:pPr>
              <w:pStyle w:val="856"/>
              <w:widowControl w:val="true"/>
              <w:pBdr/>
              <w:spacing w:line="500" w:lineRule="exact"/>
              <w:ind/>
              <w:jc w:val="center"/>
              <w:rPr>
                <w:rFonts w:ascii="Arial" w:hAnsi="Arial" w:cs="Arial"/>
                <w:color w:val="000000"/>
                <w:szCs w:val="21"/>
              </w:rPr>
            </w:pPr>
            <w:r>
              <w:rPr>
                <w:rFonts w:ascii="Arial" w:hAnsi="Arial" w:cs="Arial"/>
                <w:color w:val="000000"/>
                <w:szCs w:val="21"/>
              </w:rPr>
              <w:t xml:space="preserve">949,425.35</w:t>
            </w:r>
            <w:r>
              <w:rPr>
                <w:rFonts w:ascii="Arial" w:hAnsi="Arial" w:cs="Arial"/>
                <w:color w:val="000000"/>
                <w:szCs w:val="21"/>
              </w:rPr>
            </w:r>
            <w:r>
              <w:rPr>
                <w:rFonts w:ascii="Arial" w:hAnsi="Arial" w:cs="Arial"/>
                <w:color w:val="000000"/>
                <w:szCs w:val="21"/>
              </w:rPr>
            </w:r>
          </w:p>
        </w:tc>
        <w:tc>
          <w:tcPr>
            <w:tcBorders/>
            <w:tcW w:w="1680" w:type="dxa"/>
            <w:vAlign w:val="center"/>
            <w:textDirection w:val="lrTb"/>
            <w:noWrap w:val="false"/>
          </w:tcPr>
          <w:p>
            <w:pPr>
              <w:pStyle w:val="856"/>
              <w:pBdr/>
              <w:spacing w:line="500" w:lineRule="exact"/>
              <w:ind/>
              <w:jc w:val="center"/>
              <w:rPr>
                <w:rFonts w:ascii="Arial" w:hAnsi="Arial" w:cs="Arial"/>
                <w:color w:val="000000"/>
                <w:szCs w:val="21"/>
              </w:rPr>
            </w:pPr>
            <w:r>
              <w:rPr>
                <w:rFonts w:ascii="Arial" w:hAnsi="Arial" w:cs="Arial"/>
                <w:color w:val="000000"/>
                <w:szCs w:val="21"/>
              </w:rPr>
              <w:t xml:space="preserve">949,425.35</w:t>
            </w:r>
            <w:r>
              <w:rPr>
                <w:rFonts w:ascii="Arial" w:hAnsi="Arial" w:cs="Arial"/>
                <w:color w:val="000000"/>
                <w:szCs w:val="21"/>
              </w:rPr>
            </w:r>
            <w:r>
              <w:rPr>
                <w:rFonts w:ascii="Arial" w:hAnsi="Arial" w:cs="Arial"/>
                <w:color w:val="000000"/>
                <w:szCs w:val="21"/>
              </w:rPr>
            </w:r>
          </w:p>
        </w:tc>
        <w:tc>
          <w:tcPr>
            <w:tcBorders/>
            <w:tcW w:w="1784" w:type="dxa"/>
            <w:vAlign w:val="center"/>
            <w:textDirection w:val="lrTb"/>
            <w:noWrap w:val="false"/>
          </w:tcPr>
          <w:p>
            <w:pPr>
              <w:pStyle w:val="856"/>
              <w:pBdr/>
              <w:spacing w:line="500" w:lineRule="exact"/>
              <w:ind/>
              <w:jc w:val="center"/>
              <w:rPr>
                <w:rFonts w:ascii="Arial" w:hAnsi="Arial" w:cs="Arial"/>
                <w:color w:val="0c0c0c"/>
                <w:szCs w:val="21"/>
              </w:rPr>
            </w:pPr>
            <w:r>
              <w:rPr>
                <w:rFonts w:ascii="Arial" w:hAnsi="Arial" w:cs="Arial"/>
                <w:color w:val="0c0c0c"/>
                <w:szCs w:val="21"/>
              </w:rPr>
              <w:t xml:space="preserve">　</w:t>
            </w:r>
            <w:r>
              <w:rPr>
                <w:rFonts w:ascii="Arial" w:hAnsi="Arial" w:cs="Arial"/>
                <w:color w:val="0c0c0c"/>
                <w:szCs w:val="21"/>
              </w:rPr>
            </w:r>
            <w:r>
              <w:rPr>
                <w:rFonts w:ascii="Arial" w:hAnsi="Arial" w:cs="Arial"/>
                <w:color w:val="0c0c0c"/>
                <w:szCs w:val="21"/>
              </w:rPr>
            </w:r>
          </w:p>
        </w:tc>
      </w:tr>
      <w:tr>
        <w:trPr>
          <w:trHeight w:val="405"/>
        </w:trPr>
        <w:tc>
          <w:tcPr>
            <w:tcBorders/>
            <w:tcW w:w="2127" w:type="dxa"/>
            <w:vAlign w:val="center"/>
            <w:textDirection w:val="lrTb"/>
            <w:noWrap w:val="false"/>
          </w:tcPr>
          <w:p>
            <w:pPr>
              <w:pStyle w:val="856"/>
              <w:widowControl w:val="true"/>
              <w:pBdr/>
              <w:spacing w:line="500" w:lineRule="exact"/>
              <w:ind/>
              <w:jc w:val="center"/>
              <w:rPr>
                <w:rFonts w:ascii="Arial" w:hAnsi="Arial" w:cs="Arial"/>
                <w:color w:val="0c0c0c"/>
                <w:szCs w:val="21"/>
              </w:rPr>
            </w:pPr>
            <w:r>
              <w:rPr>
                <w:rFonts w:ascii="Arial" w:hAnsi="Arial" w:cs="Arial"/>
                <w:color w:val="0c0c0c"/>
                <w:szCs w:val="21"/>
              </w:rPr>
              <w:t xml:space="preserve">合  计</w:t>
            </w:r>
            <w:r>
              <w:rPr>
                <w:rFonts w:ascii="Arial" w:hAnsi="Arial" w:cs="Arial"/>
                <w:color w:val="0c0c0c"/>
                <w:szCs w:val="21"/>
              </w:rPr>
            </w:r>
            <w:r>
              <w:rPr>
                <w:rFonts w:ascii="Arial" w:hAnsi="Arial" w:cs="Arial"/>
                <w:color w:val="0c0c0c"/>
                <w:szCs w:val="21"/>
              </w:rPr>
            </w:r>
          </w:p>
        </w:tc>
        <w:tc>
          <w:tcPr>
            <w:tcBorders/>
            <w:tcW w:w="1366" w:type="dxa"/>
            <w:vAlign w:val="center"/>
            <w:textDirection w:val="lrTb"/>
            <w:noWrap w:val="false"/>
          </w:tcPr>
          <w:p>
            <w:pPr>
              <w:pStyle w:val="856"/>
              <w:widowControl w:val="true"/>
              <w:pBdr/>
              <w:spacing w:line="500" w:lineRule="exact"/>
              <w:ind/>
              <w:jc w:val="center"/>
              <w:rPr>
                <w:rFonts w:ascii="Arial" w:hAnsi="Arial" w:cs="Arial"/>
                <w:color w:val="000000"/>
                <w:szCs w:val="21"/>
              </w:rPr>
            </w:pPr>
            <w:r>
              <w:rPr>
                <w:rFonts w:ascii="Arial" w:hAnsi="Arial" w:cs="Arial"/>
                <w:color w:val="000000"/>
                <w:szCs w:val="21"/>
              </w:rPr>
              <w:t xml:space="preserve">23,444,800</w:t>
            </w:r>
            <w:r>
              <w:rPr>
                <w:rFonts w:ascii="Arial" w:hAnsi="Arial" w:cs="Arial"/>
                <w:color w:val="000000"/>
                <w:szCs w:val="21"/>
              </w:rPr>
            </w:r>
            <w:r>
              <w:rPr>
                <w:rFonts w:ascii="Arial" w:hAnsi="Arial" w:cs="Arial"/>
                <w:color w:val="000000"/>
                <w:szCs w:val="21"/>
              </w:rPr>
            </w:r>
          </w:p>
        </w:tc>
        <w:tc>
          <w:tcPr>
            <w:tcBorders/>
            <w:tcW w:w="1584" w:type="dxa"/>
            <w:vAlign w:val="center"/>
            <w:textDirection w:val="lrTb"/>
            <w:noWrap w:val="false"/>
          </w:tcPr>
          <w:p>
            <w:pPr>
              <w:pStyle w:val="856"/>
              <w:widowControl w:val="true"/>
              <w:pBdr/>
              <w:spacing w:line="500" w:lineRule="exact"/>
              <w:ind/>
              <w:jc w:val="center"/>
              <w:rPr>
                <w:rFonts w:ascii="Arial" w:hAnsi="Arial" w:cs="Arial"/>
                <w:color w:val="000000"/>
                <w:szCs w:val="21"/>
              </w:rPr>
            </w:pPr>
            <w:r>
              <w:rPr>
                <w:rFonts w:ascii="Arial" w:hAnsi="Arial" w:cs="Arial"/>
                <w:color w:val="000000"/>
                <w:szCs w:val="21"/>
              </w:rPr>
              <w:t xml:space="preserve">10,022,241.21</w:t>
            </w:r>
            <w:r>
              <w:rPr>
                <w:rFonts w:ascii="Arial" w:hAnsi="Arial" w:cs="Arial"/>
                <w:color w:val="000000"/>
                <w:szCs w:val="21"/>
              </w:rPr>
            </w:r>
            <w:r>
              <w:rPr>
                <w:rFonts w:ascii="Arial" w:hAnsi="Arial" w:cs="Arial"/>
                <w:color w:val="000000"/>
                <w:szCs w:val="21"/>
              </w:rPr>
            </w:r>
          </w:p>
        </w:tc>
        <w:tc>
          <w:tcPr>
            <w:tcBorders/>
            <w:tcW w:w="1680" w:type="dxa"/>
            <w:vAlign w:val="center"/>
            <w:textDirection w:val="lrTb"/>
            <w:noWrap w:val="false"/>
          </w:tcPr>
          <w:p>
            <w:pPr>
              <w:pStyle w:val="856"/>
              <w:pBdr/>
              <w:spacing w:line="500" w:lineRule="exact"/>
              <w:ind/>
              <w:jc w:val="center"/>
              <w:rPr>
                <w:rFonts w:ascii="Arial" w:hAnsi="Arial" w:cs="Arial"/>
                <w:color w:val="000000"/>
                <w:szCs w:val="21"/>
              </w:rPr>
            </w:pPr>
            <w:r>
              <w:rPr>
                <w:rFonts w:ascii="Arial" w:hAnsi="Arial" w:cs="Arial"/>
                <w:color w:val="000000"/>
                <w:szCs w:val="21"/>
              </w:rPr>
              <w:t xml:space="preserve">-1,3422,558.75</w:t>
            </w:r>
            <w:r>
              <w:rPr>
                <w:rFonts w:ascii="Arial" w:hAnsi="Arial" w:cs="Arial"/>
                <w:color w:val="000000"/>
                <w:szCs w:val="21"/>
              </w:rPr>
            </w:r>
            <w:r>
              <w:rPr>
                <w:rFonts w:ascii="Arial" w:hAnsi="Arial" w:cs="Arial"/>
                <w:color w:val="000000"/>
                <w:szCs w:val="21"/>
              </w:rPr>
            </w:r>
          </w:p>
        </w:tc>
        <w:tc>
          <w:tcPr>
            <w:tcBorders/>
            <w:tcW w:w="1784" w:type="dxa"/>
            <w:vAlign w:val="center"/>
            <w:textDirection w:val="lrTb"/>
            <w:noWrap w:val="false"/>
          </w:tcPr>
          <w:p>
            <w:pPr>
              <w:pStyle w:val="856"/>
              <w:pBdr/>
              <w:spacing w:line="500" w:lineRule="exact"/>
              <w:ind/>
              <w:jc w:val="center"/>
              <w:rPr>
                <w:rFonts w:ascii="Arial" w:hAnsi="Arial" w:cs="Arial"/>
                <w:color w:val="0c0c0c"/>
                <w:szCs w:val="21"/>
              </w:rPr>
            </w:pPr>
            <w:r>
              <w:rPr>
                <w:rFonts w:ascii="Arial" w:hAnsi="Arial" w:cs="Arial"/>
                <w:color w:val="0c0c0c"/>
                <w:szCs w:val="21"/>
              </w:rPr>
              <w:t xml:space="preserve">42.75%</w:t>
            </w:r>
            <w:r>
              <w:rPr>
                <w:rFonts w:ascii="Arial" w:hAnsi="Arial" w:cs="Arial"/>
                <w:color w:val="0c0c0c"/>
                <w:szCs w:val="21"/>
              </w:rPr>
            </w:r>
            <w:r>
              <w:rPr>
                <w:rFonts w:ascii="Arial" w:hAnsi="Arial" w:cs="Arial"/>
                <w:color w:val="0c0c0c"/>
                <w:szCs w:val="21"/>
              </w:rPr>
            </w:r>
          </w:p>
        </w:tc>
      </w:tr>
    </w:tbl>
    <w:p>
      <w:pPr>
        <w:pStyle w:val="856"/>
        <w:widowControl w:val="true"/>
        <w:pBdr/>
        <w:shd w:val="clear" w:color="auto" w:fill="ffffff"/>
        <w:tabs>
          <w:tab w:val="left" w:leader="none" w:pos="5400"/>
        </w:tabs>
        <w:spacing w:line="500" w:lineRule="exact"/>
        <w:ind w:right="300" w:firstLine="480"/>
        <w:outlineLvl w:val="2"/>
        <w:rPr>
          <w:rFonts w:ascii="Arial" w:hAnsi="Arial" w:cs="Arial"/>
          <w:color w:val="0c0c0c"/>
          <w:sz w:val="24"/>
          <w:szCs w:val="24"/>
        </w:rPr>
      </w:pPr>
      <w:r>
        <w:rPr>
          <w:rFonts w:ascii="Arial" w:hAnsi="Arial" w:cs="Arial"/>
          <w:color w:val="0c0c0c"/>
          <w:sz w:val="24"/>
          <w:szCs w:val="24"/>
        </w:rPr>
        <w:t xml:space="preserve">从2017年水利局市直部门预算查知：2017年市水利局预算总支出23,444,800元，实际支出</w:t>
      </w:r>
      <w:r>
        <w:rPr>
          <w:rFonts w:ascii="Arial" w:hAnsi="Arial" w:cs="Arial"/>
          <w:color w:val="000000"/>
          <w:sz w:val="24"/>
          <w:szCs w:val="24"/>
          <w:shd w:val="clear" w:color="auto" w:fill="ffffff"/>
        </w:rPr>
        <w:t xml:space="preserve">10,022,241.21</w:t>
      </w:r>
      <w:r>
        <w:rPr>
          <w:rFonts w:ascii="Arial" w:hAnsi="Arial" w:cs="Arial"/>
          <w:color w:val="0c0c0c"/>
          <w:sz w:val="24"/>
          <w:szCs w:val="24"/>
        </w:rPr>
        <w:t xml:space="preserve">元。支出预算完成率为42.75%。另就单个部分支出而言，工资福利支出预算完成率超过100.00%。</w:t>
      </w:r>
      <w:r>
        <w:rPr>
          <w:rFonts w:ascii="Arial" w:hAnsi="Arial" w:cs="Arial"/>
          <w:color w:val="0c0c0c"/>
          <w:sz w:val="24"/>
          <w:szCs w:val="24"/>
        </w:rPr>
      </w:r>
      <w:r>
        <w:rPr>
          <w:rFonts w:ascii="Arial" w:hAnsi="Arial" w:cs="Arial"/>
          <w:color w:val="0c0c0c"/>
          <w:sz w:val="24"/>
          <w:szCs w:val="24"/>
        </w:rPr>
      </w:r>
    </w:p>
    <w:p>
      <w:pPr>
        <w:pStyle w:val="856"/>
        <w:widowControl w:val="true"/>
        <w:pBdr/>
        <w:shd w:val="clear" w:color="auto" w:fill="ffffff"/>
        <w:tabs>
          <w:tab w:val="left" w:leader="none" w:pos="5400"/>
        </w:tabs>
        <w:spacing w:line="500" w:lineRule="exact"/>
        <w:ind w:right="300" w:firstLine="482"/>
        <w:jc w:val="left"/>
        <w:outlineLvl w:val="2"/>
        <w:rPr>
          <w:rFonts w:ascii="Arial" w:hAnsi="Arial" w:cs="Arial"/>
          <w:b/>
          <w:color w:val="0c0c0c"/>
          <w:sz w:val="24"/>
          <w:szCs w:val="24"/>
        </w:rPr>
      </w:pPr>
      <w:r>
        <w:rPr>
          <w:rFonts w:ascii="Arial" w:hAnsi="Arial" w:cs="Arial"/>
          <w:b/>
          <w:color w:val="0c0c0c"/>
          <w:sz w:val="24"/>
          <w:szCs w:val="24"/>
        </w:rPr>
        <w:t xml:space="preserve">二、绩效目标</w:t>
      </w:r>
      <w:r>
        <w:rPr>
          <w:rFonts w:ascii="Arial" w:hAnsi="Arial" w:cs="Arial"/>
          <w:b/>
          <w:color w:val="0c0c0c"/>
          <w:sz w:val="24"/>
          <w:szCs w:val="24"/>
        </w:rPr>
      </w:r>
      <w:r>
        <w:rPr>
          <w:rFonts w:ascii="Arial" w:hAnsi="Arial" w:cs="Arial"/>
          <w:b/>
          <w:color w:val="0c0c0c"/>
          <w:sz w:val="24"/>
          <w:szCs w:val="24"/>
        </w:rPr>
      </w:r>
    </w:p>
    <w:p>
      <w:pPr>
        <w:pStyle w:val="856"/>
        <w:widowControl w:val="true"/>
        <w:pBdr/>
        <w:shd w:val="clear" w:color="auto" w:fill="ffffff"/>
        <w:tabs>
          <w:tab w:val="left" w:leader="none" w:pos="5400"/>
        </w:tabs>
        <w:spacing w:line="500" w:lineRule="exact"/>
        <w:ind w:right="300" w:firstLine="480"/>
        <w:jc w:val="left"/>
        <w:outlineLvl w:val="2"/>
        <w:rPr>
          <w:rFonts w:ascii="Arial" w:hAnsi="Arial" w:cs="Arial"/>
          <w:color w:val="0c0c0c"/>
          <w:sz w:val="24"/>
          <w:szCs w:val="24"/>
        </w:rPr>
      </w:pPr>
      <w:r>
        <w:rPr>
          <w:rFonts w:ascii="Arial" w:hAnsi="Arial" w:cs="Arial"/>
          <w:color w:val="0c0c0c"/>
          <w:sz w:val="24"/>
          <w:szCs w:val="24"/>
        </w:rPr>
        <w:t xml:space="preserve">根据随州市水利局2017年度履职尽责目标任务及项目清单、2017年部门整体支出绩效的自评报告和水利局2017年工作总结解读绩效目标如下：</w:t>
      </w:r>
      <w:r>
        <w:rPr>
          <w:rFonts w:ascii="Arial" w:hAnsi="Arial" w:cs="Arial"/>
          <w:color w:val="0c0c0c"/>
          <w:sz w:val="24"/>
          <w:szCs w:val="24"/>
        </w:rPr>
      </w:r>
      <w:r>
        <w:rPr>
          <w:rFonts w:ascii="Arial" w:hAnsi="Arial" w:cs="Arial"/>
          <w:color w:val="0c0c0c"/>
          <w:sz w:val="24"/>
          <w:szCs w:val="24"/>
        </w:rPr>
      </w:r>
    </w:p>
    <w:p>
      <w:pPr>
        <w:pStyle w:val="856"/>
        <w:widowControl w:val="true"/>
        <w:pBdr/>
        <w:shd w:val="clear" w:color="auto" w:fill="ffffff"/>
        <w:tabs>
          <w:tab w:val="left" w:leader="none" w:pos="5400"/>
        </w:tabs>
        <w:spacing w:line="500" w:lineRule="exact"/>
        <w:ind w:right="300" w:firstLine="480"/>
        <w:jc w:val="left"/>
        <w:outlineLvl w:val="2"/>
        <w:rPr>
          <w:rFonts w:ascii="Arial" w:hAnsi="Arial" w:cs="Arial"/>
          <w:color w:val="0c0c0c"/>
          <w:sz w:val="24"/>
          <w:szCs w:val="24"/>
        </w:rPr>
      </w:pPr>
      <w:r>
        <w:rPr>
          <w:rFonts w:ascii="Arial" w:hAnsi="Arial" w:cs="Arial"/>
          <w:color w:val="0c0c0c"/>
          <w:sz w:val="24"/>
          <w:szCs w:val="24"/>
        </w:rPr>
        <w:t xml:space="preserve">1、完成防汛旱工作，通过综合防范，科学调度，努力将水旱灾害损失减少最低程度。</w:t>
      </w:r>
      <w:r>
        <w:rPr>
          <w:rFonts w:ascii="Arial" w:hAnsi="Arial" w:cs="Arial"/>
          <w:color w:val="0c0c0c"/>
          <w:sz w:val="24"/>
          <w:szCs w:val="24"/>
        </w:rPr>
      </w:r>
      <w:r>
        <w:rPr>
          <w:rFonts w:ascii="Arial" w:hAnsi="Arial" w:cs="Arial"/>
          <w:color w:val="0c0c0c"/>
          <w:sz w:val="24"/>
          <w:szCs w:val="24"/>
        </w:rPr>
      </w:r>
    </w:p>
    <w:p>
      <w:pPr>
        <w:pStyle w:val="856"/>
        <w:widowControl w:val="true"/>
        <w:pBdr/>
        <w:shd w:val="clear" w:color="auto" w:fill="ffffff"/>
        <w:tabs>
          <w:tab w:val="left" w:leader="none" w:pos="5400"/>
        </w:tabs>
        <w:spacing w:line="500" w:lineRule="exact"/>
        <w:ind w:right="300" w:firstLine="480"/>
        <w:jc w:val="left"/>
        <w:outlineLvl w:val="2"/>
        <w:rPr>
          <w:rFonts w:ascii="Arial" w:hAnsi="Arial" w:cs="Arial"/>
          <w:color w:val="0c0c0c"/>
          <w:sz w:val="24"/>
          <w:szCs w:val="24"/>
        </w:rPr>
      </w:pPr>
      <w:r>
        <w:rPr>
          <w:rFonts w:ascii="Arial" w:hAnsi="Arial" w:cs="Arial"/>
          <w:color w:val="0c0c0c"/>
          <w:sz w:val="24"/>
          <w:szCs w:val="24"/>
        </w:rPr>
        <w:t xml:space="preserve">2、抓好重点工程项目，完成随州市老城区和城南区域供水管网改造工程、鄂北水资源配置工程随州段、厥水梁家桥拦河坝、随中灌区改造工程等重点项目的年度建设任务。</w:t>
      </w:r>
      <w:r>
        <w:rPr>
          <w:rFonts w:ascii="Arial" w:hAnsi="Arial" w:cs="Arial"/>
          <w:color w:val="0c0c0c"/>
          <w:sz w:val="24"/>
          <w:szCs w:val="24"/>
        </w:rPr>
      </w:r>
      <w:r>
        <w:rPr>
          <w:rFonts w:ascii="Arial" w:hAnsi="Arial" w:cs="Arial"/>
          <w:color w:val="0c0c0c"/>
          <w:sz w:val="24"/>
          <w:szCs w:val="24"/>
        </w:rPr>
      </w:r>
    </w:p>
    <w:p>
      <w:pPr>
        <w:pStyle w:val="856"/>
        <w:widowControl w:val="true"/>
        <w:pBdr/>
        <w:shd w:val="clear" w:color="auto" w:fill="ffffff"/>
        <w:tabs>
          <w:tab w:val="left" w:leader="none" w:pos="5400"/>
        </w:tabs>
        <w:spacing w:line="500" w:lineRule="exact"/>
        <w:ind w:right="300" w:firstLine="480"/>
        <w:jc w:val="left"/>
        <w:outlineLvl w:val="2"/>
        <w:rPr>
          <w:rFonts w:ascii="Arial" w:hAnsi="Arial" w:cs="Arial"/>
          <w:color w:val="0c0c0c"/>
          <w:sz w:val="24"/>
          <w:szCs w:val="24"/>
        </w:rPr>
      </w:pPr>
      <w:r>
        <w:rPr>
          <w:rFonts w:ascii="Arial" w:hAnsi="Arial" w:cs="Arial"/>
          <w:color w:val="0c0c0c"/>
          <w:sz w:val="24"/>
          <w:szCs w:val="24"/>
        </w:rPr>
        <w:t xml:space="preserve">3、依法行政，严格规范公正文明执法，提高依法行政能力，违法采砂得到有效制止。</w:t>
      </w:r>
      <w:r>
        <w:rPr>
          <w:rFonts w:ascii="Arial" w:hAnsi="Arial" w:cs="Arial"/>
          <w:color w:val="0c0c0c"/>
          <w:sz w:val="24"/>
          <w:szCs w:val="24"/>
        </w:rPr>
      </w:r>
      <w:r>
        <w:rPr>
          <w:rFonts w:ascii="Arial" w:hAnsi="Arial" w:cs="Arial"/>
          <w:color w:val="0c0c0c"/>
          <w:sz w:val="24"/>
          <w:szCs w:val="24"/>
        </w:rPr>
      </w:r>
    </w:p>
    <w:p>
      <w:pPr>
        <w:pStyle w:val="856"/>
        <w:widowControl w:val="true"/>
        <w:pBdr/>
        <w:shd w:val="clear" w:color="auto" w:fill="ffffff"/>
        <w:tabs>
          <w:tab w:val="left" w:leader="none" w:pos="5400"/>
        </w:tabs>
        <w:spacing w:line="500" w:lineRule="exact"/>
        <w:ind w:right="300" w:firstLine="480"/>
        <w:jc w:val="left"/>
        <w:outlineLvl w:val="2"/>
        <w:rPr>
          <w:rFonts w:ascii="Arial" w:hAnsi="Arial" w:cs="Arial"/>
          <w:color w:val="000000"/>
          <w:sz w:val="24"/>
          <w:szCs w:val="24"/>
          <w:shd w:val="clear" w:color="auto" w:fill="ffffff"/>
        </w:rPr>
      </w:pPr>
      <w:r>
        <w:rPr>
          <w:rFonts w:ascii="Arial" w:hAnsi="Arial" w:cs="Arial"/>
          <w:color w:val="0c0c0c"/>
          <w:sz w:val="24"/>
          <w:szCs w:val="24"/>
        </w:rPr>
        <w:t xml:space="preserve">4、</w:t>
      </w:r>
      <w:r>
        <w:rPr>
          <w:rFonts w:ascii="Arial" w:hAnsi="Arial" w:cs="Arial"/>
          <w:color w:val="000000"/>
          <w:sz w:val="24"/>
          <w:szCs w:val="24"/>
          <w:shd w:val="clear" w:color="auto" w:fill="ffffff"/>
        </w:rPr>
        <w:t xml:space="preserve">管护水源，深入推进最严格水资源管理制度。</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widowControl w:val="true"/>
        <w:pBdr/>
        <w:shd w:val="clear" w:color="auto" w:fill="ffffff"/>
        <w:tabs>
          <w:tab w:val="left" w:leader="none" w:pos="5400"/>
        </w:tabs>
        <w:spacing w:line="500" w:lineRule="exact"/>
        <w:ind w:right="300" w:firstLine="480"/>
        <w:jc w:val="left"/>
        <w:outlineLvl w:val="2"/>
        <w:rPr>
          <w:rFonts w:ascii="Arial" w:hAnsi="Arial" w:cs="Arial"/>
          <w:color w:val="0c0c0c"/>
          <w:sz w:val="24"/>
          <w:szCs w:val="24"/>
        </w:rPr>
      </w:pPr>
      <w:r>
        <w:rPr>
          <w:rFonts w:ascii="Arial" w:hAnsi="Arial" w:cs="Arial"/>
          <w:color w:val="000000"/>
          <w:sz w:val="24"/>
          <w:szCs w:val="24"/>
          <w:shd w:val="clear" w:color="auto" w:fill="ffffff"/>
        </w:rPr>
        <w:t xml:space="preserve">5</w:t>
      </w:r>
      <w:r>
        <w:rPr>
          <w:rFonts w:ascii="Arial" w:hAnsi="Arial" w:cs="Arial"/>
          <w:color w:val="0c0c0c"/>
          <w:sz w:val="24"/>
          <w:szCs w:val="24"/>
        </w:rPr>
        <w:t xml:space="preserve">、全面推行河长制。</w:t>
      </w:r>
      <w:r>
        <w:rPr>
          <w:rFonts w:ascii="Arial" w:hAnsi="Arial" w:cs="Arial"/>
          <w:color w:val="0c0c0c"/>
          <w:sz w:val="24"/>
          <w:szCs w:val="24"/>
        </w:rPr>
      </w:r>
      <w:r>
        <w:rPr>
          <w:rFonts w:ascii="Arial" w:hAnsi="Arial" w:cs="Arial"/>
          <w:color w:val="0c0c0c"/>
          <w:sz w:val="24"/>
          <w:szCs w:val="24"/>
        </w:rPr>
      </w:r>
    </w:p>
    <w:p>
      <w:pPr>
        <w:pStyle w:val="856"/>
        <w:widowControl w:val="true"/>
        <w:pBdr/>
        <w:shd w:val="clear" w:color="auto" w:fill="ffffff"/>
        <w:tabs>
          <w:tab w:val="left" w:leader="none" w:pos="5400"/>
        </w:tabs>
        <w:spacing w:line="500" w:lineRule="exact"/>
        <w:ind w:right="300" w:firstLine="480"/>
        <w:jc w:val="left"/>
        <w:outlineLvl w:val="2"/>
        <w:rPr>
          <w:rFonts w:ascii="Arial" w:hAnsi="Arial" w:cs="Arial"/>
          <w:color w:val="0c0c0c"/>
          <w:sz w:val="24"/>
          <w:szCs w:val="24"/>
        </w:rPr>
      </w:pPr>
      <w:r>
        <w:rPr>
          <w:rFonts w:ascii="Arial" w:hAnsi="Arial" w:cs="Arial"/>
          <w:color w:val="0c0c0c"/>
          <w:sz w:val="24"/>
          <w:szCs w:val="24"/>
        </w:rPr>
        <w:t xml:space="preserve">6、加强安全生产，确保全市水利工程全年无安全事故。</w:t>
      </w:r>
      <w:r>
        <w:rPr>
          <w:rFonts w:ascii="Arial" w:hAnsi="Arial" w:cs="Arial"/>
          <w:color w:val="0c0c0c"/>
          <w:sz w:val="24"/>
          <w:szCs w:val="24"/>
        </w:rPr>
      </w:r>
      <w:r>
        <w:rPr>
          <w:rFonts w:ascii="Arial" w:hAnsi="Arial" w:cs="Arial"/>
          <w:color w:val="0c0c0c"/>
          <w:sz w:val="24"/>
          <w:szCs w:val="24"/>
        </w:rPr>
      </w:r>
    </w:p>
    <w:p>
      <w:pPr>
        <w:pStyle w:val="856"/>
        <w:widowControl w:val="true"/>
        <w:pBdr/>
        <w:shd w:val="clear" w:color="auto" w:fill="ffffff"/>
        <w:tabs>
          <w:tab w:val="left" w:leader="none" w:pos="5400"/>
        </w:tabs>
        <w:spacing w:line="500" w:lineRule="exact"/>
        <w:ind w:right="300" w:firstLine="480"/>
        <w:jc w:val="left"/>
        <w:outlineLvl w:val="2"/>
        <w:rPr>
          <w:rFonts w:ascii="Arial" w:hAnsi="Arial" w:cs="Arial"/>
          <w:color w:val="0c0c0c"/>
          <w:sz w:val="24"/>
          <w:szCs w:val="24"/>
        </w:rPr>
      </w:pPr>
      <w:r>
        <w:rPr>
          <w:rFonts w:ascii="Arial" w:hAnsi="Arial" w:cs="Arial"/>
          <w:color w:val="0c0c0c"/>
          <w:sz w:val="24"/>
          <w:szCs w:val="24"/>
        </w:rPr>
        <w:t xml:space="preserve">7、</w:t>
      </w:r>
      <w:r>
        <w:rPr>
          <w:rFonts w:ascii="Arial" w:hAnsi="Arial" w:cs="Arial"/>
          <w:color w:val="000000"/>
          <w:sz w:val="24"/>
          <w:szCs w:val="24"/>
          <w:shd w:val="clear" w:color="auto" w:fill="ffffff"/>
        </w:rPr>
        <w:t xml:space="preserve">服从大局，积极完成市委市政府交办的其他工作任务。</w:t>
      </w:r>
      <w:r>
        <w:rPr>
          <w:rFonts w:ascii="Arial" w:hAnsi="Arial" w:cs="Arial"/>
          <w:color w:val="0c0c0c"/>
          <w:sz w:val="24"/>
          <w:szCs w:val="24"/>
        </w:rPr>
      </w:r>
      <w:r>
        <w:rPr>
          <w:rFonts w:ascii="Arial" w:hAnsi="Arial" w:cs="Arial"/>
          <w:color w:val="0c0c0c"/>
          <w:sz w:val="24"/>
          <w:szCs w:val="24"/>
        </w:rPr>
      </w:r>
    </w:p>
    <w:p>
      <w:pPr>
        <w:pStyle w:val="856"/>
        <w:widowControl w:val="true"/>
        <w:pBdr/>
        <w:spacing w:line="500" w:lineRule="exact"/>
        <w:ind w:firstLine="482"/>
        <w:rPr>
          <w:rFonts w:ascii="Arial" w:hAnsi="Arial" w:cs="Arial"/>
          <w:b/>
          <w:color w:val="000000"/>
          <w:sz w:val="24"/>
          <w:szCs w:val="24"/>
        </w:rPr>
      </w:pPr>
      <w:r>
        <w:rPr>
          <w:rFonts w:ascii="Arial" w:hAnsi="Arial" w:cs="Arial"/>
          <w:b/>
          <w:color w:val="000000"/>
          <w:sz w:val="24"/>
          <w:szCs w:val="24"/>
        </w:rPr>
        <w:t xml:space="preserve">三、绩效评价工作情况</w:t>
      </w:r>
      <w:r>
        <w:rPr>
          <w:rFonts w:ascii="Arial" w:hAnsi="Arial" w:cs="Arial"/>
          <w:b/>
          <w:color w:val="000000"/>
          <w:sz w:val="24"/>
          <w:szCs w:val="24"/>
        </w:rPr>
      </w:r>
      <w:r>
        <w:rPr>
          <w:rFonts w:ascii="Arial" w:hAnsi="Arial" w:cs="Arial"/>
          <w:b/>
          <w:color w:val="000000"/>
          <w:sz w:val="24"/>
          <w:szCs w:val="24"/>
        </w:rPr>
      </w:r>
    </w:p>
    <w:p>
      <w:pPr>
        <w:pStyle w:val="856"/>
        <w:widowControl w:val="true"/>
        <w:pBdr/>
        <w:spacing w:line="500" w:lineRule="exact"/>
        <w:ind w:firstLine="482"/>
        <w:rPr>
          <w:rFonts w:ascii="Arial" w:hAnsi="Arial" w:cs="Arial"/>
          <w:b/>
          <w:color w:val="000000"/>
          <w:sz w:val="24"/>
          <w:szCs w:val="24"/>
        </w:rPr>
      </w:pPr>
      <w:r>
        <w:rPr>
          <w:rFonts w:ascii="Arial" w:hAnsi="Arial" w:cs="Arial"/>
          <w:b/>
          <w:color w:val="000000"/>
          <w:sz w:val="24"/>
          <w:szCs w:val="24"/>
        </w:rPr>
        <w:t xml:space="preserve">（一）评价目的</w:t>
      </w:r>
      <w:r>
        <w:rPr>
          <w:rFonts w:ascii="Arial" w:hAnsi="Arial" w:cs="Arial"/>
          <w:b/>
          <w:color w:val="000000"/>
          <w:sz w:val="24"/>
          <w:szCs w:val="24"/>
        </w:rPr>
      </w:r>
      <w:r>
        <w:rPr>
          <w:rFonts w:ascii="Arial" w:hAnsi="Arial" w:cs="Arial"/>
          <w:b/>
          <w:color w:val="000000"/>
          <w:sz w:val="24"/>
          <w:szCs w:val="24"/>
        </w:rPr>
      </w:r>
    </w:p>
    <w:p>
      <w:pPr>
        <w:pStyle w:val="856"/>
        <w:pBdr/>
        <w:spacing w:line="500" w:lineRule="exact"/>
        <w:ind/>
        <w:rPr>
          <w:rFonts w:ascii="Arial" w:hAnsi="Arial" w:cs="Arial"/>
          <w:color w:val="000000"/>
          <w:sz w:val="24"/>
          <w:szCs w:val="24"/>
          <w:shd w:val="clear" w:color="auto" w:fill="ffffff"/>
        </w:rPr>
      </w:pPr>
      <w:r>
        <w:rPr>
          <w:rFonts w:ascii="Arial" w:hAnsi="Arial" w:cs="Arial"/>
          <w:color w:val="000000"/>
          <w:sz w:val="24"/>
          <w:szCs w:val="24"/>
        </w:rPr>
        <w:t xml:space="preserve">    通过绩效评价，调查了解随州市水利局整体支出是否达到了绩效目</w:t>
      </w:r>
      <w:r>
        <w:rPr>
          <w:rFonts w:ascii="Arial" w:hAnsi="Arial" w:cs="Arial"/>
          <w:color w:val="000000"/>
          <w:sz w:val="24"/>
          <w:szCs w:val="24"/>
          <w:shd w:val="clear" w:color="auto" w:fill="ffffff"/>
        </w:rPr>
        <w:t xml:space="preserve">标，分析衡量财政资金使用的效率、效益和效果，探索部门整体支出预算绩效管理方式，及时总结经验、分析存在的问题，采取措施进一步改进和加强水利局财政支出管理，切实提高财政资金使用效益。同时，促使随州市水利局加强规划管理，提高行政管理水平，切实加强行政执法监督，切实维护群众权益，促进社会发展进步。</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rPr>
          <w:rFonts w:ascii="Arial" w:hAnsi="Arial" w:cs="Arial"/>
          <w:b/>
          <w:color w:val="000000"/>
          <w:sz w:val="24"/>
          <w:szCs w:val="24"/>
          <w:shd w:val="clear" w:color="auto" w:fill="ffffff"/>
        </w:rPr>
      </w:pPr>
      <w:r>
        <w:rPr>
          <w:rFonts w:ascii="Arial" w:hAnsi="Arial" w:cs="Arial"/>
          <w:color w:val="000000"/>
          <w:sz w:val="24"/>
          <w:szCs w:val="24"/>
          <w:shd w:val="clear" w:color="auto" w:fill="ffffff"/>
        </w:rPr>
        <w:t xml:space="preserve">   </w:t>
      </w:r>
      <w:r>
        <w:rPr>
          <w:rFonts w:ascii="Arial" w:hAnsi="Arial" w:cs="Arial"/>
          <w:b/>
          <w:color w:val="000000"/>
          <w:sz w:val="24"/>
          <w:szCs w:val="24"/>
          <w:shd w:val="clear" w:color="auto" w:fill="ffffff"/>
        </w:rPr>
        <w:t xml:space="preserve">（二）绩效评价设计过程</w:t>
      </w:r>
      <w:r>
        <w:rPr>
          <w:rFonts w:ascii="Arial" w:hAnsi="Arial" w:cs="Arial"/>
          <w:b/>
          <w:color w:val="000000"/>
          <w:sz w:val="24"/>
          <w:szCs w:val="24"/>
          <w:shd w:val="clear" w:color="auto" w:fill="ffffff"/>
        </w:rPr>
      </w:r>
      <w:r>
        <w:rPr>
          <w:rFonts w:ascii="Arial" w:hAnsi="Arial" w:cs="Arial"/>
          <w:b/>
          <w:color w:val="000000"/>
          <w:sz w:val="24"/>
          <w:szCs w:val="24"/>
          <w:shd w:val="clear" w:color="auto" w:fill="ffffff"/>
        </w:rPr>
      </w:r>
    </w:p>
    <w:p>
      <w:pPr>
        <w:pStyle w:val="856"/>
        <w:pBdr/>
        <w:spacing w:line="500" w:lineRule="exact"/>
        <w:ind/>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为了认真做好水利局2017年度部门整体支出绩效评价工作，确保评价工作顺利进行，此次评价过程中制定了详实的评价实施方案和工作计划，具体工作过程如下：</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240"/>
        <w:rPr>
          <w:rFonts w:ascii="Arial" w:hAnsi="Arial" w:cs="Arial"/>
          <w:b/>
          <w:color w:val="000000"/>
          <w:sz w:val="24"/>
          <w:szCs w:val="24"/>
          <w:shd w:val="clear" w:color="auto" w:fill="ffffff"/>
        </w:rPr>
      </w:pPr>
      <w:r>
        <w:rPr>
          <w:rFonts w:ascii="Arial" w:hAnsi="Arial" w:cs="Arial"/>
          <w:color w:val="000000"/>
          <w:sz w:val="24"/>
          <w:szCs w:val="24"/>
          <w:shd w:val="clear" w:color="auto" w:fill="ffffff"/>
        </w:rPr>
        <w:t xml:space="preserve">  </w:t>
      </w:r>
      <w:r>
        <w:rPr>
          <w:rFonts w:ascii="Arial" w:hAnsi="Arial" w:cs="Arial"/>
          <w:b/>
          <w:color w:val="000000"/>
          <w:sz w:val="24"/>
          <w:szCs w:val="24"/>
          <w:shd w:val="clear" w:color="auto" w:fill="ffffff"/>
        </w:rPr>
        <w:t xml:space="preserve">1、前期准备（2018年9月）</w:t>
      </w:r>
      <w:r>
        <w:rPr>
          <w:rFonts w:ascii="Arial" w:hAnsi="Arial" w:cs="Arial"/>
          <w:b/>
          <w:color w:val="000000"/>
          <w:sz w:val="24"/>
          <w:szCs w:val="24"/>
          <w:shd w:val="clear" w:color="auto" w:fill="ffffff"/>
        </w:rPr>
      </w:r>
      <w:r>
        <w:rPr>
          <w:rFonts w:ascii="Arial" w:hAnsi="Arial" w:cs="Arial"/>
          <w:b/>
          <w:color w:val="000000"/>
          <w:sz w:val="24"/>
          <w:szCs w:val="24"/>
          <w:shd w:val="clear" w:color="auto" w:fill="ffffff"/>
        </w:rPr>
      </w:r>
    </w:p>
    <w:p>
      <w:pPr>
        <w:pStyle w:val="856"/>
        <w:pBdr/>
        <w:spacing w:line="500" w:lineRule="exact"/>
        <w:ind w:firstLine="48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承接项目，所里成立评价工作组，组织相关人员开展绩效评价相关文件和业务培训学习，明确评价小组各成员的职责分工。</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left="524"/>
        <w:rPr>
          <w:rFonts w:ascii="Arial" w:hAnsi="Arial" w:cs="Arial"/>
          <w:b/>
          <w:color w:val="000000"/>
          <w:sz w:val="24"/>
          <w:szCs w:val="24"/>
          <w:shd w:val="clear" w:color="auto" w:fill="ffffff"/>
        </w:rPr>
      </w:pPr>
      <w:r>
        <w:rPr>
          <w:rFonts w:ascii="Arial" w:hAnsi="Arial" w:cs="Arial"/>
          <w:b/>
          <w:color w:val="000000"/>
          <w:sz w:val="24"/>
          <w:szCs w:val="24"/>
          <w:shd w:val="clear" w:color="auto" w:fill="ffffff"/>
        </w:rPr>
        <w:t xml:space="preserve">2、组织实施（10月——11月）</w:t>
      </w:r>
      <w:r>
        <w:rPr>
          <w:rFonts w:ascii="Arial" w:hAnsi="Arial" w:cs="Arial"/>
          <w:b/>
          <w:color w:val="000000"/>
          <w:sz w:val="24"/>
          <w:szCs w:val="24"/>
          <w:shd w:val="clear" w:color="auto" w:fill="ffffff"/>
        </w:rPr>
      </w:r>
      <w:r>
        <w:rPr>
          <w:rFonts w:ascii="Arial" w:hAnsi="Arial" w:cs="Arial"/>
          <w:b/>
          <w:color w:val="000000"/>
          <w:sz w:val="24"/>
          <w:szCs w:val="24"/>
          <w:shd w:val="clear" w:color="auto" w:fill="ffffff"/>
        </w:rPr>
      </w:r>
    </w:p>
    <w:p>
      <w:pPr>
        <w:pStyle w:val="856"/>
        <w:pBdr/>
        <w:spacing w:line="500" w:lineRule="exact"/>
        <w:ind w:firstLine="538"/>
        <w:rPr>
          <w:rFonts w:ascii="Arial" w:hAnsi="Arial" w:cs="Arial"/>
          <w:color w:val="000000"/>
          <w:sz w:val="24"/>
          <w:szCs w:val="24"/>
          <w:shd w:val="clear" w:color="auto" w:fill="ffffff"/>
        </w:rPr>
      </w:pPr>
      <w:r>
        <w:rPr>
          <w:rFonts w:ascii="Arial" w:hAnsi="Arial" w:cs="Arial"/>
          <w:color w:val="000000"/>
          <w:sz w:val="24"/>
          <w:szCs w:val="24"/>
          <w:shd w:val="clear" w:color="auto" w:fill="ffffff"/>
        </w:rPr>
        <w:fldChar w:fldCharType="begin"/>
      </w:r>
      <w:r>
        <w:rPr>
          <w:rFonts w:ascii="Arial" w:hAnsi="Arial" w:cs="Arial"/>
          <w:color w:val="000000"/>
          <w:sz w:val="24"/>
          <w:szCs w:val="24"/>
          <w:shd w:val="clear" w:color="auto" w:fill="ffffff"/>
        </w:rPr>
        <w:instrText xml:space="preserve">eq \o\ac(</w:instrText>
      </w:r>
      <w:r>
        <w:rPr>
          <w:rFonts w:hint="eastAsia" w:ascii="Arial" w:hAnsi="Arial" w:cs="Arial"/>
          <w:color w:val="000000"/>
          <w:sz w:val="24"/>
          <w:szCs w:val="24"/>
          <w:shd w:val="clear" w:color="auto" w:fill="ffffff"/>
        </w:rPr>
        <w:instrText xml:space="preserve">○</w:instrText>
      </w:r>
      <w:r>
        <w:rPr>
          <w:rFonts w:ascii="Arial" w:hAnsi="Arial" w:cs="Arial"/>
          <w:color w:val="000000"/>
          <w:sz w:val="24"/>
          <w:szCs w:val="24"/>
          <w:shd w:val="clear" w:color="auto" w:fill="ffffff"/>
        </w:rPr>
        <w:instrText xml:space="preserve">,1)</w:instrText>
      </w:r>
      <w:r>
        <w:rPr>
          <w:rFonts w:ascii="Arial" w:hAnsi="Arial" w:cs="Arial"/>
          <w:color w:val="000000"/>
          <w:sz w:val="24"/>
          <w:szCs w:val="24"/>
          <w:shd w:val="clear" w:color="auto" w:fill="ffffff"/>
        </w:rPr>
        <w:fldChar w:fldCharType="end"/>
      </w:r>
      <w:r>
        <w:rPr>
          <w:rFonts w:ascii="Arial" w:hAnsi="Arial" w:cs="Arial"/>
          <w:color w:val="000000"/>
          <w:sz w:val="24"/>
          <w:szCs w:val="24"/>
          <w:shd w:val="clear" w:color="auto" w:fill="ffffff"/>
        </w:rPr>
        <w:t xml:space="preserve">书面审核。评价小组对收集的相关基础资料和报送的自评报告及相关依据证据材料的完整性、及时性、有效性进行审核，初步了解项目实施情况。</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0"/>
        <w:rPr>
          <w:rFonts w:ascii="Arial" w:hAnsi="Arial" w:cs="Arial"/>
          <w:color w:val="000000"/>
          <w:sz w:val="24"/>
          <w:szCs w:val="24"/>
          <w:shd w:val="clear" w:color="auto" w:fill="ffffff"/>
        </w:rPr>
      </w:pPr>
      <w:r>
        <w:rPr>
          <w:rFonts w:ascii="Arial" w:hAnsi="Arial" w:cs="Arial"/>
          <w:color w:val="000000"/>
          <w:sz w:val="24"/>
          <w:szCs w:val="24"/>
          <w:shd w:val="clear" w:color="auto" w:fill="ffffff"/>
        </w:rPr>
        <w:fldChar w:fldCharType="begin"/>
      </w:r>
      <w:r>
        <w:rPr>
          <w:rFonts w:ascii="Arial" w:hAnsi="Arial" w:cs="Arial"/>
          <w:color w:val="000000"/>
          <w:sz w:val="24"/>
          <w:szCs w:val="24"/>
          <w:shd w:val="clear" w:color="auto" w:fill="ffffff"/>
        </w:rPr>
        <w:instrText xml:space="preserve">eq \o\ac(</w:instrText>
      </w:r>
      <w:r>
        <w:rPr>
          <w:rFonts w:hint="eastAsia" w:ascii="Arial" w:hAnsi="Arial" w:cs="Arial"/>
          <w:color w:val="000000"/>
          <w:sz w:val="24"/>
          <w:szCs w:val="24"/>
          <w:shd w:val="clear" w:color="auto" w:fill="ffffff"/>
        </w:rPr>
        <w:instrText xml:space="preserve">○</w:instrText>
      </w:r>
      <w:r>
        <w:rPr>
          <w:rFonts w:ascii="Arial" w:hAnsi="Arial" w:cs="Arial"/>
          <w:color w:val="000000"/>
          <w:sz w:val="24"/>
          <w:szCs w:val="24"/>
          <w:shd w:val="clear" w:color="auto" w:fill="ffffff"/>
        </w:rPr>
        <w:instrText xml:space="preserve">,2)</w:instrText>
      </w:r>
      <w:r>
        <w:rPr>
          <w:rFonts w:ascii="Arial" w:hAnsi="Arial" w:cs="Arial"/>
          <w:color w:val="000000"/>
          <w:sz w:val="24"/>
          <w:szCs w:val="24"/>
          <w:shd w:val="clear" w:color="auto" w:fill="ffffff"/>
        </w:rPr>
        <w:fldChar w:fldCharType="end"/>
      </w:r>
      <w:r>
        <w:rPr>
          <w:rFonts w:ascii="Arial" w:hAnsi="Arial" w:cs="Arial"/>
          <w:color w:val="000000"/>
          <w:sz w:val="24"/>
          <w:szCs w:val="24"/>
          <w:shd w:val="clear" w:color="auto" w:fill="ffffff"/>
        </w:rPr>
        <w:t xml:space="preserve">现场核查。评价小组结合自评报告，按照项目资金的使用去向进行现场核查。一是从投入管理、业务管理、财务管理及项目资金使用的经济性、效率性、有效性进行核查，采集相关依据证据资料，采用计划标准、历史标准等评价标准，运用比较法、成本效益分析法等评价方法，进行评价分析，并完成评价工作底稿；二是设计访谈提纲和调查问卷，组织开展现场访谈、问卷调查并进行相关分析，作出调查结论。</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360" w:left="89"/>
        <w:rPr>
          <w:rFonts w:ascii="Arial" w:hAnsi="Arial" w:cs="Arial"/>
          <w:color w:val="000000"/>
          <w:sz w:val="24"/>
          <w:szCs w:val="24"/>
          <w:shd w:val="clear" w:color="auto" w:fill="ffffff"/>
        </w:rPr>
      </w:pPr>
      <w:r>
        <w:rPr>
          <w:rFonts w:ascii="Arial" w:hAnsi="Arial" w:cs="Arial"/>
          <w:color w:val="000000"/>
          <w:sz w:val="24"/>
          <w:szCs w:val="24"/>
          <w:shd w:val="clear" w:color="auto" w:fill="ffffff"/>
        </w:rPr>
        <w:fldChar w:fldCharType="begin"/>
      </w:r>
      <w:r>
        <w:rPr>
          <w:rFonts w:ascii="Arial" w:hAnsi="Arial" w:cs="Arial"/>
          <w:color w:val="000000"/>
          <w:sz w:val="24"/>
          <w:szCs w:val="24"/>
          <w:shd w:val="clear" w:color="auto" w:fill="ffffff"/>
        </w:rPr>
        <w:instrText xml:space="preserve">eq \o\ac(</w:instrText>
      </w:r>
      <w:r>
        <w:rPr>
          <w:rFonts w:hint="eastAsia" w:ascii="Arial" w:hAnsi="Arial" w:cs="Arial"/>
          <w:color w:val="000000"/>
          <w:sz w:val="24"/>
          <w:szCs w:val="24"/>
          <w:shd w:val="clear" w:color="auto" w:fill="ffffff"/>
        </w:rPr>
        <w:instrText xml:space="preserve">○</w:instrText>
      </w:r>
      <w:r>
        <w:rPr>
          <w:rFonts w:ascii="Arial" w:hAnsi="Arial" w:cs="Arial"/>
          <w:color w:val="000000"/>
          <w:sz w:val="24"/>
          <w:szCs w:val="24"/>
          <w:shd w:val="clear" w:color="auto" w:fill="ffffff"/>
        </w:rPr>
        <w:instrText xml:space="preserve">,3)</w:instrText>
      </w:r>
      <w:r>
        <w:rPr>
          <w:rFonts w:ascii="Arial" w:hAnsi="Arial" w:cs="Arial"/>
          <w:color w:val="000000"/>
          <w:sz w:val="24"/>
          <w:szCs w:val="24"/>
          <w:shd w:val="clear" w:color="auto" w:fill="ffffff"/>
        </w:rPr>
        <w:fldChar w:fldCharType="end"/>
      </w:r>
      <w:r>
        <w:rPr>
          <w:rFonts w:ascii="Arial" w:hAnsi="Arial" w:cs="Arial"/>
          <w:color w:val="000000"/>
          <w:sz w:val="24"/>
          <w:szCs w:val="24"/>
          <w:shd w:val="clear" w:color="auto" w:fill="ffffff"/>
        </w:rPr>
        <w:t xml:space="preserve">评价分析和撰写评价报告。（11月）一是整理书面审核和现场核查情况，对照绩效评价指标及评分细则进行评价打分，并按确定的权重配比通过加权平均法确定绩效评价初步结果；二是根据初步评价结果在综合分析的基础上拟定绩效评价报告初稿，分布提交市财政局、被评单位征求意见。评价小组根据各方书面反馈意见对报告修改完善后，形成绩效评价报告报市财政局。</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2"/>
        <w:rPr>
          <w:rFonts w:ascii="Arial" w:hAnsi="Arial" w:cs="Arial"/>
          <w:b/>
          <w:color w:val="000000"/>
          <w:sz w:val="24"/>
          <w:szCs w:val="24"/>
          <w:shd w:val="clear" w:color="auto" w:fill="ffffff"/>
        </w:rPr>
      </w:pPr>
      <w:r>
        <w:rPr>
          <w:rFonts w:ascii="Arial" w:hAnsi="Arial" w:cs="Arial"/>
          <w:b/>
          <w:color w:val="000000"/>
          <w:sz w:val="24"/>
          <w:szCs w:val="24"/>
          <w:shd w:val="clear" w:color="auto" w:fill="ffffff"/>
        </w:rPr>
        <w:t xml:space="preserve">（三）绩效评价框架</w:t>
      </w:r>
      <w:r>
        <w:rPr>
          <w:rFonts w:ascii="Arial" w:hAnsi="Arial" w:cs="Arial"/>
          <w:b/>
          <w:color w:val="000000"/>
          <w:sz w:val="24"/>
          <w:szCs w:val="24"/>
          <w:shd w:val="clear" w:color="auto" w:fill="ffffff"/>
        </w:rPr>
      </w:r>
      <w:r>
        <w:rPr>
          <w:rFonts w:ascii="Arial" w:hAnsi="Arial" w:cs="Arial"/>
          <w:b/>
          <w:color w:val="000000"/>
          <w:sz w:val="24"/>
          <w:szCs w:val="24"/>
          <w:shd w:val="clear" w:color="auto" w:fill="ffffff"/>
        </w:rPr>
      </w:r>
    </w:p>
    <w:p>
      <w:pPr>
        <w:pStyle w:val="856"/>
        <w:pBdr/>
        <w:spacing w:line="500" w:lineRule="exact"/>
        <w:ind w:firstLine="509"/>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绩效评价坚持客观公正，实事求是的原则，评价指标体系和绩效评价标准严格按照财政部制定的部门整体支出绩效评价共性指标体系框架、中国资产评估协会制定的财政支出（项目支出）绩效评价操作指引（试行）进行评价，评价方法采用比较法和专家评议法，采用项目研究、资料收集、实地调研、座谈会以及问卷调查等证据收集方法，开展此次绩效评价。</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2"/>
        <w:rPr>
          <w:rFonts w:ascii="Arial" w:hAnsi="Arial" w:cs="Arial"/>
          <w:b/>
          <w:color w:val="000000"/>
          <w:sz w:val="24"/>
          <w:szCs w:val="24"/>
          <w:shd w:val="clear" w:color="auto" w:fill="ffffff"/>
        </w:rPr>
      </w:pPr>
      <w:r>
        <w:rPr>
          <w:rFonts w:ascii="Arial" w:hAnsi="Arial" w:cs="Arial"/>
          <w:b/>
          <w:color w:val="000000"/>
          <w:sz w:val="24"/>
          <w:szCs w:val="24"/>
          <w:shd w:val="clear" w:color="auto" w:fill="ffffff"/>
        </w:rPr>
        <w:t xml:space="preserve">1、评价原则</w:t>
      </w:r>
      <w:r>
        <w:rPr>
          <w:rFonts w:ascii="Arial" w:hAnsi="Arial" w:cs="Arial"/>
          <w:b/>
          <w:color w:val="000000"/>
          <w:sz w:val="24"/>
          <w:szCs w:val="24"/>
          <w:shd w:val="clear" w:color="auto" w:fill="ffffff"/>
        </w:rPr>
      </w:r>
      <w:r>
        <w:rPr>
          <w:rFonts w:ascii="Arial" w:hAnsi="Arial" w:cs="Arial"/>
          <w:b/>
          <w:color w:val="000000"/>
          <w:sz w:val="24"/>
          <w:szCs w:val="24"/>
          <w:shd w:val="clear" w:color="auto" w:fill="ffffff"/>
        </w:rPr>
      </w:r>
    </w:p>
    <w:p>
      <w:pPr>
        <w:pStyle w:val="856"/>
        <w:pBdr/>
        <w:spacing w:line="500" w:lineRule="exact"/>
        <w:ind w:firstLine="36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（1）科学规范原则。绩效评价应当严格执行规定的程序，按照科学可行的要求，采用定量与定性分析相结合的方法。</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36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（2）公正公开原则。绩效评价应当符合真实、客观、公正的要求，依法公开并接受监督。</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36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（3）分级分类原则。绩效评价由各级财政部门、各预算部门根据评价对象的特点分类组织实施。</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36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（4）绩效相关原则。绩效评价应当针对具体支出及其产出绩效进行，评价结果应当清晰反映支出和产出绩效之间的紧密对应关系。</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2" w:left="16"/>
        <w:rPr>
          <w:rFonts w:ascii="Arial" w:hAnsi="Arial" w:cs="Arial"/>
          <w:b/>
          <w:color w:val="000000"/>
          <w:sz w:val="24"/>
          <w:szCs w:val="24"/>
          <w:shd w:val="clear" w:color="auto" w:fill="ffffff"/>
        </w:rPr>
      </w:pPr>
      <w:r>
        <w:rPr>
          <w:rFonts w:ascii="Arial" w:hAnsi="Arial" w:cs="Arial"/>
          <w:b/>
          <w:color w:val="000000"/>
          <w:sz w:val="24"/>
          <w:szCs w:val="24"/>
          <w:shd w:val="clear" w:color="auto" w:fill="ffffff"/>
        </w:rPr>
        <w:t xml:space="preserve">2、评价指标体系设计</w:t>
      </w:r>
      <w:r>
        <w:rPr>
          <w:rFonts w:ascii="Arial" w:hAnsi="Arial" w:cs="Arial"/>
          <w:b/>
          <w:color w:val="000000"/>
          <w:sz w:val="24"/>
          <w:szCs w:val="24"/>
          <w:shd w:val="clear" w:color="auto" w:fill="ffffff"/>
        </w:rPr>
      </w:r>
      <w:r>
        <w:rPr>
          <w:rFonts w:ascii="Arial" w:hAnsi="Arial" w:cs="Arial"/>
          <w:b/>
          <w:color w:val="000000"/>
          <w:sz w:val="24"/>
          <w:szCs w:val="24"/>
          <w:shd w:val="clear" w:color="auto" w:fill="ffffff"/>
        </w:rPr>
      </w:r>
    </w:p>
    <w:p>
      <w:pPr>
        <w:pStyle w:val="856"/>
        <w:pBdr/>
        <w:spacing w:line="500" w:lineRule="exact"/>
        <w:ind w:firstLine="480" w:left="16"/>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按照以下思路确定评价内容并设计评价指标体系：</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（1）投入管理。主要指目标设定、预算配置情况。目标设定重点评价绩效目标的合理性和绩效指标的明确性；预算配置重点评价在职人员控制率、”三公“经费变动率和重点支出安排率。</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2）过程管理。主要指预算执行、预算管理和资产管理情况。预算执行重点支出完成率、结转结余率、公用经费控制率、”三公“经费控制率、政府采购执行率；预算管理重点评价管理制度健全性、资金使用合规性、预决算信息公开性和基础信息完善性；资产管理重点评价管理制度健全性、资产管理安全性和固定资产利用率。</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（3）产出管理。主要指部门职责履行情况，重点评价实际完成率、完成及时率、质量达标率和重点工作办结率。</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（4）效果管理。主要指部门履职效益，从经济性、有效性及社会公众或服务对象社会满意度进行评价。</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2"/>
        <w:rPr>
          <w:rFonts w:ascii="Arial" w:hAnsi="Arial" w:cs="Arial"/>
          <w:b/>
          <w:color w:val="000000"/>
          <w:sz w:val="24"/>
          <w:szCs w:val="24"/>
          <w:shd w:val="clear" w:color="auto" w:fill="ffffff"/>
        </w:rPr>
      </w:pPr>
      <w:r>
        <w:rPr>
          <w:rFonts w:ascii="Arial" w:hAnsi="Arial" w:cs="Arial"/>
          <w:b/>
          <w:color w:val="000000"/>
          <w:sz w:val="24"/>
          <w:szCs w:val="24"/>
          <w:shd w:val="clear" w:color="auto" w:fill="ffffff"/>
        </w:rPr>
        <w:t xml:space="preserve">3、评价标准</w:t>
      </w:r>
      <w:r>
        <w:rPr>
          <w:rFonts w:ascii="Arial" w:hAnsi="Arial" w:cs="Arial"/>
          <w:b/>
          <w:color w:val="000000"/>
          <w:sz w:val="24"/>
          <w:szCs w:val="24"/>
          <w:shd w:val="clear" w:color="auto" w:fill="ffffff"/>
        </w:rPr>
      </w:r>
      <w:r>
        <w:rPr>
          <w:rFonts w:ascii="Arial" w:hAnsi="Arial" w:cs="Arial"/>
          <w:b/>
          <w:color w:val="000000"/>
          <w:sz w:val="24"/>
          <w:szCs w:val="24"/>
          <w:shd w:val="clear" w:color="auto" w:fill="ffffff"/>
        </w:rPr>
      </w:r>
    </w:p>
    <w:p>
      <w:pPr>
        <w:pStyle w:val="856"/>
        <w:pBdr/>
        <w:spacing w:line="500" w:lineRule="exact"/>
        <w:ind w:firstLine="48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评价小组主要采用计划标准、历史标准、行业标准等评价标准。</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2"/>
        <w:rPr>
          <w:rFonts w:ascii="Arial" w:hAnsi="Arial" w:cs="Arial"/>
          <w:b/>
          <w:color w:val="000000"/>
          <w:sz w:val="24"/>
          <w:szCs w:val="24"/>
          <w:shd w:val="clear" w:color="auto" w:fill="ffffff"/>
        </w:rPr>
      </w:pPr>
      <w:r>
        <w:rPr>
          <w:rFonts w:ascii="Arial" w:hAnsi="Arial" w:cs="Arial"/>
          <w:b/>
          <w:color w:val="000000"/>
          <w:sz w:val="24"/>
          <w:szCs w:val="24"/>
          <w:shd w:val="clear" w:color="auto" w:fill="ffffff"/>
        </w:rPr>
        <w:t xml:space="preserve">4、评价方法</w:t>
      </w:r>
      <w:r>
        <w:rPr>
          <w:rFonts w:ascii="Arial" w:hAnsi="Arial" w:cs="Arial"/>
          <w:b/>
          <w:color w:val="000000"/>
          <w:sz w:val="24"/>
          <w:szCs w:val="24"/>
          <w:shd w:val="clear" w:color="auto" w:fill="ffffff"/>
        </w:rPr>
      </w:r>
      <w:r>
        <w:rPr>
          <w:rFonts w:ascii="Arial" w:hAnsi="Arial" w:cs="Arial"/>
          <w:b/>
          <w:color w:val="000000"/>
          <w:sz w:val="24"/>
          <w:szCs w:val="24"/>
          <w:shd w:val="clear" w:color="auto" w:fill="ffffff"/>
        </w:rPr>
      </w:r>
    </w:p>
    <w:p>
      <w:pPr>
        <w:pStyle w:val="856"/>
        <w:pBdr/>
        <w:spacing w:line="500" w:lineRule="exact"/>
        <w:ind/>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按照《省政府关于推进预算绩效管理的意见》（鄂政发【2013】9号）和《关于印发财政支出（项目支出）绩效评价操作指引（试行）的通知》（中评协【2015】70号）等文件的要求，通行的项目支出绩效评价方法油以下几种方法：</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tabs>
          <w:tab w:val="left" w:leader="none" w:pos="0"/>
        </w:tabs>
        <w:spacing w:line="500" w:lineRule="exact"/>
        <w:ind w:firstLine="480"/>
        <w:jc w:val="left"/>
        <w:rPr>
          <w:rFonts w:ascii="Arial" w:hAnsi="Arial" w:cs="Arial"/>
          <w:color w:val="000000"/>
          <w:sz w:val="24"/>
          <w:szCs w:val="24"/>
          <w:shd w:val="clear" w:color="auto" w:fill="ffffff"/>
        </w:rPr>
      </w:pPr>
      <w:r>
        <w:rPr>
          <w:rFonts w:ascii="Arial" w:hAnsi="Arial" w:cs="Arial"/>
          <w:color w:val="000000"/>
          <w:sz w:val="24"/>
          <w:szCs w:val="24"/>
          <w:shd w:val="clear" w:color="auto" w:fill="ffffff"/>
        </w:rPr>
        <w:fldChar w:fldCharType="begin"/>
      </w:r>
      <w:r>
        <w:rPr>
          <w:rFonts w:ascii="Arial" w:hAnsi="Arial" w:cs="Arial"/>
          <w:color w:val="000000"/>
          <w:sz w:val="24"/>
          <w:szCs w:val="24"/>
          <w:shd w:val="clear" w:color="auto" w:fill="ffffff"/>
        </w:rPr>
        <w:instrText xml:space="preserve"> = 1 \* GB3 </w:instrText>
      </w:r>
      <w:r>
        <w:rPr>
          <w:rFonts w:ascii="Arial" w:hAnsi="Arial" w:cs="Arial"/>
          <w:color w:val="000000"/>
          <w:sz w:val="24"/>
          <w:szCs w:val="24"/>
          <w:shd w:val="clear" w:color="auto" w:fill="ffffff"/>
        </w:rPr>
        <w:fldChar w:fldCharType="separate"/>
      </w:r>
      <w:r>
        <w:rPr>
          <w:rFonts w:hint="eastAsia" w:ascii="宋体" w:cs="Arial"/>
          <w:color w:val="000000"/>
          <w:sz w:val="24"/>
          <w:szCs w:val="24"/>
          <w:shd w:val="clear" w:color="auto" w:fill="ffffff"/>
        </w:rPr>
        <w:t xml:space="preserve">①</w:t>
      </w:r>
      <w:r>
        <w:rPr>
          <w:rFonts w:ascii="Arial" w:hAnsi="Arial" w:cs="Arial"/>
          <w:color w:val="000000"/>
          <w:sz w:val="24"/>
          <w:szCs w:val="24"/>
          <w:shd w:val="clear" w:color="auto" w:fill="ffffff"/>
        </w:rPr>
        <w:fldChar w:fldCharType="end"/>
      </w:r>
      <w:r>
        <w:rPr>
          <w:rFonts w:ascii="Arial" w:hAnsi="Arial" w:cs="Arial"/>
          <w:color w:val="000000"/>
          <w:sz w:val="24"/>
          <w:szCs w:val="24"/>
          <w:shd w:val="clear" w:color="auto" w:fill="ffffff"/>
        </w:rPr>
        <w:t xml:space="preserve">比较法：指通过对绩效目标与实施结果、历史与当期情况、不同部门和地区同类支出的比较，综合分析绩效目标的实现程度的一种评价方法。</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tabs>
          <w:tab w:val="left" w:leader="none" w:pos="0"/>
        </w:tabs>
        <w:spacing w:line="500" w:lineRule="exact"/>
        <w:ind w:firstLine="480"/>
        <w:jc w:val="left"/>
        <w:rPr>
          <w:rFonts w:ascii="Arial" w:hAnsi="Arial" w:cs="Arial"/>
          <w:color w:val="000000"/>
          <w:sz w:val="24"/>
          <w:szCs w:val="24"/>
          <w:shd w:val="clear" w:color="auto" w:fill="ffffff"/>
        </w:rPr>
      </w:pPr>
      <w:r>
        <w:rPr>
          <w:rFonts w:ascii="Arial" w:hAnsi="Arial" w:cs="Arial"/>
          <w:color w:val="000000"/>
          <w:sz w:val="24"/>
          <w:szCs w:val="24"/>
          <w:shd w:val="clear" w:color="auto" w:fill="ffffff"/>
        </w:rPr>
        <w:fldChar w:fldCharType="begin"/>
      </w:r>
      <w:r>
        <w:rPr>
          <w:rFonts w:ascii="Arial" w:hAnsi="Arial" w:cs="Arial"/>
          <w:color w:val="000000"/>
          <w:sz w:val="24"/>
          <w:szCs w:val="24"/>
          <w:shd w:val="clear" w:color="auto" w:fill="ffffff"/>
        </w:rPr>
        <w:instrText xml:space="preserve"> = 2 \* GB3 </w:instrText>
      </w:r>
      <w:r>
        <w:rPr>
          <w:rFonts w:ascii="Arial" w:hAnsi="Arial" w:cs="Arial"/>
          <w:color w:val="000000"/>
          <w:sz w:val="24"/>
          <w:szCs w:val="24"/>
          <w:shd w:val="clear" w:color="auto" w:fill="ffffff"/>
        </w:rPr>
        <w:fldChar w:fldCharType="separate"/>
      </w:r>
      <w:r>
        <w:rPr>
          <w:rFonts w:hint="eastAsia" w:ascii="宋体" w:cs="Arial"/>
          <w:color w:val="000000"/>
          <w:sz w:val="24"/>
          <w:szCs w:val="24"/>
          <w:shd w:val="clear" w:color="auto" w:fill="ffffff"/>
        </w:rPr>
        <w:t xml:space="preserve">②</w:t>
      </w:r>
      <w:r>
        <w:rPr>
          <w:rFonts w:ascii="Arial" w:hAnsi="Arial" w:cs="Arial"/>
          <w:color w:val="000000"/>
          <w:sz w:val="24"/>
          <w:szCs w:val="24"/>
          <w:shd w:val="clear" w:color="auto" w:fill="ffffff"/>
        </w:rPr>
        <w:fldChar w:fldCharType="end"/>
      </w:r>
      <w:r>
        <w:rPr>
          <w:rFonts w:ascii="Arial" w:hAnsi="Arial" w:cs="Arial"/>
          <w:color w:val="000000"/>
          <w:sz w:val="24"/>
          <w:szCs w:val="24"/>
          <w:shd w:val="clear" w:color="auto" w:fill="ffffff"/>
        </w:rPr>
        <w:t xml:space="preserve">成本效益分析法：指将一定时期内的支出与效益进行对比分析评价绩效目标的实现程度的一种评价方法。</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tabs>
          <w:tab w:val="left" w:leader="none" w:pos="0"/>
        </w:tabs>
        <w:spacing w:line="500" w:lineRule="exact"/>
        <w:ind w:firstLine="480"/>
        <w:jc w:val="left"/>
        <w:rPr>
          <w:rFonts w:ascii="Arial" w:hAnsi="Arial" w:cs="Arial"/>
          <w:color w:val="000000"/>
          <w:sz w:val="24"/>
          <w:szCs w:val="24"/>
          <w:shd w:val="clear" w:color="auto" w:fill="ffffff"/>
        </w:rPr>
      </w:pPr>
      <w:r>
        <w:rPr>
          <w:rFonts w:ascii="Arial" w:hAnsi="Arial" w:cs="Arial"/>
          <w:color w:val="000000"/>
          <w:sz w:val="24"/>
          <w:szCs w:val="24"/>
          <w:shd w:val="clear" w:color="auto" w:fill="ffffff"/>
        </w:rPr>
        <w:fldChar w:fldCharType="begin"/>
      </w:r>
      <w:r>
        <w:rPr>
          <w:rFonts w:ascii="Arial" w:hAnsi="Arial" w:cs="Arial"/>
          <w:color w:val="000000"/>
          <w:sz w:val="24"/>
          <w:szCs w:val="24"/>
          <w:shd w:val="clear" w:color="auto" w:fill="ffffff"/>
        </w:rPr>
        <w:instrText xml:space="preserve"> = 3 \* GB3 </w:instrText>
      </w:r>
      <w:r>
        <w:rPr>
          <w:rFonts w:ascii="Arial" w:hAnsi="Arial" w:cs="Arial"/>
          <w:color w:val="000000"/>
          <w:sz w:val="24"/>
          <w:szCs w:val="24"/>
          <w:shd w:val="clear" w:color="auto" w:fill="ffffff"/>
        </w:rPr>
        <w:fldChar w:fldCharType="separate"/>
      </w:r>
      <w:r>
        <w:rPr>
          <w:rFonts w:hint="eastAsia" w:ascii="宋体" w:cs="Arial"/>
          <w:color w:val="000000"/>
          <w:sz w:val="24"/>
          <w:szCs w:val="24"/>
          <w:shd w:val="clear" w:color="auto" w:fill="ffffff"/>
        </w:rPr>
        <w:t xml:space="preserve">③</w:t>
      </w:r>
      <w:r>
        <w:rPr>
          <w:rFonts w:ascii="Arial" w:hAnsi="Arial" w:cs="Arial"/>
          <w:color w:val="000000"/>
          <w:sz w:val="24"/>
          <w:szCs w:val="24"/>
          <w:shd w:val="clear" w:color="auto" w:fill="ffffff"/>
        </w:rPr>
        <w:fldChar w:fldCharType="end"/>
      </w:r>
      <w:r>
        <w:rPr>
          <w:rFonts w:ascii="Arial" w:hAnsi="Arial" w:cs="Arial"/>
          <w:color w:val="000000"/>
          <w:sz w:val="24"/>
          <w:szCs w:val="24"/>
          <w:shd w:val="clear" w:color="auto" w:fill="ffffff"/>
        </w:rPr>
        <w:t xml:space="preserve">因素分析法：是一种通过综合分析影响绩效目标实现、实施效果的内外因素，评价绩效目标的实现程度的评价方法。</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tabs>
          <w:tab w:val="left" w:leader="none" w:pos="0"/>
        </w:tabs>
        <w:spacing w:line="500" w:lineRule="exact"/>
        <w:ind w:firstLine="480"/>
        <w:jc w:val="left"/>
        <w:rPr>
          <w:rFonts w:ascii="Arial" w:hAnsi="Arial" w:cs="Arial"/>
          <w:color w:val="000000"/>
          <w:sz w:val="24"/>
          <w:szCs w:val="24"/>
          <w:shd w:val="clear" w:color="auto" w:fill="ffffff"/>
        </w:rPr>
      </w:pPr>
      <w:r>
        <w:rPr>
          <w:rFonts w:ascii="Arial" w:hAnsi="Arial" w:cs="Arial"/>
          <w:color w:val="000000"/>
          <w:sz w:val="24"/>
          <w:szCs w:val="24"/>
          <w:shd w:val="clear" w:color="auto" w:fill="ffffff"/>
        </w:rPr>
        <w:fldChar w:fldCharType="begin"/>
      </w:r>
      <w:r>
        <w:rPr>
          <w:rFonts w:ascii="Arial" w:hAnsi="Arial" w:cs="Arial"/>
          <w:color w:val="000000"/>
          <w:sz w:val="24"/>
          <w:szCs w:val="24"/>
          <w:shd w:val="clear" w:color="auto" w:fill="ffffff"/>
        </w:rPr>
        <w:instrText xml:space="preserve"> = 4 \* GB3 </w:instrText>
      </w:r>
      <w:r>
        <w:rPr>
          <w:rFonts w:ascii="Arial" w:hAnsi="Arial" w:cs="Arial"/>
          <w:color w:val="000000"/>
          <w:sz w:val="24"/>
          <w:szCs w:val="24"/>
          <w:shd w:val="clear" w:color="auto" w:fill="ffffff"/>
        </w:rPr>
        <w:fldChar w:fldCharType="separate"/>
      </w:r>
      <w:r>
        <w:rPr>
          <w:rFonts w:hint="eastAsia" w:ascii="宋体" w:cs="Arial"/>
          <w:color w:val="000000"/>
          <w:sz w:val="24"/>
          <w:szCs w:val="24"/>
          <w:shd w:val="clear" w:color="auto" w:fill="ffffff"/>
        </w:rPr>
        <w:t xml:space="preserve">④</w:t>
      </w:r>
      <w:r>
        <w:rPr>
          <w:rFonts w:ascii="Arial" w:hAnsi="Arial" w:cs="Arial"/>
          <w:color w:val="000000"/>
          <w:sz w:val="24"/>
          <w:szCs w:val="24"/>
          <w:shd w:val="clear" w:color="auto" w:fill="ffffff"/>
        </w:rPr>
        <w:fldChar w:fldCharType="end"/>
      </w:r>
      <w:r>
        <w:rPr>
          <w:rFonts w:ascii="Arial" w:hAnsi="Arial" w:cs="Arial"/>
          <w:color w:val="000000"/>
          <w:sz w:val="24"/>
          <w:szCs w:val="24"/>
          <w:shd w:val="clear" w:color="auto" w:fill="ffffff"/>
        </w:rPr>
        <w:t xml:space="preserve">最低成本法：是一种指对效益确定却不易计量的多个同类对象的实施成本进行比较，评价绩效目标的实现程度的评价方法。</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tabs>
          <w:tab w:val="left" w:leader="none" w:pos="0"/>
        </w:tabs>
        <w:spacing w:line="500" w:lineRule="exact"/>
        <w:ind w:firstLine="480"/>
        <w:jc w:val="left"/>
        <w:rPr>
          <w:rFonts w:ascii="Arial" w:hAnsi="Arial" w:cs="Arial"/>
          <w:color w:val="000000"/>
          <w:sz w:val="24"/>
          <w:szCs w:val="24"/>
          <w:shd w:val="clear" w:color="auto" w:fill="ffffff"/>
        </w:rPr>
      </w:pPr>
      <w:r>
        <w:rPr>
          <w:rFonts w:ascii="Arial" w:hAnsi="Arial" w:cs="Arial"/>
          <w:color w:val="000000"/>
          <w:sz w:val="24"/>
          <w:szCs w:val="24"/>
          <w:shd w:val="clear" w:color="auto" w:fill="ffffff"/>
        </w:rPr>
        <w:fldChar w:fldCharType="begin"/>
      </w:r>
      <w:r>
        <w:rPr>
          <w:rFonts w:ascii="Arial" w:hAnsi="Arial" w:cs="Arial"/>
          <w:color w:val="000000"/>
          <w:sz w:val="24"/>
          <w:szCs w:val="24"/>
          <w:shd w:val="clear" w:color="auto" w:fill="ffffff"/>
        </w:rPr>
        <w:instrText xml:space="preserve"> = 5 \* GB3 </w:instrText>
      </w:r>
      <w:r>
        <w:rPr>
          <w:rFonts w:ascii="Arial" w:hAnsi="Arial" w:cs="Arial"/>
          <w:color w:val="000000"/>
          <w:sz w:val="24"/>
          <w:szCs w:val="24"/>
          <w:shd w:val="clear" w:color="auto" w:fill="ffffff"/>
        </w:rPr>
        <w:fldChar w:fldCharType="separate"/>
      </w:r>
      <w:r>
        <w:rPr>
          <w:rFonts w:hint="eastAsia" w:ascii="宋体" w:cs="Arial"/>
          <w:color w:val="000000"/>
          <w:sz w:val="24"/>
          <w:szCs w:val="24"/>
          <w:shd w:val="clear" w:color="auto" w:fill="ffffff"/>
        </w:rPr>
        <w:t xml:space="preserve">⑤</w:t>
      </w:r>
      <w:r>
        <w:rPr>
          <w:rFonts w:ascii="Arial" w:hAnsi="Arial" w:cs="Arial"/>
          <w:color w:val="000000"/>
          <w:sz w:val="24"/>
          <w:szCs w:val="24"/>
          <w:shd w:val="clear" w:color="auto" w:fill="ffffff"/>
        </w:rPr>
        <w:fldChar w:fldCharType="end"/>
      </w:r>
      <w:r>
        <w:rPr>
          <w:rFonts w:ascii="Arial" w:hAnsi="Arial" w:cs="Arial"/>
          <w:color w:val="000000"/>
          <w:sz w:val="24"/>
          <w:szCs w:val="24"/>
          <w:shd w:val="clear" w:color="auto" w:fill="ffffff"/>
        </w:rPr>
        <w:t xml:space="preserve">专家（公众）评议法：指通过专家评估、公众问卷及抽样调查等对财政支出效果进行评判，评价绩效目标的实现程度的一种评价方法。</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tabs>
          <w:tab w:val="left" w:leader="none" w:pos="0"/>
        </w:tabs>
        <w:spacing w:line="500" w:lineRule="exact"/>
        <w:ind w:firstLine="480"/>
        <w:jc w:val="left"/>
        <w:rPr>
          <w:rFonts w:ascii="Arial" w:hAnsi="Arial" w:cs="Arial"/>
          <w:color w:val="000000"/>
          <w:sz w:val="24"/>
          <w:szCs w:val="24"/>
          <w:shd w:val="clear" w:color="auto" w:fill="ffffff"/>
        </w:rPr>
      </w:pPr>
      <w:r>
        <w:rPr>
          <w:rFonts w:ascii="Arial" w:hAnsi="Arial" w:cs="Arial"/>
          <w:color w:val="000000"/>
          <w:sz w:val="24"/>
          <w:szCs w:val="24"/>
          <w:shd w:val="clear" w:color="auto" w:fill="ffffff"/>
        </w:rPr>
        <w:fldChar w:fldCharType="begin"/>
      </w:r>
      <w:r>
        <w:rPr>
          <w:rFonts w:ascii="Arial" w:hAnsi="Arial" w:cs="Arial"/>
          <w:color w:val="000000"/>
          <w:sz w:val="24"/>
          <w:szCs w:val="24"/>
          <w:shd w:val="clear" w:color="auto" w:fill="ffffff"/>
        </w:rPr>
        <w:instrText xml:space="preserve"> = 6 \* GB3 </w:instrText>
      </w:r>
      <w:r>
        <w:rPr>
          <w:rFonts w:ascii="Arial" w:hAnsi="Arial" w:cs="Arial"/>
          <w:color w:val="000000"/>
          <w:sz w:val="24"/>
          <w:szCs w:val="24"/>
          <w:shd w:val="clear" w:color="auto" w:fill="ffffff"/>
        </w:rPr>
        <w:fldChar w:fldCharType="separate"/>
      </w:r>
      <w:r>
        <w:rPr>
          <w:rFonts w:hint="eastAsia" w:ascii="宋体" w:cs="Arial"/>
          <w:color w:val="000000"/>
          <w:sz w:val="24"/>
          <w:szCs w:val="24"/>
          <w:shd w:val="clear" w:color="auto" w:fill="ffffff"/>
        </w:rPr>
        <w:t xml:space="preserve">⑥</w:t>
      </w:r>
      <w:r>
        <w:rPr>
          <w:rFonts w:ascii="Arial" w:hAnsi="Arial" w:cs="Arial"/>
          <w:color w:val="000000"/>
          <w:sz w:val="24"/>
          <w:szCs w:val="24"/>
          <w:shd w:val="clear" w:color="auto" w:fill="ffffff"/>
        </w:rPr>
        <w:fldChar w:fldCharType="end"/>
      </w:r>
      <w:r>
        <w:rPr>
          <w:rFonts w:ascii="Arial" w:hAnsi="Arial" w:cs="Arial"/>
          <w:color w:val="000000"/>
          <w:sz w:val="24"/>
          <w:szCs w:val="24"/>
          <w:shd w:val="clear" w:color="auto" w:fill="ffffff"/>
        </w:rPr>
        <w:t xml:space="preserve">其他适宜的评价方法。</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tabs>
          <w:tab w:val="left" w:leader="none" w:pos="0"/>
        </w:tabs>
        <w:spacing w:line="500" w:lineRule="exact"/>
        <w:ind w:firstLine="482"/>
        <w:jc w:val="left"/>
        <w:rPr>
          <w:rFonts w:ascii="Arial" w:hAnsi="Arial" w:cs="Arial"/>
          <w:b/>
          <w:color w:val="000000"/>
          <w:sz w:val="24"/>
          <w:szCs w:val="24"/>
          <w:shd w:val="clear" w:color="auto" w:fill="ffffff"/>
        </w:rPr>
      </w:pPr>
      <w:r>
        <w:rPr>
          <w:rFonts w:ascii="Arial" w:hAnsi="Arial" w:cs="Arial"/>
          <w:b/>
          <w:color w:val="000000"/>
          <w:sz w:val="24"/>
          <w:szCs w:val="24"/>
          <w:shd w:val="clear" w:color="auto" w:fill="ffffff"/>
        </w:rPr>
        <w:t xml:space="preserve">（四）证据收集方法。</w:t>
      </w:r>
      <w:r>
        <w:rPr>
          <w:rFonts w:ascii="Arial" w:hAnsi="Arial" w:cs="Arial"/>
          <w:b/>
          <w:color w:val="000000"/>
          <w:sz w:val="24"/>
          <w:szCs w:val="24"/>
          <w:shd w:val="clear" w:color="auto" w:fill="ffffff"/>
        </w:rPr>
      </w:r>
      <w:r>
        <w:rPr>
          <w:rFonts w:ascii="Arial" w:hAnsi="Arial" w:cs="Arial"/>
          <w:b/>
          <w:color w:val="000000"/>
          <w:sz w:val="24"/>
          <w:szCs w:val="24"/>
          <w:shd w:val="clear" w:color="auto" w:fill="ffffff"/>
        </w:rPr>
      </w:r>
    </w:p>
    <w:p>
      <w:pPr>
        <w:pStyle w:val="856"/>
        <w:pBdr/>
        <w:tabs>
          <w:tab w:val="left" w:leader="none" w:pos="0"/>
        </w:tabs>
        <w:spacing w:line="500" w:lineRule="exact"/>
        <w:ind w:firstLine="480"/>
        <w:jc w:val="left"/>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本次绩效评价的采用的证据收集方法主要有案卷研究、资料收集、座谈会、问卷调查等，具体如下：</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2"/>
        <w:rPr>
          <w:rFonts w:ascii="Arial" w:hAnsi="Arial" w:cs="Arial"/>
          <w:b/>
          <w:color w:val="000000"/>
          <w:sz w:val="24"/>
          <w:szCs w:val="24"/>
          <w:shd w:val="clear" w:color="auto" w:fill="ffffff"/>
        </w:rPr>
      </w:pPr>
      <w:r>
        <w:rPr>
          <w:rFonts w:ascii="Arial" w:hAnsi="Arial" w:cs="Arial"/>
          <w:b/>
          <w:color w:val="000000"/>
          <w:sz w:val="24"/>
          <w:szCs w:val="24"/>
          <w:shd w:val="clear" w:color="auto" w:fill="ffffff"/>
        </w:rPr>
        <w:t xml:space="preserve">1、案卷研究</w:t>
      </w:r>
      <w:r>
        <w:rPr>
          <w:rFonts w:ascii="Arial" w:hAnsi="Arial" w:cs="Arial"/>
          <w:b/>
          <w:color w:val="000000"/>
          <w:sz w:val="24"/>
          <w:szCs w:val="24"/>
          <w:shd w:val="clear" w:color="auto" w:fill="ffffff"/>
        </w:rPr>
      </w:r>
      <w:r>
        <w:rPr>
          <w:rFonts w:ascii="Arial" w:hAnsi="Arial" w:cs="Arial"/>
          <w:b/>
          <w:color w:val="000000"/>
          <w:sz w:val="24"/>
          <w:szCs w:val="24"/>
          <w:shd w:val="clear" w:color="auto" w:fill="ffffff"/>
        </w:rPr>
      </w:r>
    </w:p>
    <w:p>
      <w:pPr>
        <w:pStyle w:val="856"/>
        <w:pBdr/>
        <w:spacing w:line="500" w:lineRule="exact"/>
        <w:ind w:firstLine="48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案卷研究是从现有的财政部、随州市颁发的绩效评价项目文件、随州市水利局2017年工作总结、2017年工作计划、工作要点、市管领导班子2017年度履职尽责目标任务及项目清单等同行业绩效评价相关资料进行案卷分析，全面了解绩效项目的情况。</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2"/>
        <w:rPr>
          <w:rFonts w:ascii="Arial" w:hAnsi="Arial" w:cs="Arial"/>
          <w:b/>
          <w:color w:val="000000"/>
          <w:sz w:val="24"/>
          <w:szCs w:val="24"/>
          <w:shd w:val="clear" w:color="auto" w:fill="ffffff"/>
        </w:rPr>
      </w:pPr>
      <w:r>
        <w:rPr>
          <w:rFonts w:ascii="Arial" w:hAnsi="Arial" w:cs="Arial"/>
          <w:b/>
          <w:color w:val="000000"/>
          <w:sz w:val="24"/>
          <w:szCs w:val="24"/>
          <w:shd w:val="clear" w:color="auto" w:fill="ffffff"/>
        </w:rPr>
        <w:t xml:space="preserve">2、资料收集与数据填报</w:t>
      </w:r>
      <w:r>
        <w:rPr>
          <w:rFonts w:ascii="Arial" w:hAnsi="Arial" w:cs="Arial"/>
          <w:b/>
          <w:color w:val="000000"/>
          <w:sz w:val="24"/>
          <w:szCs w:val="24"/>
          <w:shd w:val="clear" w:color="auto" w:fill="ffffff"/>
        </w:rPr>
      </w:r>
      <w:r>
        <w:rPr>
          <w:rFonts w:ascii="Arial" w:hAnsi="Arial" w:cs="Arial"/>
          <w:b/>
          <w:color w:val="000000"/>
          <w:sz w:val="24"/>
          <w:szCs w:val="24"/>
          <w:shd w:val="clear" w:color="auto" w:fill="ffffff"/>
        </w:rPr>
      </w:r>
    </w:p>
    <w:p>
      <w:pPr>
        <w:pStyle w:val="856"/>
        <w:pBdr/>
        <w:spacing w:line="500" w:lineRule="exact"/>
        <w:ind w:firstLine="480"/>
        <w:rPr/>
      </w:pPr>
      <w:r>
        <w:rPr>
          <w:rFonts w:ascii="Arial" w:hAnsi="Arial" w:cs="Arial"/>
          <w:color w:val="000000"/>
          <w:sz w:val="24"/>
          <w:szCs w:val="24"/>
          <w:shd w:val="clear" w:color="auto" w:fill="ffffff"/>
        </w:rPr>
        <w:t xml:space="preserve">根据案卷研究，列出资料清单，按照资料清单向随州市水利局收集相关资料。资料收集主要包括：一是部门基础资料，如三定方案、人员设置、职责文件等；二是部门有关的管理制度；三是相关财务会计资料，如预算安排、预算追加、资金管理、经费支出、资产管理等相关文件资料和财务凭证；四是部门重大项目资料；五是部门行政、信访满意度、表彰等资料。对数据进行梳理与汇总，填写相关表格。</w:t>
      </w:r>
      <w:r/>
    </w:p>
    <w:p>
      <w:pPr>
        <w:pStyle w:val="856"/>
        <w:pBdr/>
        <w:spacing w:line="500" w:lineRule="exact"/>
        <w:ind w:firstLine="482"/>
        <w:rPr>
          <w:rFonts w:ascii="Arial" w:hAnsi="Arial" w:cs="Arial"/>
          <w:b/>
          <w:color w:val="000000"/>
          <w:sz w:val="24"/>
          <w:szCs w:val="24"/>
          <w:shd w:val="clear" w:color="auto" w:fill="ffffff"/>
        </w:rPr>
      </w:pPr>
      <w:r>
        <w:rPr>
          <w:rFonts w:ascii="Arial" w:hAnsi="Arial" w:cs="Arial"/>
          <w:b/>
          <w:color w:val="000000"/>
          <w:sz w:val="24"/>
          <w:szCs w:val="24"/>
          <w:shd w:val="clear" w:color="auto" w:fill="ffffff"/>
        </w:rPr>
        <w:t xml:space="preserve">3、实地调研</w:t>
      </w:r>
      <w:r>
        <w:rPr>
          <w:rFonts w:ascii="Arial" w:hAnsi="Arial" w:cs="Arial"/>
          <w:b/>
          <w:color w:val="000000"/>
          <w:sz w:val="24"/>
          <w:szCs w:val="24"/>
          <w:shd w:val="clear" w:color="auto" w:fill="ffffff"/>
        </w:rPr>
      </w:r>
      <w:r>
        <w:rPr>
          <w:rFonts w:ascii="Arial" w:hAnsi="Arial" w:cs="Arial"/>
          <w:b/>
          <w:color w:val="000000"/>
          <w:sz w:val="24"/>
          <w:szCs w:val="24"/>
          <w:shd w:val="clear" w:color="auto" w:fill="ffffff"/>
        </w:rPr>
      </w:r>
    </w:p>
    <w:p>
      <w:pPr>
        <w:pStyle w:val="856"/>
        <w:pBdr/>
        <w:spacing w:line="500" w:lineRule="exact"/>
        <w:ind w:firstLine="312"/>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实地调研主要是指现场勘查方法，现场勘查是指通过询问、核对、勘查、检查等方法对随州市水利局部门整体支出材料和数据进行查阅，对重要评估证据和数据资料取得佐证材料。</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2"/>
        <w:rPr>
          <w:rFonts w:ascii="Arial" w:hAnsi="Arial" w:cs="Arial"/>
          <w:b/>
          <w:color w:val="000000"/>
          <w:sz w:val="24"/>
          <w:szCs w:val="24"/>
          <w:shd w:val="clear" w:color="auto" w:fill="ffffff"/>
        </w:rPr>
      </w:pPr>
      <w:r>
        <w:rPr>
          <w:rFonts w:ascii="Arial" w:hAnsi="Arial" w:cs="Arial"/>
          <w:b/>
          <w:color w:val="000000"/>
          <w:sz w:val="24"/>
          <w:szCs w:val="24"/>
          <w:shd w:val="clear" w:color="auto" w:fill="ffffff"/>
        </w:rPr>
        <w:t xml:space="preserve">4、座谈会</w:t>
      </w:r>
      <w:r>
        <w:rPr>
          <w:rFonts w:ascii="Arial" w:hAnsi="Arial" w:cs="Arial"/>
          <w:b/>
          <w:color w:val="000000"/>
          <w:sz w:val="24"/>
          <w:szCs w:val="24"/>
          <w:shd w:val="clear" w:color="auto" w:fill="ffffff"/>
        </w:rPr>
      </w:r>
      <w:r>
        <w:rPr>
          <w:rFonts w:ascii="Arial" w:hAnsi="Arial" w:cs="Arial"/>
          <w:b/>
          <w:color w:val="000000"/>
          <w:sz w:val="24"/>
          <w:szCs w:val="24"/>
          <w:shd w:val="clear" w:color="auto" w:fill="ffffff"/>
        </w:rPr>
      </w:r>
    </w:p>
    <w:p>
      <w:pPr>
        <w:pStyle w:val="856"/>
        <w:pBdr/>
        <w:spacing w:line="500" w:lineRule="exact"/>
        <w:ind w:firstLine="312"/>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项目工作组人员邀请随州市水利局相关领导、管理人员、工作人员参与座谈会，为绩效评价提供有效信息，直接或间接了解被评价单位的信息。座谈会结束后进行会议记录整理和分析，并将会议记录作为绩效评价报告的附件和工作底稿。</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2"/>
        <w:rPr>
          <w:rFonts w:ascii="Arial" w:hAnsi="Arial" w:cs="Arial"/>
          <w:b/>
          <w:color w:val="000000"/>
          <w:sz w:val="24"/>
          <w:szCs w:val="24"/>
          <w:shd w:val="clear" w:color="auto" w:fill="ffffff"/>
        </w:rPr>
      </w:pPr>
      <w:r>
        <w:rPr>
          <w:rFonts w:ascii="Arial" w:hAnsi="Arial" w:cs="Arial"/>
          <w:b/>
          <w:color w:val="000000"/>
          <w:sz w:val="24"/>
          <w:szCs w:val="24"/>
          <w:shd w:val="clear" w:color="auto" w:fill="ffffff"/>
        </w:rPr>
        <w:t xml:space="preserve">5、问卷调查</w:t>
      </w:r>
      <w:r>
        <w:rPr>
          <w:rFonts w:ascii="Arial" w:hAnsi="Arial" w:cs="Arial"/>
          <w:b/>
          <w:color w:val="000000"/>
          <w:sz w:val="24"/>
          <w:szCs w:val="24"/>
          <w:shd w:val="clear" w:color="auto" w:fill="ffffff"/>
        </w:rPr>
      </w:r>
      <w:r>
        <w:rPr>
          <w:rFonts w:ascii="Arial" w:hAnsi="Arial" w:cs="Arial"/>
          <w:b/>
          <w:color w:val="000000"/>
          <w:sz w:val="24"/>
          <w:szCs w:val="24"/>
          <w:shd w:val="clear" w:color="auto" w:fill="ffffff"/>
        </w:rPr>
      </w:r>
    </w:p>
    <w:p>
      <w:pPr>
        <w:pStyle w:val="856"/>
        <w:pBdr/>
        <w:spacing w:line="500" w:lineRule="exact"/>
        <w:ind/>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项目组工作人员通过对随州市水利局公众满意度进行调查，设计了相关问卷，项目组工作人员合理选择问卷发放的范围，对相关对象进行问卷访问，对问卷调查结果进行整理和分析，问卷调查格式及汇总信息可以作为绩效评价报告的附件和工作底稿。</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2"/>
        <w:rPr>
          <w:rFonts w:ascii="Arial" w:hAnsi="Arial" w:cs="Arial"/>
          <w:b/>
          <w:color w:val="000000"/>
          <w:sz w:val="24"/>
          <w:szCs w:val="24"/>
          <w:shd w:val="clear" w:color="auto" w:fill="ffffff"/>
        </w:rPr>
      </w:pPr>
      <w:r>
        <w:rPr>
          <w:rFonts w:ascii="Arial" w:hAnsi="Arial" w:cs="Arial"/>
          <w:b/>
          <w:color w:val="000000"/>
          <w:sz w:val="24"/>
          <w:szCs w:val="24"/>
          <w:shd w:val="clear" w:color="auto" w:fill="ffffff"/>
        </w:rPr>
        <w:t xml:space="preserve">（五）绩效评价实施过程</w:t>
      </w:r>
      <w:r>
        <w:rPr>
          <w:rFonts w:ascii="Arial" w:hAnsi="Arial" w:cs="Arial"/>
          <w:b/>
          <w:color w:val="000000"/>
          <w:sz w:val="24"/>
          <w:szCs w:val="24"/>
          <w:shd w:val="clear" w:color="auto" w:fill="ffffff"/>
        </w:rPr>
      </w:r>
      <w:r>
        <w:rPr>
          <w:rFonts w:ascii="Arial" w:hAnsi="Arial" w:cs="Arial"/>
          <w:b/>
          <w:color w:val="000000"/>
          <w:sz w:val="24"/>
          <w:szCs w:val="24"/>
          <w:shd w:val="clear" w:color="auto" w:fill="ffffff"/>
        </w:rPr>
      </w:r>
    </w:p>
    <w:p>
      <w:pPr>
        <w:pStyle w:val="856"/>
        <w:pBdr/>
        <w:spacing w:line="500" w:lineRule="exact"/>
        <w:ind w:firstLine="482"/>
        <w:rPr>
          <w:rFonts w:ascii="Arial" w:hAnsi="Arial" w:cs="Arial"/>
          <w:b/>
          <w:color w:val="000000"/>
          <w:sz w:val="24"/>
          <w:szCs w:val="24"/>
          <w:shd w:val="clear" w:color="auto" w:fill="ffffff"/>
        </w:rPr>
      </w:pPr>
      <w:r>
        <w:rPr>
          <w:rFonts w:ascii="Arial" w:hAnsi="Arial" w:cs="Arial"/>
          <w:b/>
          <w:color w:val="000000"/>
          <w:sz w:val="24"/>
          <w:szCs w:val="24"/>
          <w:shd w:val="clear" w:color="auto" w:fill="ffffff"/>
        </w:rPr>
        <w:t xml:space="preserve">1、前期准备</w:t>
      </w:r>
      <w:r>
        <w:rPr>
          <w:rFonts w:ascii="Arial" w:hAnsi="Arial" w:cs="Arial"/>
          <w:b/>
          <w:color w:val="000000"/>
          <w:sz w:val="24"/>
          <w:szCs w:val="24"/>
          <w:shd w:val="clear" w:color="auto" w:fill="ffffff"/>
        </w:rPr>
      </w:r>
      <w:r>
        <w:rPr>
          <w:rFonts w:ascii="Arial" w:hAnsi="Arial" w:cs="Arial"/>
          <w:b/>
          <w:color w:val="000000"/>
          <w:sz w:val="24"/>
          <w:szCs w:val="24"/>
          <w:shd w:val="clear" w:color="auto" w:fill="ffffff"/>
        </w:rPr>
      </w:r>
    </w:p>
    <w:p>
      <w:pPr>
        <w:pStyle w:val="856"/>
        <w:pBdr/>
        <w:spacing w:line="500" w:lineRule="exact"/>
        <w:ind w:firstLine="48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一是项目评价小组依据评价方案制定了项目评价任务清单和工作计划，明确了评价小组各成员的职责分工；二是评价小组指导项目实施单位开展绩效自评，收集自评报告、自评打分结果和自评依据证据材料。</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2"/>
        <w:rPr>
          <w:rFonts w:ascii="Arial" w:hAnsi="Arial" w:cs="Arial"/>
          <w:b/>
          <w:color w:val="000000"/>
          <w:sz w:val="24"/>
          <w:szCs w:val="24"/>
          <w:shd w:val="clear" w:color="auto" w:fill="ffffff"/>
        </w:rPr>
      </w:pPr>
      <w:r>
        <w:rPr>
          <w:rFonts w:ascii="Arial" w:hAnsi="Arial" w:cs="Arial"/>
          <w:b/>
          <w:color w:val="000000"/>
          <w:sz w:val="24"/>
          <w:szCs w:val="24"/>
          <w:shd w:val="clear" w:color="auto" w:fill="ffffff"/>
        </w:rPr>
        <w:t xml:space="preserve">2、组织实施</w:t>
      </w:r>
      <w:r>
        <w:rPr>
          <w:rFonts w:ascii="Arial" w:hAnsi="Arial" w:cs="Arial"/>
          <w:b/>
          <w:color w:val="000000"/>
          <w:sz w:val="24"/>
          <w:szCs w:val="24"/>
          <w:shd w:val="clear" w:color="auto" w:fill="ffffff"/>
        </w:rPr>
      </w:r>
      <w:r>
        <w:rPr>
          <w:rFonts w:ascii="Arial" w:hAnsi="Arial" w:cs="Arial"/>
          <w:b/>
          <w:color w:val="000000"/>
          <w:sz w:val="24"/>
          <w:szCs w:val="24"/>
          <w:shd w:val="clear" w:color="auto" w:fill="ffffff"/>
        </w:rPr>
      </w:r>
    </w:p>
    <w:p>
      <w:pPr>
        <w:pStyle w:val="856"/>
        <w:pBdr/>
        <w:spacing w:line="500" w:lineRule="exact"/>
        <w:ind w:firstLine="48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项目评价按以下两个步骤实施：</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（1）书面审核。评价小组对报送的自评报告及相关依据证据材料的完整性、及时性、有效性进行审核，初步了解项目实施情况。</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2）现场核查。评价小组结合自评报告，按照项目资金的使用去向进行现场核查。一是从投入管理、业务管理、财务管理及项目资金使用的经济性、效率性、有效性进行核查，采集相关依据证据材料，采用计划标准、历史标准等评价标准，运用比较法、成本效益分析法等评价方法，进行评价分析，并完成评价工作底稿；二是设计访谈提纲，组织开展现场访谈并进行相关分析，作出调查结论。</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3）评价分析和撰写评价报告。一是整理书面审核和现场核查情况，对照绩效评价指标及评分细则进行评价打分，并按确定的权重配比通过加权平均法确定绩效评价初步结果；二是根据初步评价结果在综合分析的基础上拟定绩效评价报告初稿，分别提交市财政局、随州市水利局及其相关直属单位征求意见。评价小组根据各方书面反馈意见对报告修改完善后，形成绩效评价报告报市财政局。</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2"/>
        <w:rPr>
          <w:rFonts w:ascii="Arial" w:hAnsi="Arial" w:cs="Arial"/>
          <w:b/>
          <w:color w:val="000000"/>
          <w:sz w:val="24"/>
          <w:szCs w:val="24"/>
          <w:shd w:val="clear" w:color="auto" w:fill="ffffff"/>
        </w:rPr>
      </w:pPr>
      <w:r>
        <w:rPr>
          <w:rFonts w:ascii="Arial" w:hAnsi="Arial" w:cs="Arial"/>
          <w:b/>
          <w:color w:val="000000"/>
          <w:sz w:val="24"/>
          <w:szCs w:val="24"/>
          <w:shd w:val="clear" w:color="auto" w:fill="ffffff"/>
        </w:rPr>
        <w:t xml:space="preserve">（六）本次绩效评价的局限性</w:t>
      </w:r>
      <w:r>
        <w:rPr>
          <w:rFonts w:ascii="Arial" w:hAnsi="Arial" w:cs="Arial"/>
          <w:b/>
          <w:color w:val="000000"/>
          <w:sz w:val="24"/>
          <w:szCs w:val="24"/>
          <w:shd w:val="clear" w:color="auto" w:fill="ffffff"/>
        </w:rPr>
      </w:r>
      <w:r>
        <w:rPr>
          <w:rFonts w:ascii="Arial" w:hAnsi="Arial" w:cs="Arial"/>
          <w:b/>
          <w:color w:val="000000"/>
          <w:sz w:val="24"/>
          <w:szCs w:val="24"/>
          <w:shd w:val="clear" w:color="auto" w:fill="ffffff"/>
        </w:rPr>
      </w:r>
    </w:p>
    <w:p>
      <w:pPr>
        <w:pStyle w:val="856"/>
        <w:pBdr/>
        <w:spacing w:line="500" w:lineRule="exact"/>
        <w:ind w:firstLine="48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鉴于绩效评价项目的特点，绩效评价的局限性主要有以下几个方面：  </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1、绩效评价是一项综合性工作，涉及财务管理、经济学、社会学、工程造价等多个专业领域，绩效评价报告的数据来源方式多种多样，有案卷研究、实地调研、座谈会、问卷调查等，渠道不同，获取数据的真实性和完整性也会有所不同，因核查内容不全面和评价人员能力有限，评价报告可能存在一定的局限性。</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2、此次项目评价的可靠性基于相关部门和单位提供资料的全面性和准确性，评价工作组尽可能地收集更为全面、有效、准确的文件和数据，但由于受客观因素的限制，只能在相关部门和单位提供的现有资料的前提下，结合应有的职业判断做出尽可能可靠的评价结论。</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65"/>
        <w:pBdr/>
        <w:shd w:val="clear" w:color="auto" w:fill="ffffff"/>
        <w:spacing w:after="0" w:afterAutospacing="0" w:before="0" w:beforeAutospacing="0" w:line="500" w:lineRule="exact"/>
        <w:ind w:firstLine="463"/>
        <w:rPr>
          <w:rFonts w:ascii="Arial" w:hAnsi="Arial" w:cs="Arial"/>
          <w:color w:val="000000"/>
          <w:shd w:val="clear" w:color="auto" w:fill="ffffff"/>
        </w:rPr>
      </w:pPr>
      <w:r>
        <w:rPr>
          <w:rFonts w:ascii="Arial" w:hAnsi="Arial" w:cs="Arial"/>
          <w:color w:val="000000"/>
          <w:shd w:val="clear" w:color="auto" w:fill="ffffff"/>
        </w:rPr>
        <w:t xml:space="preserve">3、对社会公众满意调查采取随机抽查访问，而社会信息的不对等性，可能导致评价结果出现差异。如发放调查问卷时，面对社会公众，而社会公众对单位情况不了解，导致调查欠全面，具有一定的局限性。</w:t>
      </w:r>
      <w:r>
        <w:rPr>
          <w:rFonts w:ascii="Arial" w:hAnsi="Arial" w:cs="Arial"/>
          <w:color w:val="000000"/>
          <w:shd w:val="clear" w:color="auto" w:fill="ffffff"/>
        </w:rPr>
      </w:r>
      <w:r>
        <w:rPr>
          <w:rFonts w:ascii="Arial" w:hAnsi="Arial" w:cs="Arial"/>
          <w:color w:val="000000"/>
          <w:shd w:val="clear" w:color="auto" w:fill="ffffff"/>
        </w:rPr>
      </w:r>
    </w:p>
    <w:p>
      <w:pPr>
        <w:pStyle w:val="865"/>
        <w:pBdr/>
        <w:shd w:val="clear" w:color="auto" w:fill="ffffff"/>
        <w:spacing w:after="0" w:afterAutospacing="0" w:before="0" w:beforeAutospacing="0" w:line="500" w:lineRule="exact"/>
        <w:ind w:firstLine="482"/>
        <w:rPr>
          <w:rFonts w:ascii="Arial" w:hAnsi="Arial" w:cs="Arial"/>
          <w:b/>
          <w:color w:val="000000"/>
          <w:shd w:val="clear" w:color="auto" w:fill="ffffff"/>
        </w:rPr>
      </w:pPr>
      <w:r>
        <w:rPr>
          <w:rFonts w:ascii="Arial" w:hAnsi="Arial" w:cs="Arial"/>
          <w:b/>
          <w:color w:val="000000"/>
          <w:shd w:val="clear" w:color="auto" w:fill="ffffff"/>
        </w:rPr>
        <w:t xml:space="preserve">四、绩效分析及评价结论</w:t>
      </w:r>
      <w:r>
        <w:rPr>
          <w:rFonts w:ascii="Arial" w:hAnsi="Arial" w:cs="Arial"/>
          <w:b/>
          <w:color w:val="000000"/>
          <w:shd w:val="clear" w:color="auto" w:fill="ffffff"/>
        </w:rPr>
      </w:r>
      <w:r>
        <w:rPr>
          <w:rFonts w:ascii="Arial" w:hAnsi="Arial" w:cs="Arial"/>
          <w:b/>
          <w:color w:val="000000"/>
          <w:shd w:val="clear" w:color="auto" w:fill="ffffff"/>
        </w:rPr>
      </w:r>
    </w:p>
    <w:p>
      <w:pPr>
        <w:pStyle w:val="865"/>
        <w:pBdr/>
        <w:shd w:val="clear" w:color="auto" w:fill="ffffff"/>
        <w:spacing w:after="0" w:afterAutospacing="0" w:before="0" w:beforeAutospacing="0" w:line="500" w:lineRule="exact"/>
        <w:ind w:firstLine="463"/>
        <w:rPr>
          <w:rFonts w:ascii="Arial" w:hAnsi="Arial" w:cs="Arial"/>
          <w:b/>
        </w:rPr>
      </w:pPr>
      <w:r>
        <w:rPr>
          <w:rFonts w:ascii="Arial" w:hAnsi="Arial" w:cs="Arial"/>
          <w:b/>
        </w:rPr>
        <w:t xml:space="preserve">（一）绩效分析</w:t>
      </w:r>
      <w:r>
        <w:rPr>
          <w:rFonts w:ascii="Arial" w:hAnsi="Arial" w:cs="Arial"/>
          <w:b/>
        </w:rPr>
      </w:r>
      <w:r>
        <w:rPr>
          <w:rFonts w:ascii="Arial" w:hAnsi="Arial" w:cs="Arial"/>
          <w:b/>
        </w:rPr>
      </w:r>
    </w:p>
    <w:p>
      <w:pPr>
        <w:pStyle w:val="865"/>
        <w:pBdr/>
        <w:shd w:val="clear" w:color="auto" w:fill="ffffff"/>
        <w:spacing w:after="0" w:afterAutospacing="0" w:before="0" w:beforeAutospacing="0" w:line="500" w:lineRule="exact"/>
        <w:ind w:firstLine="482"/>
        <w:rPr>
          <w:rFonts w:ascii="Arial" w:hAnsi="Arial" w:cs="Arial"/>
          <w:b/>
        </w:rPr>
      </w:pPr>
      <w:r>
        <w:rPr>
          <w:rFonts w:ascii="Arial" w:hAnsi="Arial" w:cs="Arial"/>
          <w:b/>
        </w:rPr>
        <w:t xml:space="preserve">1、投入</w:t>
      </w:r>
      <w:r>
        <w:rPr>
          <w:rFonts w:ascii="Arial" w:hAnsi="Arial" w:cs="Arial"/>
          <w:b/>
        </w:rPr>
      </w:r>
      <w:r>
        <w:rPr>
          <w:rFonts w:ascii="Arial" w:hAnsi="Arial" w:cs="Arial"/>
          <w:b/>
        </w:rPr>
      </w:r>
    </w:p>
    <w:p>
      <w:pPr>
        <w:pStyle w:val="856"/>
        <w:pBdr/>
        <w:spacing w:line="500" w:lineRule="exact"/>
        <w:ind w:firstLine="48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根据评价原则，项目投入指标综合分值15分，评价得分为1</w:t>
      </w:r>
      <w:r>
        <w:rPr>
          <w:rFonts w:hint="eastAsia" w:ascii="Arial" w:hAnsi="Arial" w:cs="Arial"/>
          <w:color w:val="000000"/>
          <w:sz w:val="24"/>
          <w:szCs w:val="24"/>
          <w:shd w:val="clear" w:color="auto" w:fill="ffffff"/>
        </w:rPr>
        <w:t xml:space="preserve">5</w:t>
      </w:r>
      <w:r>
        <w:rPr>
          <w:rFonts w:ascii="Arial" w:hAnsi="Arial" w:cs="Arial"/>
          <w:color w:val="000000"/>
          <w:sz w:val="24"/>
          <w:szCs w:val="24"/>
          <w:shd w:val="clear" w:color="auto" w:fill="ffffff"/>
        </w:rPr>
        <w:t xml:space="preserve">分。</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65"/>
        <w:pBdr/>
        <w:shd w:val="clear" w:color="auto" w:fill="ffffff"/>
        <w:spacing w:after="0" w:afterAutospacing="0" w:before="0" w:beforeAutospacing="0"/>
        <w:ind w:firstLine="120"/>
        <w:rPr>
          <w:rFonts w:ascii="Arial" w:hAnsi="Arial" w:cs="Arial"/>
        </w:rPr>
      </w:pPr>
      <w:r>
        <w:rPr>
          <w:rFonts w:ascii="Arial" w:hAnsi="Arial" w:cs="Arial"/>
        </w:rPr>
        <w:object w:dxaOrig="0" w:dyaOrig="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36.02pt;height:215.95pt;mso-wrap-distance-left:0.00pt;mso-wrap-distance-top:0.00pt;mso-wrap-distance-right:0.00pt;mso-wrap-distance-bottom:0.00pt;z-index:1;" filled="f" stroked="f">
            <v:imagedata r:id="rId9" o:title=""/>
            <o:lock v:ext="edit" rotation="t"/>
          </v:shape>
          <o:OLEObject DrawAspect="Content" r:id="rId10" ObjectID="_1525040" ProgID="Word.Document" ShapeID="_x0000_i0" Type="Embed"/>
        </w:object>
      </w:r>
      <w:r>
        <w:rPr>
          <w:rFonts w:ascii="Arial" w:hAnsi="Arial" w:cs="Arial"/>
        </w:rPr>
      </w:r>
      <w:r>
        <w:rPr>
          <w:rFonts w:ascii="Arial" w:hAnsi="Arial" w:cs="Arial"/>
        </w:rPr>
      </w:r>
    </w:p>
    <w:tbl>
      <w:tblPr>
        <w:tblpPr w:horzAnchor="margin" w:tblpXSpec="left" w:vertAnchor="text" w:tblpY="113" w:leftFromText="180" w:topFromText="0" w:rightFromText="180" w:bottomFromText="0"/>
        <w:tblW w:w="932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left w:w="108" w:type="dxa"/>
          <w:top w:w="0" w:type="dxa"/>
          <w:right w:w="108" w:type="dxa"/>
          <w:bottom w:w="0" w:type="dxa"/>
        </w:tblCellMar>
        <w:tblLook w:val="04A0" w:firstRow="1" w:lastRow="0" w:firstColumn="1" w:lastColumn="0" w:noHBand="0" w:noVBand="1"/>
      </w:tblPr>
      <w:tblGrid>
        <w:gridCol w:w="582"/>
        <w:gridCol w:w="426"/>
        <w:gridCol w:w="708"/>
        <w:gridCol w:w="426"/>
        <w:gridCol w:w="801"/>
        <w:gridCol w:w="426"/>
        <w:gridCol w:w="2126"/>
        <w:gridCol w:w="3402"/>
        <w:gridCol w:w="425"/>
      </w:tblGrid>
      <w:tr>
        <w:trPr>
          <w:trHeight w:val="312"/>
        </w:trPr>
        <w:tc>
          <w:tcPr>
            <w:tcBorders/>
            <w:tcW w:w="582" w:type="dxa"/>
            <w:vAlign w:val="center"/>
            <w:vMerge w:val="restart"/>
            <w:textDirection w:val="lrTb"/>
            <w:noWrap w:val="false"/>
          </w:tcPr>
          <w:p>
            <w:pPr>
              <w:pStyle w:val="856"/>
              <w:framePr w:hAnchor="margin" w:hSpace="180" w:vAnchor="text" w:wrap="around" w:y="113"/>
              <w:widowControl w:val="true"/>
              <w:pBdr/>
              <w:spacing/>
              <w:ind/>
              <w:jc w:val="center"/>
              <w:rPr>
                <w:rFonts w:ascii="Arial" w:hAnsi="Arial" w:cs="Arial"/>
                <w:color w:val="000000"/>
                <w:sz w:val="18"/>
                <w:szCs w:val="18"/>
              </w:rPr>
            </w:pPr>
            <w:r/>
            <w:bookmarkStart w:id="1" w:name="_Toc394181009"/>
            <w:r>
              <w:rPr>
                <w:rFonts w:ascii="Arial" w:hAnsi="Arial" w:cs="Arial"/>
                <w:color w:val="000000"/>
                <w:sz w:val="18"/>
                <w:szCs w:val="18"/>
              </w:rPr>
              <w:t xml:space="preserve">一级指标</w:t>
            </w:r>
            <w:r>
              <w:rPr>
                <w:rFonts w:ascii="Arial" w:hAnsi="Arial" w:cs="Arial"/>
                <w:color w:val="000000"/>
                <w:sz w:val="18"/>
                <w:szCs w:val="18"/>
              </w:rPr>
            </w:r>
            <w:r>
              <w:rPr>
                <w:rFonts w:ascii="Arial" w:hAnsi="Arial" w:cs="Arial"/>
                <w:color w:val="000000"/>
                <w:sz w:val="18"/>
                <w:szCs w:val="18"/>
              </w:rPr>
            </w:r>
          </w:p>
        </w:tc>
        <w:tc>
          <w:tcPr>
            <w:tcBorders/>
            <w:tcW w:w="426" w:type="dxa"/>
            <w:vAlign w:val="center"/>
            <w:vMerge w:val="restart"/>
            <w:textDirection w:val="lrTb"/>
            <w:noWrap w:val="false"/>
          </w:tcPr>
          <w:p>
            <w:pPr>
              <w:pStyle w:val="856"/>
              <w:framePr w:hAnchor="margin" w:hSpace="180" w:vAnchor="text" w:wrap="around" w:y="113"/>
              <w:widowControl w:val="true"/>
              <w:pBdr/>
              <w:spacing/>
              <w:ind/>
              <w:jc w:val="center"/>
              <w:rPr>
                <w:rFonts w:ascii="Arial" w:hAnsi="Arial" w:cs="Arial"/>
                <w:color w:val="000000"/>
                <w:sz w:val="18"/>
                <w:szCs w:val="18"/>
              </w:rPr>
            </w:pPr>
            <w:r>
              <w:rPr>
                <w:rFonts w:ascii="Arial" w:hAnsi="Arial" w:cs="Arial"/>
                <w:color w:val="000000"/>
                <w:sz w:val="18"/>
                <w:szCs w:val="18"/>
              </w:rPr>
              <w:t xml:space="preserve">分值</w:t>
            </w:r>
            <w:r>
              <w:rPr>
                <w:rFonts w:ascii="Arial" w:hAnsi="Arial" w:cs="Arial"/>
                <w:color w:val="000000"/>
                <w:sz w:val="18"/>
                <w:szCs w:val="18"/>
              </w:rPr>
            </w:r>
            <w:r>
              <w:rPr>
                <w:rFonts w:ascii="Arial" w:hAnsi="Arial" w:cs="Arial"/>
                <w:color w:val="000000"/>
                <w:sz w:val="18"/>
                <w:szCs w:val="18"/>
              </w:rPr>
            </w:r>
          </w:p>
        </w:tc>
        <w:tc>
          <w:tcPr>
            <w:tcBorders/>
            <w:tcW w:w="708" w:type="dxa"/>
            <w:vAlign w:val="center"/>
            <w:vMerge w:val="restart"/>
            <w:textDirection w:val="lrTb"/>
            <w:noWrap w:val="false"/>
          </w:tcPr>
          <w:p>
            <w:pPr>
              <w:pStyle w:val="856"/>
              <w:framePr w:hAnchor="margin" w:hSpace="180" w:vAnchor="text" w:wrap="around" w:y="113"/>
              <w:widowControl w:val="true"/>
              <w:pBdr/>
              <w:spacing/>
              <w:ind/>
              <w:jc w:val="center"/>
              <w:rPr>
                <w:rFonts w:ascii="Arial" w:hAnsi="Arial" w:cs="Arial"/>
                <w:color w:val="000000"/>
                <w:sz w:val="18"/>
                <w:szCs w:val="18"/>
              </w:rPr>
            </w:pPr>
            <w:r>
              <w:rPr>
                <w:rFonts w:ascii="Arial" w:hAnsi="Arial" w:cs="Arial"/>
                <w:color w:val="000000"/>
                <w:sz w:val="18"/>
                <w:szCs w:val="18"/>
              </w:rPr>
              <w:t xml:space="preserve">二级指标</w:t>
            </w:r>
            <w:r>
              <w:rPr>
                <w:rFonts w:ascii="Arial" w:hAnsi="Arial" w:cs="Arial"/>
                <w:color w:val="000000"/>
                <w:sz w:val="18"/>
                <w:szCs w:val="18"/>
              </w:rPr>
            </w:r>
            <w:r>
              <w:rPr>
                <w:rFonts w:ascii="Arial" w:hAnsi="Arial" w:cs="Arial"/>
                <w:color w:val="000000"/>
                <w:sz w:val="18"/>
                <w:szCs w:val="18"/>
              </w:rPr>
            </w:r>
          </w:p>
        </w:tc>
        <w:tc>
          <w:tcPr>
            <w:tcBorders/>
            <w:tcW w:w="426" w:type="dxa"/>
            <w:vAlign w:val="center"/>
            <w:vMerge w:val="restart"/>
            <w:textDirection w:val="lrTb"/>
            <w:noWrap w:val="false"/>
          </w:tcPr>
          <w:p>
            <w:pPr>
              <w:pStyle w:val="856"/>
              <w:framePr w:hAnchor="margin" w:hSpace="180" w:vAnchor="text" w:wrap="around" w:y="113"/>
              <w:widowControl w:val="true"/>
              <w:pBdr/>
              <w:spacing/>
              <w:ind/>
              <w:jc w:val="center"/>
              <w:rPr>
                <w:rFonts w:ascii="Arial" w:hAnsi="Arial" w:cs="Arial"/>
                <w:color w:val="000000"/>
                <w:sz w:val="18"/>
                <w:szCs w:val="18"/>
              </w:rPr>
            </w:pPr>
            <w:r>
              <w:rPr>
                <w:rFonts w:ascii="Arial" w:hAnsi="Arial" w:cs="Arial"/>
                <w:color w:val="000000"/>
                <w:sz w:val="18"/>
                <w:szCs w:val="18"/>
              </w:rPr>
              <w:t xml:space="preserve">分值</w:t>
            </w:r>
            <w:r>
              <w:rPr>
                <w:rFonts w:ascii="Arial" w:hAnsi="Arial" w:cs="Arial"/>
                <w:color w:val="000000"/>
                <w:sz w:val="18"/>
                <w:szCs w:val="18"/>
              </w:rPr>
            </w:r>
            <w:r>
              <w:rPr>
                <w:rFonts w:ascii="Arial" w:hAnsi="Arial" w:cs="Arial"/>
                <w:color w:val="000000"/>
                <w:sz w:val="18"/>
                <w:szCs w:val="18"/>
              </w:rPr>
            </w:r>
          </w:p>
        </w:tc>
        <w:tc>
          <w:tcPr>
            <w:tcBorders/>
            <w:tcW w:w="801" w:type="dxa"/>
            <w:vAlign w:val="center"/>
            <w:vMerge w:val="restart"/>
            <w:textDirection w:val="lrTb"/>
            <w:noWrap w:val="false"/>
          </w:tcPr>
          <w:p>
            <w:pPr>
              <w:pStyle w:val="856"/>
              <w:framePr w:hAnchor="margin" w:hSpace="180" w:vAnchor="text" w:wrap="around" w:y="113"/>
              <w:widowControl w:val="true"/>
              <w:pBdr/>
              <w:spacing/>
              <w:ind/>
              <w:jc w:val="center"/>
              <w:rPr>
                <w:rFonts w:ascii="Arial" w:hAnsi="Arial" w:cs="Arial"/>
                <w:color w:val="000000"/>
                <w:sz w:val="18"/>
                <w:szCs w:val="18"/>
              </w:rPr>
            </w:pPr>
            <w:r>
              <w:rPr>
                <w:rFonts w:ascii="Arial" w:hAnsi="Arial" w:cs="Arial"/>
                <w:color w:val="000000"/>
                <w:sz w:val="18"/>
                <w:szCs w:val="18"/>
              </w:rPr>
              <w:t xml:space="preserve">三级 指标</w:t>
            </w:r>
            <w:r>
              <w:rPr>
                <w:rFonts w:ascii="Arial" w:hAnsi="Arial" w:cs="Arial"/>
                <w:color w:val="000000"/>
                <w:sz w:val="18"/>
                <w:szCs w:val="18"/>
              </w:rPr>
            </w:r>
            <w:r>
              <w:rPr>
                <w:rFonts w:ascii="Arial" w:hAnsi="Arial" w:cs="Arial"/>
                <w:color w:val="000000"/>
                <w:sz w:val="18"/>
                <w:szCs w:val="18"/>
              </w:rPr>
            </w:r>
          </w:p>
        </w:tc>
        <w:tc>
          <w:tcPr>
            <w:tcBorders/>
            <w:tcW w:w="426" w:type="dxa"/>
            <w:vAlign w:val="center"/>
            <w:vMerge w:val="restart"/>
            <w:textDirection w:val="lrTb"/>
            <w:noWrap w:val="false"/>
          </w:tcPr>
          <w:p>
            <w:pPr>
              <w:pStyle w:val="856"/>
              <w:framePr w:hAnchor="margin" w:hSpace="180" w:vAnchor="text" w:wrap="around" w:y="113"/>
              <w:widowControl w:val="true"/>
              <w:pBdr/>
              <w:spacing/>
              <w:ind/>
              <w:jc w:val="center"/>
              <w:rPr>
                <w:rFonts w:ascii="Arial" w:hAnsi="Arial" w:cs="Arial"/>
                <w:color w:val="000000"/>
                <w:sz w:val="18"/>
                <w:szCs w:val="18"/>
              </w:rPr>
            </w:pPr>
            <w:r>
              <w:rPr>
                <w:rFonts w:ascii="Arial" w:hAnsi="Arial" w:cs="Arial"/>
                <w:color w:val="000000"/>
                <w:sz w:val="18"/>
                <w:szCs w:val="18"/>
              </w:rPr>
              <w:t xml:space="preserve">分值</w:t>
            </w:r>
            <w:r>
              <w:rPr>
                <w:rFonts w:ascii="Arial" w:hAnsi="Arial" w:cs="Arial"/>
                <w:color w:val="000000"/>
                <w:sz w:val="18"/>
                <w:szCs w:val="18"/>
              </w:rPr>
            </w:r>
            <w:r>
              <w:rPr>
                <w:rFonts w:ascii="Arial" w:hAnsi="Arial" w:cs="Arial"/>
                <w:color w:val="000000"/>
                <w:sz w:val="18"/>
                <w:szCs w:val="18"/>
              </w:rPr>
            </w:r>
          </w:p>
        </w:tc>
        <w:tc>
          <w:tcPr>
            <w:tcBorders/>
            <w:tcW w:w="2126" w:type="dxa"/>
            <w:vAlign w:val="center"/>
            <w:vMerge w:val="restart"/>
            <w:textDirection w:val="lrTb"/>
            <w:noWrap w:val="false"/>
          </w:tcPr>
          <w:p>
            <w:pPr>
              <w:pStyle w:val="856"/>
              <w:framePr w:hAnchor="margin" w:hSpace="180" w:vAnchor="text" w:wrap="around" w:y="113"/>
              <w:widowControl w:val="true"/>
              <w:pBdr/>
              <w:spacing/>
              <w:ind/>
              <w:jc w:val="center"/>
              <w:rPr>
                <w:rFonts w:ascii="Arial" w:hAnsi="Arial" w:cs="Arial"/>
                <w:color w:val="000000"/>
                <w:sz w:val="18"/>
                <w:szCs w:val="18"/>
              </w:rPr>
            </w:pPr>
            <w:r>
              <w:rPr>
                <w:rFonts w:ascii="Arial" w:hAnsi="Arial" w:cs="Arial"/>
                <w:color w:val="000000"/>
                <w:sz w:val="18"/>
                <w:szCs w:val="18"/>
              </w:rPr>
              <w:t xml:space="preserve">评价标准</w:t>
            </w:r>
            <w:r>
              <w:rPr>
                <w:rFonts w:ascii="Arial" w:hAnsi="Arial" w:cs="Arial"/>
                <w:color w:val="000000"/>
                <w:sz w:val="18"/>
                <w:szCs w:val="18"/>
              </w:rPr>
            </w:r>
            <w:r>
              <w:rPr>
                <w:rFonts w:ascii="Arial" w:hAnsi="Arial" w:cs="Arial"/>
                <w:color w:val="000000"/>
                <w:sz w:val="18"/>
                <w:szCs w:val="18"/>
              </w:rPr>
            </w:r>
          </w:p>
        </w:tc>
        <w:tc>
          <w:tcPr>
            <w:tcBorders/>
            <w:tcW w:w="3402" w:type="dxa"/>
            <w:vAlign w:val="center"/>
            <w:vMerge w:val="restart"/>
            <w:textDirection w:val="lrTb"/>
            <w:noWrap w:val="false"/>
          </w:tcPr>
          <w:p>
            <w:pPr>
              <w:pStyle w:val="856"/>
              <w:framePr w:hAnchor="margin" w:hSpace="180" w:vAnchor="text" w:wrap="around" w:y="113"/>
              <w:widowControl w:val="true"/>
              <w:pBdr/>
              <w:spacing/>
              <w:ind/>
              <w:jc w:val="center"/>
              <w:rPr>
                <w:rFonts w:ascii="Arial" w:hAnsi="Arial" w:cs="Arial"/>
                <w:color w:val="000000"/>
                <w:sz w:val="18"/>
                <w:szCs w:val="18"/>
              </w:rPr>
            </w:pPr>
            <w:r>
              <w:rPr>
                <w:rFonts w:ascii="Arial" w:hAnsi="Arial" w:cs="Arial"/>
                <w:color w:val="000000"/>
                <w:sz w:val="18"/>
                <w:szCs w:val="18"/>
              </w:rPr>
              <w:t xml:space="preserve">指标说明</w:t>
            </w:r>
            <w:r>
              <w:rPr>
                <w:rFonts w:ascii="Arial" w:hAnsi="Arial" w:cs="Arial"/>
                <w:color w:val="000000"/>
                <w:sz w:val="18"/>
                <w:szCs w:val="18"/>
              </w:rPr>
            </w:r>
            <w:r>
              <w:rPr>
                <w:rFonts w:ascii="Arial" w:hAnsi="Arial" w:cs="Arial"/>
                <w:color w:val="000000"/>
                <w:sz w:val="18"/>
                <w:szCs w:val="18"/>
              </w:rPr>
            </w:r>
          </w:p>
        </w:tc>
        <w:tc>
          <w:tcPr>
            <w:tcBorders/>
            <w:tcW w:w="425" w:type="dxa"/>
            <w:vAlign w:val="center"/>
            <w:vMerge w:val="restart"/>
            <w:textDirection w:val="lrTb"/>
            <w:noWrap w:val="false"/>
          </w:tcPr>
          <w:p>
            <w:pPr>
              <w:pStyle w:val="856"/>
              <w:framePr w:hAnchor="margin" w:hSpace="180" w:vAnchor="text" w:wrap="around" w:y="113"/>
              <w:widowControl w:val="true"/>
              <w:pBdr/>
              <w:spacing/>
              <w:ind/>
              <w:jc w:val="center"/>
              <w:rPr>
                <w:rFonts w:ascii="Arial" w:hAnsi="Arial" w:cs="Arial"/>
                <w:color w:val="000000"/>
                <w:sz w:val="18"/>
                <w:szCs w:val="18"/>
              </w:rPr>
            </w:pPr>
            <w:r>
              <w:rPr>
                <w:rFonts w:ascii="Arial" w:hAnsi="Arial" w:cs="Arial"/>
                <w:color w:val="000000"/>
                <w:sz w:val="18"/>
                <w:szCs w:val="18"/>
              </w:rPr>
              <w:t xml:space="preserve">得分</w:t>
            </w:r>
            <w:r>
              <w:rPr>
                <w:rFonts w:ascii="Arial" w:hAnsi="Arial" w:cs="Arial"/>
                <w:color w:val="000000"/>
                <w:sz w:val="18"/>
                <w:szCs w:val="18"/>
              </w:rPr>
            </w:r>
            <w:r>
              <w:rPr>
                <w:rFonts w:ascii="Arial" w:hAnsi="Arial" w:cs="Arial"/>
                <w:color w:val="000000"/>
                <w:sz w:val="18"/>
                <w:szCs w:val="18"/>
              </w:rPr>
            </w:r>
          </w:p>
        </w:tc>
      </w:tr>
      <w:tr>
        <w:trPr>
          <w:trHeight w:val="1568"/>
        </w:trPr>
        <w:tc>
          <w:tcPr>
            <w:tcBorders/>
            <w:tcW w:w="582" w:type="dxa"/>
            <w:vAlign w:val="center"/>
            <w:vMerge w:val="restart"/>
            <w:textDirection w:val="lrTb"/>
            <w:noWrap w:val="false"/>
          </w:tcPr>
          <w:p>
            <w:pPr>
              <w:pStyle w:val="856"/>
              <w:framePr w:hAnchor="margin" w:hSpace="180" w:vAnchor="text" w:wrap="around" w:y="113"/>
              <w:widowControl w:val="true"/>
              <w:pBdr/>
              <w:spacing/>
              <w:ind/>
              <w:jc w:val="center"/>
              <w:rPr>
                <w:rFonts w:ascii="Arial" w:hAnsi="Arial" w:cs="Arial"/>
                <w:color w:val="000000"/>
                <w:sz w:val="18"/>
                <w:szCs w:val="18"/>
              </w:rPr>
            </w:pPr>
            <w:r>
              <w:rPr>
                <w:rFonts w:ascii="Arial" w:hAnsi="Arial" w:cs="Arial"/>
                <w:color w:val="000000"/>
                <w:sz w:val="18"/>
                <w:szCs w:val="18"/>
              </w:rPr>
              <w:t xml:space="preserve">投入</w:t>
            </w:r>
            <w:r>
              <w:rPr>
                <w:rFonts w:ascii="Arial" w:hAnsi="Arial" w:cs="Arial"/>
                <w:color w:val="000000"/>
                <w:sz w:val="18"/>
                <w:szCs w:val="18"/>
              </w:rPr>
            </w:r>
            <w:r>
              <w:rPr>
                <w:rFonts w:ascii="Arial" w:hAnsi="Arial" w:cs="Arial"/>
                <w:color w:val="000000"/>
                <w:sz w:val="18"/>
                <w:szCs w:val="18"/>
              </w:rPr>
            </w:r>
          </w:p>
        </w:tc>
        <w:tc>
          <w:tcPr>
            <w:tcBorders/>
            <w:tcW w:w="426" w:type="dxa"/>
            <w:vAlign w:val="center"/>
            <w:vMerge w:val="restart"/>
            <w:textDirection w:val="lrTb"/>
            <w:noWrap w:val="false"/>
          </w:tcPr>
          <w:p>
            <w:pPr>
              <w:pStyle w:val="856"/>
              <w:framePr w:hAnchor="margin" w:hSpace="180" w:vAnchor="text" w:wrap="around" w:y="113"/>
              <w:widowControl w:val="true"/>
              <w:pBdr/>
              <w:spacing/>
              <w:ind/>
              <w:jc w:val="center"/>
              <w:rPr>
                <w:rFonts w:ascii="Arial" w:hAnsi="Arial" w:cs="Arial"/>
                <w:color w:val="000000"/>
                <w:sz w:val="18"/>
                <w:szCs w:val="18"/>
              </w:rPr>
            </w:pPr>
            <w:r>
              <w:rPr>
                <w:rFonts w:ascii="Arial" w:hAnsi="Arial" w:cs="Arial"/>
                <w:color w:val="000000"/>
                <w:sz w:val="18"/>
                <w:szCs w:val="18"/>
              </w:rPr>
              <w:t xml:space="preserve">15</w:t>
            </w:r>
            <w:r>
              <w:rPr>
                <w:rFonts w:ascii="Arial" w:hAnsi="Arial" w:cs="Arial"/>
                <w:color w:val="000000"/>
                <w:sz w:val="18"/>
                <w:szCs w:val="18"/>
              </w:rPr>
            </w:r>
            <w:r>
              <w:rPr>
                <w:rFonts w:ascii="Arial" w:hAnsi="Arial" w:cs="Arial"/>
                <w:color w:val="000000"/>
                <w:sz w:val="18"/>
                <w:szCs w:val="18"/>
              </w:rPr>
            </w:r>
          </w:p>
        </w:tc>
        <w:tc>
          <w:tcPr>
            <w:tcBorders/>
            <w:tcW w:w="708" w:type="dxa"/>
            <w:vAlign w:val="center"/>
            <w:vMerge w:val="restart"/>
            <w:textDirection w:val="lrTb"/>
            <w:noWrap w:val="false"/>
          </w:tcPr>
          <w:p>
            <w:pPr>
              <w:pStyle w:val="856"/>
              <w:framePr w:hAnchor="margin" w:hSpace="180" w:vAnchor="text" w:wrap="around" w:y="113"/>
              <w:widowControl w:val="true"/>
              <w:pBdr/>
              <w:spacing/>
              <w:ind/>
              <w:jc w:val="center"/>
              <w:rPr>
                <w:rFonts w:ascii="Arial" w:hAnsi="Arial" w:cs="Arial"/>
                <w:color w:val="000000"/>
                <w:sz w:val="18"/>
                <w:szCs w:val="18"/>
              </w:rPr>
            </w:pPr>
            <w:r>
              <w:rPr>
                <w:rFonts w:ascii="Arial" w:hAnsi="Arial" w:cs="Arial"/>
                <w:color w:val="000000"/>
                <w:sz w:val="18"/>
                <w:szCs w:val="18"/>
              </w:rPr>
              <w:t xml:space="preserve">预算    配置</w:t>
            </w:r>
            <w:r>
              <w:rPr>
                <w:rFonts w:ascii="Arial" w:hAnsi="Arial" w:cs="Arial"/>
                <w:color w:val="000000"/>
                <w:sz w:val="18"/>
                <w:szCs w:val="18"/>
              </w:rPr>
            </w:r>
            <w:r>
              <w:rPr>
                <w:rFonts w:ascii="Arial" w:hAnsi="Arial" w:cs="Arial"/>
                <w:color w:val="000000"/>
                <w:sz w:val="18"/>
                <w:szCs w:val="18"/>
              </w:rPr>
            </w:r>
          </w:p>
        </w:tc>
        <w:tc>
          <w:tcPr>
            <w:tcBorders/>
            <w:tcW w:w="426" w:type="dxa"/>
            <w:vAlign w:val="center"/>
            <w:vMerge w:val="restart"/>
            <w:textDirection w:val="lrTb"/>
            <w:noWrap w:val="false"/>
          </w:tcPr>
          <w:p>
            <w:pPr>
              <w:pStyle w:val="856"/>
              <w:framePr w:hAnchor="margin" w:hSpace="180" w:vAnchor="text" w:wrap="around" w:y="113"/>
              <w:widowControl w:val="true"/>
              <w:pBdr/>
              <w:spacing/>
              <w:ind/>
              <w:jc w:val="center"/>
              <w:rPr>
                <w:rFonts w:ascii="Arial" w:hAnsi="Arial" w:cs="Arial"/>
                <w:color w:val="000000"/>
                <w:sz w:val="18"/>
                <w:szCs w:val="18"/>
              </w:rPr>
            </w:pPr>
            <w:r>
              <w:rPr>
                <w:rFonts w:ascii="Arial" w:hAnsi="Arial" w:cs="Arial"/>
                <w:color w:val="000000"/>
                <w:sz w:val="18"/>
                <w:szCs w:val="18"/>
              </w:rPr>
              <w:t xml:space="preserve">15</w:t>
            </w:r>
            <w:r>
              <w:rPr>
                <w:rFonts w:ascii="Arial" w:hAnsi="Arial" w:cs="Arial"/>
                <w:color w:val="000000"/>
                <w:sz w:val="18"/>
                <w:szCs w:val="18"/>
              </w:rPr>
            </w:r>
            <w:r>
              <w:rPr>
                <w:rFonts w:ascii="Arial" w:hAnsi="Arial" w:cs="Arial"/>
                <w:color w:val="000000"/>
                <w:sz w:val="18"/>
                <w:szCs w:val="18"/>
              </w:rPr>
            </w:r>
          </w:p>
        </w:tc>
        <w:tc>
          <w:tcPr>
            <w:tcBorders/>
            <w:tcW w:w="801" w:type="dxa"/>
            <w:vAlign w:val="center"/>
            <w:textDirection w:val="lrTb"/>
            <w:noWrap w:val="false"/>
          </w:tcPr>
          <w:p>
            <w:pPr>
              <w:pStyle w:val="856"/>
              <w:framePr w:hAnchor="margin" w:hSpace="180" w:vAnchor="text" w:wrap="around" w:y="113"/>
              <w:widowControl w:val="true"/>
              <w:pBdr/>
              <w:spacing/>
              <w:ind/>
              <w:jc w:val="center"/>
              <w:rPr>
                <w:rFonts w:ascii="Arial" w:hAnsi="Arial" w:cs="Arial"/>
                <w:color w:val="000000"/>
                <w:sz w:val="18"/>
                <w:szCs w:val="18"/>
              </w:rPr>
            </w:pPr>
            <w:r>
              <w:rPr>
                <w:rFonts w:ascii="Arial" w:hAnsi="Arial" w:cs="Arial"/>
                <w:color w:val="000000"/>
                <w:sz w:val="18"/>
                <w:szCs w:val="18"/>
              </w:rPr>
              <w:t xml:space="preserve">绩效目标合理性</w:t>
            </w:r>
            <w:r>
              <w:rPr>
                <w:rFonts w:ascii="Arial" w:hAnsi="Arial" w:cs="Arial"/>
                <w:color w:val="000000"/>
                <w:sz w:val="18"/>
                <w:szCs w:val="18"/>
              </w:rPr>
            </w:r>
            <w:r>
              <w:rPr>
                <w:rFonts w:ascii="Arial" w:hAnsi="Arial" w:cs="Arial"/>
                <w:color w:val="000000"/>
                <w:sz w:val="18"/>
                <w:szCs w:val="18"/>
              </w:rPr>
            </w:r>
          </w:p>
        </w:tc>
        <w:tc>
          <w:tcPr>
            <w:tcBorders/>
            <w:tcW w:w="426" w:type="dxa"/>
            <w:vAlign w:val="center"/>
            <w:textDirection w:val="lrTb"/>
            <w:noWrap w:val="false"/>
          </w:tcPr>
          <w:p>
            <w:pPr>
              <w:pStyle w:val="856"/>
              <w:framePr w:hAnchor="margin" w:hSpace="180" w:vAnchor="text" w:wrap="around" w:y="113"/>
              <w:widowControl w:val="true"/>
              <w:pBdr/>
              <w:spacing/>
              <w:ind/>
              <w:jc w:val="center"/>
              <w:rPr>
                <w:rFonts w:ascii="Arial" w:hAnsi="Arial" w:eastAsia="仿宋_GB2312" w:cs="Arial"/>
                <w:color w:val="000000"/>
                <w:sz w:val="18"/>
                <w:szCs w:val="18"/>
              </w:rPr>
            </w:pPr>
            <w:r>
              <w:rPr>
                <w:rFonts w:ascii="Arial" w:hAnsi="Arial" w:eastAsia="仿宋_GB2312" w:cs="Arial"/>
                <w:color w:val="000000"/>
                <w:sz w:val="18"/>
                <w:szCs w:val="18"/>
              </w:rPr>
              <w:t xml:space="preserve">3</w:t>
            </w:r>
            <w:r>
              <w:rPr>
                <w:rFonts w:ascii="Arial" w:hAnsi="Arial" w:eastAsia="仿宋_GB2312" w:cs="Arial"/>
                <w:color w:val="000000"/>
                <w:sz w:val="18"/>
                <w:szCs w:val="18"/>
              </w:rPr>
            </w:r>
            <w:r>
              <w:rPr>
                <w:rFonts w:ascii="Arial" w:hAnsi="Arial" w:eastAsia="仿宋_GB2312" w:cs="Arial"/>
                <w:color w:val="000000"/>
                <w:sz w:val="18"/>
                <w:szCs w:val="18"/>
              </w:rPr>
            </w:r>
          </w:p>
        </w:tc>
        <w:tc>
          <w:tcPr>
            <w:tcBorders/>
            <w:tcW w:w="2126" w:type="dxa"/>
            <w:vAlign w:val="center"/>
            <w:textDirection w:val="lrTb"/>
            <w:noWrap w:val="false"/>
          </w:tcPr>
          <w:p>
            <w:pPr>
              <w:pStyle w:val="856"/>
              <w:framePr w:hAnchor="margin" w:hSpace="180" w:vAnchor="text" w:wrap="around" w:y="113"/>
              <w:widowControl w:val="true"/>
              <w:pBdr/>
              <w:spacing/>
              <w:ind/>
              <w:jc w:val="center"/>
              <w:rPr>
                <w:rFonts w:ascii="Arial" w:hAnsi="Arial" w:cs="Arial"/>
                <w:color w:val="000000"/>
                <w:sz w:val="18"/>
                <w:szCs w:val="18"/>
              </w:rPr>
            </w:pPr>
            <w:r>
              <w:rPr>
                <w:rFonts w:ascii="Arial" w:hAnsi="Arial" w:cs="Arial"/>
                <w:color w:val="000000"/>
                <w:sz w:val="18"/>
                <w:szCs w:val="18"/>
              </w:rPr>
              <w:t xml:space="preserve">1、全部符合得3分；2、其中一项不符0分</w:t>
            </w:r>
            <w:r>
              <w:rPr>
                <w:rFonts w:ascii="Arial" w:hAnsi="Arial" w:cs="Arial"/>
                <w:color w:val="000000"/>
                <w:sz w:val="18"/>
                <w:szCs w:val="18"/>
              </w:rPr>
            </w:r>
            <w:r>
              <w:rPr>
                <w:rFonts w:ascii="Arial" w:hAnsi="Arial" w:cs="Arial"/>
                <w:color w:val="000000"/>
                <w:sz w:val="18"/>
                <w:szCs w:val="18"/>
              </w:rPr>
            </w:r>
          </w:p>
        </w:tc>
        <w:tc>
          <w:tcPr>
            <w:tcBorders/>
            <w:tcW w:w="3402" w:type="dxa"/>
            <w:vAlign w:val="center"/>
            <w:textDirection w:val="lrTb"/>
            <w:noWrap w:val="false"/>
          </w:tcPr>
          <w:p>
            <w:pPr>
              <w:pStyle w:val="856"/>
              <w:framePr w:hAnchor="margin" w:hSpace="180" w:vAnchor="text" w:wrap="around" w:y="113"/>
              <w:widowControl w:val="true"/>
              <w:pBdr/>
              <w:spacing/>
              <w:ind/>
              <w:jc w:val="center"/>
              <w:rPr>
                <w:rFonts w:ascii="Arial" w:hAnsi="Arial" w:cs="Arial"/>
                <w:color w:val="000000"/>
                <w:sz w:val="18"/>
                <w:szCs w:val="18"/>
              </w:rPr>
            </w:pPr>
            <w:r>
              <w:rPr>
                <w:rFonts w:ascii="Arial" w:hAnsi="Arial" w:cs="Arial"/>
                <w:color w:val="000000"/>
                <w:sz w:val="18"/>
                <w:szCs w:val="18"/>
              </w:rPr>
              <w:t xml:space="preserve">单位所设定的绩效目标是否符合客观实际，是否符合部门履职发及工作任的情况：1、是符合国家法律法规和社会发展规划；2、符合部门三定方案确定的职责；3、符合部门制定的中长期实施规划</w:t>
            </w:r>
            <w:r>
              <w:rPr>
                <w:rFonts w:ascii="Arial" w:hAnsi="Arial" w:cs="Arial"/>
                <w:color w:val="000000"/>
                <w:sz w:val="18"/>
                <w:szCs w:val="18"/>
              </w:rPr>
            </w:r>
            <w:r>
              <w:rPr>
                <w:rFonts w:ascii="Arial" w:hAnsi="Arial" w:cs="Arial"/>
                <w:color w:val="000000"/>
                <w:sz w:val="18"/>
                <w:szCs w:val="18"/>
              </w:rPr>
            </w:r>
          </w:p>
        </w:tc>
        <w:tc>
          <w:tcPr>
            <w:tcBorders/>
            <w:tcW w:w="425" w:type="dxa"/>
            <w:vAlign w:val="center"/>
            <w:textDirection w:val="lrTb"/>
            <w:noWrap w:val="false"/>
          </w:tcPr>
          <w:p>
            <w:pPr>
              <w:pStyle w:val="856"/>
              <w:framePr w:hAnchor="margin" w:hSpace="180" w:vAnchor="text" w:wrap="around" w:y="113"/>
              <w:widowControl w:val="true"/>
              <w:pBdr/>
              <w:spacing/>
              <w:ind/>
              <w:jc w:val="center"/>
              <w:rPr>
                <w:rFonts w:ascii="Arial" w:hAnsi="Arial" w:eastAsia="仿宋_GB2312" w:cs="Arial"/>
                <w:color w:val="000000"/>
                <w:sz w:val="18"/>
                <w:szCs w:val="18"/>
              </w:rPr>
            </w:pPr>
            <w:r>
              <w:rPr>
                <w:rFonts w:ascii="Arial" w:hAnsi="Arial" w:eastAsia="仿宋_GB2312" w:cs="Arial"/>
                <w:color w:val="000000"/>
                <w:sz w:val="18"/>
                <w:szCs w:val="18"/>
              </w:rPr>
              <w:t xml:space="preserve">3</w:t>
            </w:r>
            <w:r>
              <w:rPr>
                <w:rFonts w:ascii="Arial" w:hAnsi="Arial" w:eastAsia="仿宋_GB2312" w:cs="Arial"/>
                <w:color w:val="000000"/>
                <w:sz w:val="18"/>
                <w:szCs w:val="18"/>
              </w:rPr>
            </w:r>
            <w:r>
              <w:rPr>
                <w:rFonts w:ascii="Arial" w:hAnsi="Arial" w:eastAsia="仿宋_GB2312" w:cs="Arial"/>
                <w:color w:val="000000"/>
                <w:sz w:val="18"/>
                <w:szCs w:val="18"/>
              </w:rPr>
            </w:r>
          </w:p>
        </w:tc>
      </w:tr>
      <w:tr>
        <w:trPr>
          <w:trHeight w:val="1230"/>
        </w:trPr>
        <w:tc>
          <w:tcPr>
            <w:tcBorders/>
            <w:tcW w:w="582" w:type="dxa"/>
            <w:vAlign w:val="center"/>
            <w:vMerge w:val="continue"/>
            <w:textDirection w:val="lrTb"/>
            <w:noWrap w:val="false"/>
          </w:tcPr>
          <w:p>
            <w:pPr>
              <w:pStyle w:val="856"/>
              <w:framePr w:hAnchor="margin" w:hSpace="180" w:vAnchor="text" w:wrap="around" w:y="113"/>
              <w:pBdr/>
              <w:spacing/>
              <w:ind/>
              <w:rPr/>
            </w:pPr>
            <w:r/>
            <w:r/>
          </w:p>
        </w:tc>
        <w:tc>
          <w:tcPr>
            <w:tcBorders/>
            <w:tcW w:w="426" w:type="dxa"/>
            <w:vAlign w:val="center"/>
            <w:vMerge w:val="continue"/>
            <w:textDirection w:val="lrTb"/>
            <w:noWrap w:val="false"/>
          </w:tcPr>
          <w:p>
            <w:pPr>
              <w:pStyle w:val="856"/>
              <w:framePr w:hAnchor="margin" w:hSpace="180" w:vAnchor="text" w:wrap="around" w:y="113"/>
              <w:pBdr/>
              <w:spacing/>
              <w:ind/>
              <w:rPr/>
            </w:pPr>
            <w:r/>
            <w:r/>
          </w:p>
        </w:tc>
        <w:tc>
          <w:tcPr>
            <w:tcBorders/>
            <w:tcW w:w="708" w:type="dxa"/>
            <w:vAlign w:val="center"/>
            <w:vMerge w:val="continue"/>
            <w:textDirection w:val="lrTb"/>
            <w:noWrap w:val="false"/>
          </w:tcPr>
          <w:p>
            <w:pPr>
              <w:pStyle w:val="856"/>
              <w:framePr w:hAnchor="margin" w:hSpace="180" w:vAnchor="text" w:wrap="around" w:y="113"/>
              <w:pBdr/>
              <w:spacing/>
              <w:ind/>
              <w:rPr/>
            </w:pPr>
            <w:r/>
            <w:r/>
          </w:p>
        </w:tc>
        <w:tc>
          <w:tcPr>
            <w:tcBorders/>
            <w:tcW w:w="426" w:type="dxa"/>
            <w:vAlign w:val="center"/>
            <w:vMerge w:val="continue"/>
            <w:textDirection w:val="lrTb"/>
            <w:noWrap w:val="false"/>
          </w:tcPr>
          <w:p>
            <w:pPr>
              <w:pStyle w:val="856"/>
              <w:framePr w:hAnchor="margin" w:hSpace="180" w:vAnchor="text" w:wrap="around" w:y="113"/>
              <w:pBdr/>
              <w:spacing/>
              <w:ind/>
              <w:rPr/>
            </w:pPr>
            <w:r/>
            <w:r/>
          </w:p>
        </w:tc>
        <w:tc>
          <w:tcPr>
            <w:tcBorders/>
            <w:tcW w:w="801" w:type="dxa"/>
            <w:vAlign w:val="center"/>
            <w:textDirection w:val="lrTb"/>
            <w:noWrap w:val="false"/>
          </w:tcPr>
          <w:p>
            <w:pPr>
              <w:pStyle w:val="856"/>
              <w:framePr w:hAnchor="margin" w:hSpace="180" w:vAnchor="text" w:wrap="around" w:y="113"/>
              <w:widowControl w:val="true"/>
              <w:pBdr/>
              <w:spacing/>
              <w:ind/>
              <w:jc w:val="center"/>
              <w:rPr>
                <w:rFonts w:ascii="Arial" w:hAnsi="Arial" w:cs="Arial"/>
                <w:color w:val="000000"/>
                <w:sz w:val="18"/>
                <w:szCs w:val="18"/>
              </w:rPr>
            </w:pPr>
            <w:r>
              <w:rPr>
                <w:rFonts w:ascii="Arial" w:hAnsi="Arial" w:cs="Arial"/>
                <w:color w:val="000000"/>
                <w:sz w:val="18"/>
                <w:szCs w:val="18"/>
              </w:rPr>
              <w:t xml:space="preserve">在职人员控制率</w:t>
            </w:r>
            <w:r>
              <w:rPr>
                <w:rFonts w:ascii="Arial" w:hAnsi="Arial" w:cs="Arial"/>
                <w:color w:val="000000"/>
                <w:sz w:val="18"/>
                <w:szCs w:val="18"/>
              </w:rPr>
            </w:r>
            <w:r>
              <w:rPr>
                <w:rFonts w:ascii="Arial" w:hAnsi="Arial" w:cs="Arial"/>
                <w:color w:val="000000"/>
                <w:sz w:val="18"/>
                <w:szCs w:val="18"/>
              </w:rPr>
            </w:r>
          </w:p>
        </w:tc>
        <w:tc>
          <w:tcPr>
            <w:tcBorders/>
            <w:tcW w:w="426" w:type="dxa"/>
            <w:vAlign w:val="center"/>
            <w:textDirection w:val="lrTb"/>
            <w:noWrap w:val="false"/>
          </w:tcPr>
          <w:p>
            <w:pPr>
              <w:pStyle w:val="856"/>
              <w:framePr w:hAnchor="margin" w:hSpace="180" w:vAnchor="text" w:wrap="around" w:y="113"/>
              <w:widowControl w:val="true"/>
              <w:pBdr/>
              <w:spacing/>
              <w:ind/>
              <w:jc w:val="center"/>
              <w:rPr>
                <w:rFonts w:ascii="Arial" w:hAnsi="Arial" w:cs="Arial"/>
                <w:color w:val="000000"/>
                <w:sz w:val="18"/>
                <w:szCs w:val="18"/>
              </w:rPr>
            </w:pPr>
            <w:r>
              <w:rPr>
                <w:rFonts w:ascii="Arial" w:hAnsi="Arial" w:cs="Arial"/>
                <w:color w:val="000000"/>
                <w:sz w:val="18"/>
                <w:szCs w:val="18"/>
              </w:rPr>
              <w:t xml:space="preserve">2</w:t>
            </w:r>
            <w:r>
              <w:rPr>
                <w:rFonts w:ascii="Arial" w:hAnsi="Arial" w:cs="Arial"/>
                <w:color w:val="000000"/>
                <w:sz w:val="18"/>
                <w:szCs w:val="18"/>
              </w:rPr>
            </w:r>
            <w:r>
              <w:rPr>
                <w:rFonts w:ascii="Arial" w:hAnsi="Arial" w:cs="Arial"/>
                <w:color w:val="000000"/>
                <w:sz w:val="18"/>
                <w:szCs w:val="18"/>
              </w:rPr>
            </w:r>
          </w:p>
        </w:tc>
        <w:tc>
          <w:tcPr>
            <w:tcBorders/>
            <w:tcW w:w="2126" w:type="dxa"/>
            <w:vAlign w:val="center"/>
            <w:textDirection w:val="lrTb"/>
            <w:noWrap w:val="false"/>
          </w:tcPr>
          <w:p>
            <w:pPr>
              <w:pStyle w:val="856"/>
              <w:framePr w:hAnchor="margin" w:hSpace="180" w:vAnchor="text" w:wrap="around" w:y="113"/>
              <w:widowControl w:val="true"/>
              <w:pBdr/>
              <w:spacing/>
              <w:ind/>
              <w:jc w:val="center"/>
              <w:rPr>
                <w:rFonts w:ascii="Arial" w:hAnsi="Arial" w:cs="Arial"/>
                <w:color w:val="000000"/>
                <w:sz w:val="18"/>
                <w:szCs w:val="18"/>
              </w:rPr>
            </w:pPr>
            <w:r>
              <w:rPr>
                <w:rFonts w:ascii="Arial" w:hAnsi="Arial" w:cs="Arial"/>
                <w:color w:val="000000"/>
                <w:sz w:val="18"/>
                <w:szCs w:val="18"/>
              </w:rPr>
              <w:t xml:space="preserve">以100%为标准。在职人员控制率</w:t>
            </w:r>
            <w:r>
              <w:rPr>
                <w:rFonts w:hint="eastAsia" w:ascii="宋体" w:cs="Arial"/>
                <w:color w:val="000000"/>
                <w:sz w:val="18"/>
                <w:szCs w:val="18"/>
              </w:rPr>
              <w:t xml:space="preserve">≦</w:t>
            </w:r>
            <w:r>
              <w:rPr>
                <w:rFonts w:ascii="Arial" w:hAnsi="Arial" w:cs="Arial"/>
                <w:color w:val="000000"/>
                <w:sz w:val="18"/>
                <w:szCs w:val="18"/>
              </w:rPr>
              <w:t xml:space="preserve">100%，计2分；大于100%，得0分</w:t>
            </w:r>
            <w:r>
              <w:rPr>
                <w:rFonts w:ascii="Arial" w:hAnsi="Arial" w:cs="Arial"/>
                <w:color w:val="000000"/>
                <w:sz w:val="18"/>
                <w:szCs w:val="18"/>
              </w:rPr>
            </w:r>
            <w:r>
              <w:rPr>
                <w:rFonts w:ascii="Arial" w:hAnsi="Arial" w:cs="Arial"/>
                <w:color w:val="000000"/>
                <w:sz w:val="18"/>
                <w:szCs w:val="18"/>
              </w:rPr>
            </w:r>
          </w:p>
        </w:tc>
        <w:tc>
          <w:tcPr>
            <w:tcBorders/>
            <w:tcW w:w="3402" w:type="dxa"/>
            <w:vAlign w:val="center"/>
            <w:textDirection w:val="lrTb"/>
            <w:noWrap w:val="false"/>
          </w:tcPr>
          <w:p>
            <w:pPr>
              <w:pStyle w:val="856"/>
              <w:framePr w:hAnchor="margin" w:hSpace="180" w:vAnchor="text" w:wrap="around" w:y="113"/>
              <w:widowControl w:val="true"/>
              <w:pBdr/>
              <w:spacing/>
              <w:ind/>
              <w:jc w:val="center"/>
              <w:rPr>
                <w:rFonts w:ascii="Arial" w:hAnsi="Arial" w:cs="Arial"/>
                <w:color w:val="000000"/>
                <w:sz w:val="18"/>
                <w:szCs w:val="18"/>
              </w:rPr>
            </w:pPr>
            <w:r>
              <w:rPr>
                <w:rFonts w:ascii="Arial" w:hAnsi="Arial" w:cs="Arial"/>
                <w:color w:val="000000"/>
                <w:sz w:val="18"/>
                <w:szCs w:val="18"/>
              </w:rPr>
              <w:t xml:space="preserve">在职人员控制率=（在职人员数/编制数）×100%，在职人员数：部门（单位）实际在职人数，以财政厅确定的部门决算编制口径为准。编制数：机构编制部门核定批复的部门（单位）的人员编制数。</w:t>
            </w:r>
            <w:r>
              <w:rPr>
                <w:rFonts w:ascii="Arial" w:hAnsi="Arial" w:cs="Arial"/>
                <w:color w:val="000000"/>
                <w:sz w:val="18"/>
                <w:szCs w:val="18"/>
              </w:rPr>
            </w:r>
            <w:r>
              <w:rPr>
                <w:rFonts w:ascii="Arial" w:hAnsi="Arial" w:cs="Arial"/>
                <w:color w:val="000000"/>
                <w:sz w:val="18"/>
                <w:szCs w:val="18"/>
              </w:rPr>
            </w:r>
          </w:p>
        </w:tc>
        <w:tc>
          <w:tcPr>
            <w:tcBorders/>
            <w:tcW w:w="425" w:type="dxa"/>
            <w:vAlign w:val="center"/>
            <w:textDirection w:val="lrTb"/>
            <w:noWrap w:val="false"/>
          </w:tcPr>
          <w:p>
            <w:pPr>
              <w:pStyle w:val="856"/>
              <w:framePr w:hAnchor="margin" w:hSpace="180" w:vAnchor="text" w:wrap="around" w:y="113"/>
              <w:widowControl w:val="true"/>
              <w:pBdr/>
              <w:spacing/>
              <w:ind/>
              <w:jc w:val="center"/>
              <w:rPr>
                <w:rFonts w:ascii="Arial" w:hAnsi="Arial" w:cs="Arial"/>
                <w:color w:val="000000"/>
                <w:sz w:val="18"/>
                <w:szCs w:val="18"/>
              </w:rPr>
            </w:pPr>
            <w:r>
              <w:rPr>
                <w:rFonts w:hint="eastAsia" w:ascii="Arial" w:hAnsi="Arial" w:cs="Arial"/>
                <w:color w:val="000000"/>
                <w:sz w:val="18"/>
                <w:szCs w:val="18"/>
              </w:rPr>
              <w:t xml:space="preserve">2</w:t>
            </w:r>
            <w:r>
              <w:rPr>
                <w:rFonts w:ascii="Arial" w:hAnsi="Arial" w:cs="Arial"/>
                <w:color w:val="000000"/>
                <w:sz w:val="18"/>
                <w:szCs w:val="18"/>
              </w:rPr>
            </w:r>
            <w:r>
              <w:rPr>
                <w:rFonts w:ascii="Arial" w:hAnsi="Arial" w:cs="Arial"/>
                <w:color w:val="000000"/>
                <w:sz w:val="18"/>
                <w:szCs w:val="18"/>
              </w:rPr>
            </w:r>
          </w:p>
        </w:tc>
      </w:tr>
      <w:tr>
        <w:trPr>
          <w:trHeight w:val="264"/>
        </w:trPr>
        <w:tc>
          <w:tcPr>
            <w:tcBorders/>
            <w:tcW w:w="582" w:type="dxa"/>
            <w:vAlign w:val="center"/>
            <w:vMerge w:val="continue"/>
            <w:textDirection w:val="lrTb"/>
            <w:noWrap w:val="false"/>
          </w:tcPr>
          <w:p>
            <w:pPr>
              <w:pStyle w:val="856"/>
              <w:framePr w:hAnchor="margin" w:hSpace="180" w:vAnchor="text" w:wrap="around" w:y="113"/>
              <w:pBdr/>
              <w:spacing/>
              <w:ind/>
              <w:rPr/>
            </w:pPr>
            <w:r/>
            <w:r/>
          </w:p>
        </w:tc>
        <w:tc>
          <w:tcPr>
            <w:tcBorders/>
            <w:tcW w:w="426" w:type="dxa"/>
            <w:vAlign w:val="center"/>
            <w:vMerge w:val="continue"/>
            <w:textDirection w:val="lrTb"/>
            <w:noWrap w:val="false"/>
          </w:tcPr>
          <w:p>
            <w:pPr>
              <w:pStyle w:val="856"/>
              <w:framePr w:hAnchor="margin" w:hSpace="180" w:vAnchor="text" w:wrap="around" w:y="113"/>
              <w:pBdr/>
              <w:spacing/>
              <w:ind/>
              <w:rPr/>
            </w:pPr>
            <w:r/>
            <w:r/>
          </w:p>
        </w:tc>
        <w:tc>
          <w:tcPr>
            <w:tcBorders/>
            <w:tcW w:w="708" w:type="dxa"/>
            <w:vAlign w:val="center"/>
            <w:vMerge w:val="continue"/>
            <w:textDirection w:val="lrTb"/>
            <w:noWrap w:val="false"/>
          </w:tcPr>
          <w:p>
            <w:pPr>
              <w:pStyle w:val="856"/>
              <w:framePr w:hAnchor="margin" w:hSpace="180" w:vAnchor="text" w:wrap="around" w:y="113"/>
              <w:pBdr/>
              <w:spacing/>
              <w:ind/>
              <w:rPr/>
            </w:pPr>
            <w:r/>
            <w:r/>
          </w:p>
        </w:tc>
        <w:tc>
          <w:tcPr>
            <w:tcBorders/>
            <w:tcW w:w="426" w:type="dxa"/>
            <w:vAlign w:val="center"/>
            <w:vMerge w:val="continue"/>
            <w:textDirection w:val="lrTb"/>
            <w:noWrap w:val="false"/>
          </w:tcPr>
          <w:p>
            <w:pPr>
              <w:pStyle w:val="856"/>
              <w:framePr w:hAnchor="margin" w:hSpace="180" w:vAnchor="text" w:wrap="around" w:y="113"/>
              <w:pBdr/>
              <w:spacing/>
              <w:ind/>
              <w:rPr/>
            </w:pPr>
            <w:r/>
            <w:r/>
          </w:p>
        </w:tc>
        <w:tc>
          <w:tcPr>
            <w:tcBorders/>
            <w:tcW w:w="801" w:type="dxa"/>
            <w:vAlign w:val="center"/>
            <w:textDirection w:val="lrTb"/>
            <w:noWrap w:val="false"/>
          </w:tcPr>
          <w:p>
            <w:pPr>
              <w:pStyle w:val="856"/>
              <w:framePr w:hAnchor="margin" w:hSpace="180" w:vAnchor="text" w:wrap="around" w:y="113"/>
              <w:widowControl w:val="true"/>
              <w:pBdr/>
              <w:spacing/>
              <w:ind/>
              <w:jc w:val="center"/>
              <w:rPr>
                <w:rFonts w:ascii="Arial" w:hAnsi="Arial" w:cs="Arial"/>
                <w:color w:val="000000"/>
                <w:sz w:val="18"/>
                <w:szCs w:val="18"/>
              </w:rPr>
            </w:pPr>
            <w:r>
              <w:rPr>
                <w:rFonts w:ascii="Arial" w:hAnsi="Arial" w:cs="Arial"/>
                <w:color w:val="000000"/>
                <w:sz w:val="18"/>
                <w:szCs w:val="18"/>
              </w:rPr>
              <w:t xml:space="preserve">”三公“经费变动率</w:t>
            </w:r>
            <w:r>
              <w:rPr>
                <w:rFonts w:ascii="Arial" w:hAnsi="Arial" w:cs="Arial"/>
                <w:color w:val="000000"/>
                <w:sz w:val="18"/>
                <w:szCs w:val="18"/>
              </w:rPr>
            </w:r>
            <w:r>
              <w:rPr>
                <w:rFonts w:ascii="Arial" w:hAnsi="Arial" w:cs="Arial"/>
                <w:color w:val="000000"/>
                <w:sz w:val="18"/>
                <w:szCs w:val="18"/>
              </w:rPr>
            </w:r>
          </w:p>
        </w:tc>
        <w:tc>
          <w:tcPr>
            <w:tcBorders/>
            <w:tcW w:w="426" w:type="dxa"/>
            <w:vAlign w:val="center"/>
            <w:textDirection w:val="lrTb"/>
            <w:noWrap w:val="false"/>
          </w:tcPr>
          <w:p>
            <w:pPr>
              <w:pStyle w:val="856"/>
              <w:framePr w:hAnchor="margin" w:hSpace="180" w:vAnchor="text" w:wrap="around" w:y="113"/>
              <w:widowControl w:val="true"/>
              <w:pBdr/>
              <w:spacing/>
              <w:ind/>
              <w:jc w:val="center"/>
              <w:rPr>
                <w:rFonts w:ascii="Arial" w:hAnsi="Arial" w:cs="Arial"/>
                <w:color w:val="000000"/>
                <w:sz w:val="18"/>
                <w:szCs w:val="18"/>
              </w:rPr>
            </w:pPr>
            <w:r>
              <w:rPr>
                <w:rFonts w:ascii="Arial" w:hAnsi="Arial" w:cs="Arial"/>
                <w:color w:val="000000"/>
                <w:sz w:val="18"/>
                <w:szCs w:val="18"/>
              </w:rPr>
              <w:t xml:space="preserve">8</w:t>
            </w:r>
            <w:r>
              <w:rPr>
                <w:rFonts w:ascii="Arial" w:hAnsi="Arial" w:cs="Arial"/>
                <w:color w:val="000000"/>
                <w:sz w:val="18"/>
                <w:szCs w:val="18"/>
              </w:rPr>
            </w:r>
            <w:r>
              <w:rPr>
                <w:rFonts w:ascii="Arial" w:hAnsi="Arial" w:cs="Arial"/>
                <w:color w:val="000000"/>
                <w:sz w:val="18"/>
                <w:szCs w:val="18"/>
              </w:rPr>
            </w:r>
          </w:p>
        </w:tc>
        <w:tc>
          <w:tcPr>
            <w:tcBorders/>
            <w:tcW w:w="2126" w:type="dxa"/>
            <w:vAlign w:val="center"/>
            <w:textDirection w:val="lrTb"/>
            <w:noWrap w:val="false"/>
          </w:tcPr>
          <w:p>
            <w:pPr>
              <w:pStyle w:val="856"/>
              <w:framePr w:hAnchor="margin" w:hSpace="180" w:vAnchor="text" w:wrap="around" w:y="113"/>
              <w:widowControl w:val="true"/>
              <w:pBdr/>
              <w:spacing/>
              <w:ind/>
              <w:jc w:val="center"/>
              <w:rPr>
                <w:rFonts w:ascii="Arial" w:hAnsi="Arial" w:cs="Arial"/>
                <w:color w:val="000000"/>
                <w:sz w:val="18"/>
                <w:szCs w:val="18"/>
              </w:rPr>
            </w:pPr>
            <w:r>
              <w:rPr>
                <w:rFonts w:ascii="Arial" w:hAnsi="Arial" w:cs="Arial"/>
                <w:color w:val="000000"/>
                <w:sz w:val="18"/>
                <w:szCs w:val="18"/>
              </w:rPr>
              <w:t xml:space="preserve">”三公“经费变动率</w:t>
            </w:r>
            <w:r>
              <w:rPr>
                <w:rFonts w:hint="eastAsia" w:ascii="宋体" w:cs="Arial"/>
                <w:color w:val="000000"/>
                <w:sz w:val="18"/>
                <w:szCs w:val="18"/>
              </w:rPr>
              <w:t xml:space="preserve">≦</w:t>
            </w:r>
            <w:r>
              <w:rPr>
                <w:rFonts w:ascii="Arial" w:hAnsi="Arial" w:cs="Arial"/>
                <w:color w:val="000000"/>
                <w:sz w:val="18"/>
                <w:szCs w:val="18"/>
              </w:rPr>
              <w:t xml:space="preserve">0,计8分；”三公“经费＞0，每超过一个百分点扣1分，扣完为止。</w:t>
            </w:r>
            <w:r>
              <w:rPr>
                <w:rFonts w:ascii="Arial" w:hAnsi="Arial" w:cs="Arial"/>
                <w:color w:val="000000"/>
                <w:sz w:val="18"/>
                <w:szCs w:val="18"/>
              </w:rPr>
            </w:r>
            <w:r>
              <w:rPr>
                <w:rFonts w:ascii="Arial" w:hAnsi="Arial" w:cs="Arial"/>
                <w:color w:val="000000"/>
                <w:sz w:val="18"/>
                <w:szCs w:val="18"/>
              </w:rPr>
            </w:r>
          </w:p>
        </w:tc>
        <w:tc>
          <w:tcPr>
            <w:tcBorders/>
            <w:tcW w:w="3402" w:type="dxa"/>
            <w:vAlign w:val="center"/>
            <w:textDirection w:val="lrTb"/>
            <w:noWrap w:val="false"/>
          </w:tcPr>
          <w:p>
            <w:pPr>
              <w:pStyle w:val="856"/>
              <w:framePr w:hAnchor="margin" w:hSpace="180" w:vAnchor="text" w:wrap="around" w:y="113"/>
              <w:widowControl w:val="true"/>
              <w:pBdr/>
              <w:spacing/>
              <w:ind/>
              <w:jc w:val="center"/>
              <w:rPr>
                <w:rFonts w:ascii="Arial" w:hAnsi="Arial" w:cs="Arial"/>
                <w:color w:val="000000"/>
                <w:sz w:val="18"/>
                <w:szCs w:val="18"/>
              </w:rPr>
            </w:pPr>
            <w:r>
              <w:rPr>
                <w:rFonts w:ascii="Arial" w:hAnsi="Arial" w:cs="Arial"/>
                <w:color w:val="000000"/>
                <w:sz w:val="18"/>
                <w:szCs w:val="18"/>
              </w:rPr>
              <w:t xml:space="preserve">”三公“经费变动率=[（本年度”三公“经费预算数-上年度”三公“经费预算数）/上年度”三公“经费预算数]×100%</w:t>
            </w:r>
            <w:r>
              <w:rPr>
                <w:rFonts w:ascii="Arial" w:hAnsi="Arial" w:cs="Arial"/>
                <w:color w:val="000000"/>
                <w:sz w:val="18"/>
                <w:szCs w:val="18"/>
              </w:rPr>
            </w:r>
            <w:r>
              <w:rPr>
                <w:rFonts w:ascii="Arial" w:hAnsi="Arial" w:cs="Arial"/>
                <w:color w:val="000000"/>
                <w:sz w:val="18"/>
                <w:szCs w:val="18"/>
              </w:rPr>
            </w:r>
          </w:p>
        </w:tc>
        <w:tc>
          <w:tcPr>
            <w:tcBorders/>
            <w:tcW w:w="425" w:type="dxa"/>
            <w:vAlign w:val="center"/>
            <w:textDirection w:val="lrTb"/>
            <w:noWrap w:val="false"/>
          </w:tcPr>
          <w:p>
            <w:pPr>
              <w:pStyle w:val="856"/>
              <w:framePr w:hAnchor="margin" w:hSpace="180" w:vAnchor="text" w:wrap="around" w:y="113"/>
              <w:widowControl w:val="true"/>
              <w:pBdr/>
              <w:spacing/>
              <w:ind/>
              <w:jc w:val="center"/>
              <w:rPr>
                <w:rFonts w:ascii="Arial" w:hAnsi="Arial" w:cs="Arial"/>
                <w:color w:val="000000"/>
                <w:sz w:val="18"/>
                <w:szCs w:val="18"/>
              </w:rPr>
            </w:pPr>
            <w:r>
              <w:rPr>
                <w:rFonts w:ascii="Arial" w:hAnsi="Arial" w:cs="Arial"/>
                <w:color w:val="000000"/>
                <w:sz w:val="18"/>
                <w:szCs w:val="18"/>
              </w:rPr>
              <w:t xml:space="preserve">8</w:t>
            </w:r>
            <w:r>
              <w:rPr>
                <w:rFonts w:ascii="Arial" w:hAnsi="Arial" w:cs="Arial"/>
                <w:color w:val="000000"/>
                <w:sz w:val="18"/>
                <w:szCs w:val="18"/>
              </w:rPr>
            </w:r>
            <w:r>
              <w:rPr>
                <w:rFonts w:ascii="Arial" w:hAnsi="Arial" w:cs="Arial"/>
                <w:color w:val="000000"/>
                <w:sz w:val="18"/>
                <w:szCs w:val="18"/>
              </w:rPr>
            </w:r>
          </w:p>
        </w:tc>
      </w:tr>
      <w:tr>
        <w:trPr>
          <w:trHeight w:val="1035"/>
        </w:trPr>
        <w:tc>
          <w:tcPr>
            <w:tcBorders/>
            <w:tcW w:w="582" w:type="dxa"/>
            <w:vAlign w:val="center"/>
            <w:vMerge w:val="continue"/>
            <w:textDirection w:val="lrTb"/>
            <w:noWrap w:val="false"/>
          </w:tcPr>
          <w:p>
            <w:pPr>
              <w:pStyle w:val="856"/>
              <w:framePr w:hAnchor="margin" w:hSpace="180" w:vAnchor="text" w:wrap="around" w:y="113"/>
              <w:pBdr/>
              <w:spacing/>
              <w:ind/>
              <w:rPr/>
            </w:pPr>
            <w:r/>
            <w:r/>
          </w:p>
        </w:tc>
        <w:tc>
          <w:tcPr>
            <w:tcBorders/>
            <w:tcW w:w="426" w:type="dxa"/>
            <w:vAlign w:val="center"/>
            <w:vMerge w:val="continue"/>
            <w:textDirection w:val="lrTb"/>
            <w:noWrap w:val="false"/>
          </w:tcPr>
          <w:p>
            <w:pPr>
              <w:pStyle w:val="856"/>
              <w:framePr w:hAnchor="margin" w:hSpace="180" w:vAnchor="text" w:wrap="around" w:y="113"/>
              <w:pBdr/>
              <w:spacing/>
              <w:ind/>
              <w:rPr/>
            </w:pPr>
            <w:r/>
            <w:r/>
          </w:p>
        </w:tc>
        <w:tc>
          <w:tcPr>
            <w:tcBorders/>
            <w:tcW w:w="708" w:type="dxa"/>
            <w:vAlign w:val="center"/>
            <w:vMerge w:val="continue"/>
            <w:textDirection w:val="lrTb"/>
            <w:noWrap w:val="false"/>
          </w:tcPr>
          <w:p>
            <w:pPr>
              <w:pStyle w:val="856"/>
              <w:framePr w:hAnchor="margin" w:hSpace="180" w:vAnchor="text" w:wrap="around" w:y="113"/>
              <w:pBdr/>
              <w:spacing/>
              <w:ind/>
              <w:rPr/>
            </w:pPr>
            <w:r/>
            <w:r/>
          </w:p>
        </w:tc>
        <w:tc>
          <w:tcPr>
            <w:tcBorders/>
            <w:tcW w:w="426" w:type="dxa"/>
            <w:vAlign w:val="center"/>
            <w:vMerge w:val="continue"/>
            <w:textDirection w:val="lrTb"/>
            <w:noWrap w:val="false"/>
          </w:tcPr>
          <w:p>
            <w:pPr>
              <w:pStyle w:val="856"/>
              <w:framePr w:hAnchor="margin" w:hSpace="180" w:vAnchor="text" w:wrap="around" w:y="113"/>
              <w:pBdr/>
              <w:spacing/>
              <w:ind/>
              <w:rPr/>
            </w:pPr>
            <w:r/>
            <w:r/>
          </w:p>
        </w:tc>
        <w:tc>
          <w:tcPr>
            <w:tcBorders/>
            <w:tcW w:w="801" w:type="dxa"/>
            <w:vAlign w:val="center"/>
            <w:textDirection w:val="lrTb"/>
            <w:noWrap w:val="false"/>
          </w:tcPr>
          <w:p>
            <w:pPr>
              <w:pStyle w:val="856"/>
              <w:framePr w:hAnchor="margin" w:hSpace="180" w:vAnchor="text" w:wrap="around" w:y="113"/>
              <w:widowControl w:val="true"/>
              <w:pBdr/>
              <w:spacing/>
              <w:ind/>
              <w:jc w:val="center"/>
              <w:rPr>
                <w:rFonts w:ascii="Arial" w:hAnsi="Arial" w:cs="Arial"/>
                <w:color w:val="000000"/>
                <w:sz w:val="18"/>
                <w:szCs w:val="18"/>
              </w:rPr>
            </w:pPr>
            <w:r>
              <w:rPr>
                <w:rFonts w:ascii="Arial" w:hAnsi="Arial" w:cs="Arial"/>
                <w:color w:val="000000"/>
                <w:sz w:val="18"/>
                <w:szCs w:val="18"/>
              </w:rPr>
              <w:t xml:space="preserve">预算的 完整性</w:t>
            </w:r>
            <w:r>
              <w:rPr>
                <w:rFonts w:ascii="Arial" w:hAnsi="Arial" w:cs="Arial"/>
                <w:color w:val="000000"/>
                <w:sz w:val="18"/>
                <w:szCs w:val="18"/>
              </w:rPr>
            </w:r>
            <w:r>
              <w:rPr>
                <w:rFonts w:ascii="Arial" w:hAnsi="Arial" w:cs="Arial"/>
                <w:color w:val="000000"/>
                <w:sz w:val="18"/>
                <w:szCs w:val="18"/>
              </w:rPr>
            </w:r>
          </w:p>
        </w:tc>
        <w:tc>
          <w:tcPr>
            <w:tcBorders/>
            <w:tcW w:w="426" w:type="dxa"/>
            <w:vAlign w:val="center"/>
            <w:textDirection w:val="lrTb"/>
            <w:noWrap w:val="false"/>
          </w:tcPr>
          <w:p>
            <w:pPr>
              <w:pStyle w:val="856"/>
              <w:framePr w:hAnchor="margin" w:hSpace="180" w:vAnchor="text" w:wrap="around" w:y="113"/>
              <w:widowControl w:val="true"/>
              <w:pBdr/>
              <w:spacing/>
              <w:ind/>
              <w:jc w:val="center"/>
              <w:rPr>
                <w:rFonts w:ascii="Arial" w:hAnsi="Arial" w:cs="Arial"/>
                <w:color w:val="000000"/>
                <w:sz w:val="18"/>
                <w:szCs w:val="18"/>
              </w:rPr>
            </w:pPr>
            <w:r>
              <w:rPr>
                <w:rFonts w:ascii="Arial" w:hAnsi="Arial" w:cs="Arial"/>
                <w:color w:val="000000"/>
                <w:sz w:val="18"/>
                <w:szCs w:val="18"/>
              </w:rPr>
              <w:t xml:space="preserve">2</w:t>
            </w:r>
            <w:r>
              <w:rPr>
                <w:rFonts w:ascii="Arial" w:hAnsi="Arial" w:cs="Arial"/>
                <w:color w:val="000000"/>
                <w:sz w:val="18"/>
                <w:szCs w:val="18"/>
              </w:rPr>
            </w:r>
            <w:r>
              <w:rPr>
                <w:rFonts w:ascii="Arial" w:hAnsi="Arial" w:cs="Arial"/>
                <w:color w:val="000000"/>
                <w:sz w:val="18"/>
                <w:szCs w:val="18"/>
              </w:rPr>
            </w:r>
          </w:p>
        </w:tc>
        <w:tc>
          <w:tcPr>
            <w:tcBorders/>
            <w:tcW w:w="2126" w:type="dxa"/>
            <w:vAlign w:val="center"/>
            <w:textDirection w:val="lrTb"/>
            <w:noWrap w:val="false"/>
          </w:tcPr>
          <w:p>
            <w:pPr>
              <w:pStyle w:val="856"/>
              <w:framePr w:hAnchor="margin" w:hSpace="180" w:vAnchor="text" w:wrap="around" w:y="113"/>
              <w:widowControl w:val="true"/>
              <w:pBdr/>
              <w:spacing/>
              <w:ind/>
              <w:jc w:val="center"/>
              <w:rPr>
                <w:rFonts w:ascii="Arial" w:hAnsi="Arial" w:cs="Arial"/>
                <w:color w:val="000000"/>
                <w:sz w:val="18"/>
                <w:szCs w:val="18"/>
              </w:rPr>
            </w:pPr>
            <w:r>
              <w:rPr>
                <w:rFonts w:ascii="Arial" w:hAnsi="Arial" w:cs="Arial"/>
                <w:color w:val="000000"/>
                <w:sz w:val="18"/>
                <w:szCs w:val="18"/>
              </w:rPr>
              <w:t xml:space="preserve">1、全部符合得2分；2、其中一项不符0分</w:t>
            </w:r>
            <w:r>
              <w:rPr>
                <w:rFonts w:ascii="Arial" w:hAnsi="Arial" w:cs="Arial"/>
                <w:color w:val="000000"/>
                <w:sz w:val="18"/>
                <w:szCs w:val="18"/>
              </w:rPr>
            </w:r>
            <w:r>
              <w:rPr>
                <w:rFonts w:ascii="Arial" w:hAnsi="Arial" w:cs="Arial"/>
                <w:color w:val="000000"/>
                <w:sz w:val="18"/>
                <w:szCs w:val="18"/>
              </w:rPr>
            </w:r>
          </w:p>
        </w:tc>
        <w:tc>
          <w:tcPr>
            <w:tcBorders/>
            <w:tcW w:w="3402" w:type="dxa"/>
            <w:vAlign w:val="center"/>
            <w:textDirection w:val="lrTb"/>
            <w:noWrap w:val="false"/>
          </w:tcPr>
          <w:p>
            <w:pPr>
              <w:pStyle w:val="856"/>
              <w:framePr w:hAnchor="margin" w:hSpace="180" w:vAnchor="text" w:wrap="around" w:y="113"/>
              <w:widowControl w:val="true"/>
              <w:pBdr/>
              <w:spacing/>
              <w:ind/>
              <w:jc w:val="center"/>
              <w:rPr>
                <w:rFonts w:ascii="Arial" w:hAnsi="Arial" w:cs="Arial"/>
                <w:color w:val="000000"/>
                <w:sz w:val="18"/>
                <w:szCs w:val="18"/>
              </w:rPr>
            </w:pPr>
            <w:r>
              <w:rPr>
                <w:rFonts w:ascii="Arial" w:hAnsi="Arial" w:cs="Arial"/>
                <w:color w:val="000000"/>
                <w:sz w:val="18"/>
                <w:szCs w:val="18"/>
              </w:rPr>
              <w:t xml:space="preserve">1、公共预算是否纳入政府预算管理2、国有资产经营预算是否纳入政府预算管理3、政府基金预算是否纳入政府预算管理4、社会保障预算是否纳入政府预算管理</w:t>
            </w:r>
            <w:r>
              <w:rPr>
                <w:rFonts w:ascii="Arial" w:hAnsi="Arial" w:cs="Arial"/>
                <w:color w:val="000000"/>
                <w:sz w:val="18"/>
                <w:szCs w:val="18"/>
              </w:rPr>
            </w:r>
            <w:r>
              <w:rPr>
                <w:rFonts w:ascii="Arial" w:hAnsi="Arial" w:cs="Arial"/>
                <w:color w:val="000000"/>
                <w:sz w:val="18"/>
                <w:szCs w:val="18"/>
              </w:rPr>
            </w:r>
          </w:p>
        </w:tc>
        <w:tc>
          <w:tcPr>
            <w:tcBorders/>
            <w:tcW w:w="425" w:type="dxa"/>
            <w:vAlign w:val="center"/>
            <w:textDirection w:val="lrTb"/>
            <w:noWrap w:val="false"/>
          </w:tcPr>
          <w:p>
            <w:pPr>
              <w:pStyle w:val="856"/>
              <w:framePr w:hAnchor="margin" w:hSpace="180" w:vAnchor="text" w:wrap="around" w:y="113"/>
              <w:widowControl w:val="true"/>
              <w:pBdr/>
              <w:spacing/>
              <w:ind/>
              <w:jc w:val="center"/>
              <w:rPr>
                <w:rFonts w:ascii="Arial" w:hAnsi="Arial" w:cs="Arial"/>
                <w:color w:val="000000"/>
                <w:sz w:val="18"/>
                <w:szCs w:val="18"/>
              </w:rPr>
            </w:pPr>
            <w:r>
              <w:rPr>
                <w:rFonts w:ascii="Arial" w:hAnsi="Arial" w:cs="Arial"/>
                <w:color w:val="000000"/>
                <w:sz w:val="18"/>
                <w:szCs w:val="18"/>
              </w:rPr>
              <w:t xml:space="preserve">2</w:t>
            </w:r>
            <w:r>
              <w:rPr>
                <w:rFonts w:ascii="Arial" w:hAnsi="Arial" w:cs="Arial"/>
                <w:color w:val="000000"/>
                <w:sz w:val="18"/>
                <w:szCs w:val="18"/>
              </w:rPr>
            </w:r>
            <w:r>
              <w:rPr>
                <w:rFonts w:ascii="Arial" w:hAnsi="Arial" w:cs="Arial"/>
                <w:color w:val="000000"/>
                <w:sz w:val="18"/>
                <w:szCs w:val="18"/>
              </w:rPr>
            </w:r>
          </w:p>
        </w:tc>
      </w:tr>
    </w:tbl>
    <w:p>
      <w:pPr>
        <w:pStyle w:val="856"/>
        <w:pBdr/>
        <w:spacing w:line="500" w:lineRule="exact"/>
        <w:ind w:firstLine="360"/>
        <w:jc w:val="left"/>
        <w:rPr>
          <w:rFonts w:hint="eastAsia" w:ascii="Arial" w:hAnsi="Arial" w:cs="Arial"/>
          <w:color w:val="000000"/>
          <w:sz w:val="24"/>
          <w:szCs w:val="24"/>
        </w:rPr>
      </w:pPr>
      <w:r/>
      <w:bookmarkEnd w:id="1"/>
      <w:r>
        <w:rPr>
          <w:rFonts w:hint="eastAsia" w:ascii="Arial" w:hAnsi="Arial" w:cs="Arial"/>
          <w:color w:val="000000"/>
          <w:sz w:val="24"/>
          <w:szCs w:val="24"/>
        </w:rPr>
      </w:r>
      <w:r>
        <w:rPr>
          <w:rFonts w:hint="eastAsia" w:ascii="Arial" w:hAnsi="Arial" w:cs="Arial"/>
          <w:color w:val="000000"/>
          <w:sz w:val="24"/>
          <w:szCs w:val="24"/>
        </w:rPr>
      </w:r>
    </w:p>
    <w:p>
      <w:pPr>
        <w:pStyle w:val="856"/>
        <w:pBdr/>
        <w:spacing w:line="500" w:lineRule="exact"/>
        <w:ind w:firstLine="360"/>
        <w:jc w:val="left"/>
        <w:rPr>
          <w:rFonts w:ascii="Arial" w:hAnsi="Arial" w:cs="Arial"/>
          <w:color w:val="000000"/>
          <w:sz w:val="24"/>
          <w:szCs w:val="24"/>
          <w:shd w:val="clear" w:color="auto" w:fill="ffffff"/>
        </w:rPr>
      </w:pPr>
      <w:r>
        <w:rPr>
          <w:rFonts w:ascii="Arial" w:hAnsi="Arial" w:cs="Arial"/>
          <w:color w:val="000000"/>
          <w:sz w:val="24"/>
          <w:szCs w:val="24"/>
        </w:rPr>
        <w:t xml:space="preserve">（</w:t>
      </w:r>
      <w:r>
        <w:rPr>
          <w:rFonts w:ascii="Arial" w:hAnsi="Arial" w:cs="Arial"/>
          <w:color w:val="000000"/>
          <w:sz w:val="24"/>
          <w:szCs w:val="24"/>
          <w:shd w:val="clear" w:color="auto" w:fill="ffffff"/>
        </w:rPr>
        <w:t xml:space="preserve">1）绩效目标合理性（满分3分）</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left="-141"/>
        <w:jc w:val="left"/>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根据《</w:t>
      </w:r>
      <w:r>
        <w:rPr>
          <w:rFonts w:ascii="Arial" w:hAnsi="Arial" w:cs="Arial"/>
          <w:color w:val="0c0c0c"/>
          <w:sz w:val="24"/>
          <w:szCs w:val="24"/>
        </w:rPr>
        <w:t xml:space="preserve">水利局2017年工作总结</w:t>
      </w:r>
      <w:r>
        <w:rPr>
          <w:rFonts w:ascii="Arial" w:hAnsi="Arial" w:cs="Arial"/>
          <w:color w:val="000000"/>
          <w:sz w:val="24"/>
          <w:szCs w:val="24"/>
          <w:shd w:val="clear" w:color="auto" w:fill="ffffff"/>
        </w:rPr>
        <w:t xml:space="preserve">》来看，工作要求是结合当前的工作背景，根据单位自身的性质来安排绩效考核目标，绩效目标安排具有合理性，符合评分标准，绩效目标合理性得3分。</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left="360"/>
        <w:jc w:val="left"/>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(2) 在职人员控制率（满分2分）</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0" w:left="-141"/>
        <w:jc w:val="left"/>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随州市水利局内设办公室、政工人事科、规划科技与信息化科、水资源科、水库科、建设科、水保与政策法规科、农村水利科、防洪调度与抗旱减灾科等9个职能科室，行政编制23个</w:t>
      </w:r>
      <w:r>
        <w:rPr>
          <w:rFonts w:hint="eastAsia" w:ascii="Arial" w:hAnsi="Arial" w:cs="Arial"/>
          <w:color w:val="000000"/>
          <w:sz w:val="24"/>
          <w:szCs w:val="24"/>
          <w:shd w:val="clear" w:color="auto" w:fill="ffffff"/>
        </w:rPr>
        <w:t xml:space="preserve">，</w:t>
      </w:r>
      <w:r>
        <w:rPr>
          <w:rFonts w:hint="eastAsia" w:ascii="Arial" w:hAnsi="Arial" w:cs="Arial"/>
          <w:color w:val="000000"/>
          <w:sz w:val="24"/>
          <w:szCs w:val="24"/>
          <w:shd w:val="clear" w:color="auto" w:fill="ffffff"/>
        </w:rPr>
        <w:t xml:space="preserve">“以钱养事”岗位3</w:t>
      </w:r>
      <w:r>
        <w:rPr>
          <w:rFonts w:hint="eastAsia" w:ascii="Arial" w:hAnsi="Arial" w:cs="Arial"/>
          <w:color w:val="000000"/>
          <w:sz w:val="24"/>
          <w:szCs w:val="24"/>
          <w:shd w:val="clear" w:color="auto" w:fill="ffffff"/>
        </w:rPr>
        <w:t xml:space="preserve">名</w:t>
      </w:r>
      <w:r>
        <w:rPr>
          <w:rFonts w:ascii="Arial" w:hAnsi="Arial" w:cs="Arial"/>
          <w:color w:val="000000"/>
          <w:sz w:val="24"/>
          <w:szCs w:val="24"/>
          <w:shd w:val="clear" w:color="auto" w:fill="ffffff"/>
        </w:rPr>
        <w:t xml:space="preserve">。2017年底，实有工作人员</w:t>
      </w:r>
      <w:r>
        <w:rPr>
          <w:rFonts w:hint="eastAsia" w:ascii="Arial" w:hAnsi="Arial" w:cs="Arial"/>
          <w:color w:val="000000"/>
          <w:sz w:val="24"/>
          <w:szCs w:val="24"/>
          <w:shd w:val="clear" w:color="auto" w:fill="ffffff"/>
        </w:rPr>
        <w:t xml:space="preserve">25</w:t>
      </w:r>
      <w:r>
        <w:rPr>
          <w:rFonts w:ascii="Arial" w:hAnsi="Arial" w:cs="Arial"/>
          <w:color w:val="000000"/>
          <w:sz w:val="24"/>
          <w:szCs w:val="24"/>
          <w:shd w:val="clear" w:color="auto" w:fill="ffffff"/>
        </w:rPr>
        <w:t xml:space="preserve">人。</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36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在职人员控制率=（在职人员数/编制数）*100%</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36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w:t>
      </w:r>
      <w:r>
        <w:rPr>
          <w:rFonts w:hint="eastAsia" w:ascii="Arial" w:hAnsi="Arial" w:cs="Arial"/>
          <w:color w:val="000000"/>
          <w:sz w:val="24"/>
          <w:szCs w:val="24"/>
          <w:shd w:val="clear" w:color="auto" w:fill="ffffff"/>
        </w:rPr>
        <w:t xml:space="preserve">25</w:t>
      </w:r>
      <w:r>
        <w:rPr>
          <w:rFonts w:ascii="Arial" w:hAnsi="Arial" w:cs="Arial"/>
          <w:color w:val="000000"/>
          <w:sz w:val="24"/>
          <w:szCs w:val="24"/>
          <w:shd w:val="clear" w:color="auto" w:fill="ffffff"/>
        </w:rPr>
        <w:t xml:space="preserve">人/2</w:t>
      </w:r>
      <w:r>
        <w:rPr>
          <w:rFonts w:hint="eastAsia" w:ascii="Arial" w:hAnsi="Arial" w:cs="Arial"/>
          <w:color w:val="000000"/>
          <w:sz w:val="24"/>
          <w:szCs w:val="24"/>
          <w:shd w:val="clear" w:color="auto" w:fill="ffffff"/>
        </w:rPr>
        <w:t xml:space="preserve">6</w:t>
      </w:r>
      <w:r>
        <w:rPr>
          <w:rFonts w:ascii="Arial" w:hAnsi="Arial" w:cs="Arial"/>
          <w:color w:val="000000"/>
          <w:sz w:val="24"/>
          <w:szCs w:val="24"/>
          <w:shd w:val="clear" w:color="auto" w:fill="ffffff"/>
        </w:rPr>
        <w:t xml:space="preserve">人*100%</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36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w:t>
      </w:r>
      <w:r>
        <w:rPr>
          <w:rFonts w:hint="eastAsia" w:ascii="Arial" w:hAnsi="Arial" w:cs="Arial"/>
          <w:color w:val="000000"/>
          <w:sz w:val="24"/>
          <w:szCs w:val="24"/>
          <w:shd w:val="clear" w:color="auto" w:fill="ffffff"/>
        </w:rPr>
        <w:t xml:space="preserve">96.15</w:t>
      </w:r>
      <w:r>
        <w:rPr>
          <w:rFonts w:ascii="Arial" w:hAnsi="Arial" w:cs="Arial"/>
          <w:color w:val="000000"/>
          <w:sz w:val="24"/>
          <w:szCs w:val="24"/>
          <w:shd w:val="clear" w:color="auto" w:fill="ffffff"/>
        </w:rPr>
        <w:t xml:space="preserve">%</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0" w:left="-141"/>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据计算，在职人员控制率为</w:t>
      </w:r>
      <w:r>
        <w:rPr>
          <w:rFonts w:hint="eastAsia" w:ascii="Arial" w:hAnsi="Arial" w:cs="Arial"/>
          <w:color w:val="000000"/>
          <w:sz w:val="24"/>
          <w:szCs w:val="24"/>
          <w:shd w:val="clear" w:color="auto" w:fill="ffffff"/>
        </w:rPr>
        <w:t xml:space="preserve">96.15</w:t>
      </w:r>
      <w:r>
        <w:rPr>
          <w:rFonts w:ascii="Arial" w:hAnsi="Arial" w:cs="Arial"/>
          <w:color w:val="000000"/>
          <w:sz w:val="24"/>
          <w:szCs w:val="24"/>
          <w:shd w:val="clear" w:color="auto" w:fill="ffffff"/>
        </w:rPr>
        <w:t xml:space="preserve">%，</w:t>
      </w:r>
      <w:r>
        <w:rPr>
          <w:rFonts w:hint="eastAsia" w:ascii="Arial" w:hAnsi="Arial" w:cs="Arial"/>
          <w:color w:val="000000"/>
          <w:sz w:val="24"/>
          <w:szCs w:val="24"/>
          <w:shd w:val="clear" w:color="auto" w:fill="ffffff"/>
        </w:rPr>
        <w:t xml:space="preserve">小</w:t>
      </w:r>
      <w:r>
        <w:rPr>
          <w:rFonts w:ascii="Arial" w:hAnsi="Arial" w:cs="Arial"/>
          <w:color w:val="000000"/>
          <w:sz w:val="24"/>
          <w:szCs w:val="24"/>
          <w:shd w:val="clear" w:color="auto" w:fill="ffffff"/>
        </w:rPr>
        <w:t xml:space="preserve">于100%。根据评分标准，得</w:t>
      </w:r>
      <w:r>
        <w:rPr>
          <w:rFonts w:hint="eastAsia" w:ascii="Arial" w:hAnsi="Arial" w:cs="Arial"/>
          <w:color w:val="000000"/>
          <w:sz w:val="24"/>
          <w:szCs w:val="24"/>
          <w:shd w:val="clear" w:color="auto" w:fill="ffffff"/>
        </w:rPr>
        <w:t xml:space="preserve">2</w:t>
      </w:r>
      <w:r>
        <w:rPr>
          <w:rFonts w:ascii="Arial" w:hAnsi="Arial" w:cs="Arial"/>
          <w:color w:val="000000"/>
          <w:sz w:val="24"/>
          <w:szCs w:val="24"/>
          <w:shd w:val="clear" w:color="auto" w:fill="ffffff"/>
        </w:rPr>
        <w:t xml:space="preserve">分。</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（3）”三公“经费变动率（满分8分）</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根据随州市水利局2017年</w:t>
      </w:r>
      <w:r>
        <w:rPr>
          <w:rFonts w:hint="eastAsia" w:ascii="Arial" w:hAnsi="Arial" w:cs="Arial"/>
          <w:color w:val="000000"/>
          <w:sz w:val="24"/>
          <w:szCs w:val="24"/>
          <w:shd w:val="clear" w:color="auto" w:fill="ffffff"/>
        </w:rPr>
        <w:t xml:space="preserve">部门公开预算和《关于批复2017年部门调整预算的通知》（随财函</w:t>
      </w:r>
      <w:r>
        <w:rPr>
          <w:rFonts w:hint="eastAsia" w:ascii="宋体" w:hAnsi="宋体" w:cs="Arial"/>
          <w:color w:val="000000"/>
          <w:sz w:val="24"/>
          <w:szCs w:val="24"/>
          <w:shd w:val="clear" w:color="auto" w:fill="ffffff"/>
        </w:rPr>
        <w:t xml:space="preserve">[</w:t>
      </w:r>
      <w:r>
        <w:rPr>
          <w:rFonts w:hint="eastAsia" w:ascii="Arial" w:hAnsi="Arial" w:cs="Arial"/>
          <w:color w:val="000000"/>
          <w:sz w:val="24"/>
          <w:szCs w:val="24"/>
          <w:shd w:val="clear" w:color="auto" w:fill="ffffff"/>
        </w:rPr>
        <w:t xml:space="preserve">2017</w:t>
      </w:r>
      <w:r>
        <w:rPr>
          <w:rFonts w:hint="eastAsia" w:ascii="宋体" w:hAnsi="宋体" w:cs="Arial"/>
          <w:color w:val="000000"/>
          <w:sz w:val="24"/>
          <w:szCs w:val="24"/>
          <w:shd w:val="clear" w:color="auto" w:fill="ffffff"/>
        </w:rPr>
        <w:t xml:space="preserve">]</w:t>
      </w:r>
      <w:r>
        <w:rPr>
          <w:rFonts w:hint="eastAsia" w:ascii="Arial" w:hAnsi="Arial" w:cs="Arial"/>
          <w:color w:val="000000"/>
          <w:sz w:val="24"/>
          <w:szCs w:val="24"/>
          <w:shd w:val="clear" w:color="auto" w:fill="ffffff"/>
        </w:rPr>
        <w:t xml:space="preserve">315号）</w:t>
      </w:r>
      <w:r>
        <w:rPr>
          <w:rFonts w:ascii="Arial" w:hAnsi="Arial" w:cs="Arial"/>
          <w:color w:val="000000"/>
          <w:sz w:val="24"/>
          <w:szCs w:val="24"/>
          <w:shd w:val="clear" w:color="auto" w:fill="ffffff"/>
        </w:rPr>
        <w:t xml:space="preserve">2017年三公经费预算数为1</w:t>
      </w:r>
      <w:r>
        <w:rPr>
          <w:rFonts w:hint="eastAsia" w:ascii="Arial" w:hAnsi="Arial" w:cs="Arial"/>
          <w:color w:val="000000"/>
          <w:sz w:val="24"/>
          <w:szCs w:val="24"/>
          <w:shd w:val="clear" w:color="auto" w:fill="ffffff"/>
        </w:rPr>
        <w:t xml:space="preserve">9</w:t>
      </w:r>
      <w:r>
        <w:rPr>
          <w:rFonts w:ascii="Arial" w:hAnsi="Arial" w:cs="Arial"/>
          <w:color w:val="000000"/>
          <w:sz w:val="24"/>
          <w:szCs w:val="24"/>
          <w:shd w:val="clear" w:color="auto" w:fill="ffffff"/>
        </w:rPr>
        <w:t xml:space="preserve">2,700元</w:t>
      </w:r>
      <w:r>
        <w:rPr>
          <w:rFonts w:hint="eastAsia" w:ascii="Arial" w:hAnsi="Arial" w:cs="Arial"/>
          <w:color w:val="000000"/>
          <w:sz w:val="24"/>
          <w:szCs w:val="24"/>
          <w:shd w:val="clear" w:color="auto" w:fill="ffffff"/>
        </w:rPr>
        <w:t xml:space="preserve">；</w:t>
      </w:r>
      <w:r>
        <w:rPr>
          <w:rFonts w:ascii="Arial" w:hAnsi="Arial" w:cs="Arial"/>
          <w:color w:val="000000"/>
          <w:sz w:val="24"/>
          <w:szCs w:val="24"/>
          <w:shd w:val="clear" w:color="auto" w:fill="ffffff"/>
        </w:rPr>
        <w:t xml:space="preserve">2016年三公经费预算数为580,200</w:t>
      </w:r>
      <w:r>
        <w:rPr>
          <w:rFonts w:ascii="Arial" w:hAnsi="Arial" w:cs="Arial"/>
          <w:color w:val="000000"/>
          <w:sz w:val="24"/>
          <w:szCs w:val="24"/>
          <w:shd w:val="clear" w:color="auto" w:fill="ffffff"/>
        </w:rPr>
        <w:t xml:space="preserve">元</w:t>
      </w:r>
      <w:r>
        <w:rPr>
          <w:rFonts w:ascii="Arial" w:hAnsi="Arial" w:cs="Arial"/>
          <w:color w:val="000000"/>
          <w:sz w:val="24"/>
          <w:szCs w:val="24"/>
          <w:shd w:val="clear" w:color="auto" w:fill="ffffff"/>
        </w:rPr>
        <w:t xml:space="preserve">。</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”三公“经费变动率=【（本年度”三公“经费预算数-上年度”三公“经费预算数）/上年度”三公“经费预算数】*100%</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24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=【（1</w:t>
      </w:r>
      <w:r>
        <w:rPr>
          <w:rFonts w:hint="eastAsia" w:ascii="Arial" w:hAnsi="Arial" w:cs="Arial"/>
          <w:color w:val="000000"/>
          <w:sz w:val="24"/>
          <w:szCs w:val="24"/>
          <w:shd w:val="clear" w:color="auto" w:fill="ffffff"/>
        </w:rPr>
        <w:t xml:space="preserve">9</w:t>
      </w:r>
      <w:r>
        <w:rPr>
          <w:rFonts w:ascii="Arial" w:hAnsi="Arial" w:cs="Arial"/>
          <w:color w:val="000000"/>
          <w:sz w:val="24"/>
          <w:szCs w:val="24"/>
          <w:shd w:val="clear" w:color="auto" w:fill="ffffff"/>
        </w:rPr>
        <w:t xml:space="preserve">2700-580200）/580200】*100%</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w:t>
      </w:r>
      <w:r>
        <w:rPr>
          <w:rFonts w:hint="eastAsia" w:ascii="Arial" w:hAnsi="Arial" w:cs="Arial"/>
          <w:color w:val="000000"/>
          <w:sz w:val="24"/>
          <w:szCs w:val="24"/>
          <w:shd w:val="clear" w:color="auto" w:fill="ffffff"/>
        </w:rPr>
        <w:t xml:space="preserve">66.79</w:t>
      </w:r>
      <w:r>
        <w:rPr>
          <w:rFonts w:ascii="Arial" w:hAnsi="Arial" w:cs="Arial"/>
          <w:color w:val="000000"/>
          <w:sz w:val="24"/>
          <w:szCs w:val="24"/>
          <w:shd w:val="clear" w:color="auto" w:fill="ffffff"/>
        </w:rPr>
        <w:t xml:space="preserve">%</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00" w:lineRule="exact"/>
        <w:ind w:firstLine="48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据计算，”三公“经费变动率为-</w:t>
      </w:r>
      <w:r>
        <w:rPr>
          <w:rFonts w:hint="eastAsia" w:ascii="Arial" w:hAnsi="Arial" w:cs="Arial"/>
          <w:color w:val="000000"/>
          <w:sz w:val="24"/>
          <w:szCs w:val="24"/>
          <w:shd w:val="clear" w:color="auto" w:fill="ffffff"/>
        </w:rPr>
        <w:t xml:space="preserve">66.79</w:t>
      </w:r>
      <w:r>
        <w:rPr>
          <w:rFonts w:ascii="Arial" w:hAnsi="Arial" w:cs="Arial"/>
          <w:color w:val="000000"/>
          <w:sz w:val="24"/>
          <w:szCs w:val="24"/>
          <w:shd w:val="clear" w:color="auto" w:fill="ffffff"/>
        </w:rPr>
        <w:t xml:space="preserve">%小于0。根据评分标准，得8分。</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65"/>
        <w:pBdr/>
        <w:shd w:val="clear" w:color="auto" w:fill="ffffff"/>
        <w:spacing w:after="0" w:afterAutospacing="0" w:before="0" w:beforeAutospacing="0" w:line="500" w:lineRule="exact"/>
        <w:ind w:firstLine="480"/>
        <w:rPr>
          <w:rFonts w:ascii="Arial" w:hAnsi="Arial" w:cs="Arial"/>
          <w:color w:val="000000"/>
          <w:shd w:val="clear" w:color="auto" w:fill="ffffff"/>
        </w:rPr>
      </w:pPr>
      <w:r>
        <w:rPr>
          <w:rFonts w:ascii="Arial" w:hAnsi="Arial" w:cs="Arial"/>
          <w:color w:val="000000"/>
          <w:shd w:val="clear" w:color="auto" w:fill="ffffff"/>
        </w:rPr>
        <w:t xml:space="preserve">（4）预算的完整性  （满分2分）</w:t>
      </w:r>
      <w:r>
        <w:rPr>
          <w:rFonts w:ascii="Arial" w:hAnsi="Arial" w:cs="Arial"/>
          <w:color w:val="000000"/>
          <w:shd w:val="clear" w:color="auto" w:fill="ffffff"/>
        </w:rPr>
      </w:r>
      <w:r>
        <w:rPr>
          <w:rFonts w:ascii="Arial" w:hAnsi="Arial" w:cs="Arial"/>
          <w:color w:val="000000"/>
          <w:shd w:val="clear" w:color="auto" w:fill="ffffff"/>
        </w:rPr>
      </w:r>
    </w:p>
    <w:p>
      <w:pPr>
        <w:pStyle w:val="865"/>
        <w:pBdr/>
        <w:shd w:val="clear" w:color="auto" w:fill="ffffff"/>
        <w:spacing w:after="0" w:afterAutospacing="0" w:before="0" w:beforeAutospacing="0" w:line="500" w:lineRule="exact"/>
        <w:ind w:firstLine="480"/>
        <w:rPr>
          <w:rFonts w:ascii="Arial" w:hAnsi="Arial" w:cs="Arial"/>
          <w:color w:val="000000"/>
          <w:shd w:val="clear" w:color="auto" w:fill="ffffff"/>
        </w:rPr>
      </w:pPr>
      <w:r>
        <w:rPr>
          <w:rFonts w:ascii="Arial" w:hAnsi="Arial" w:cs="Arial"/>
          <w:color w:val="000000"/>
          <w:shd w:val="clear" w:color="auto" w:fill="ffffff"/>
        </w:rPr>
        <w:t xml:space="preserve">根据随州市水利局《2017年度部门财政收支预算总表》及单位预算编制、上报审批情况，公共财政预算、国有资产经营预算、政府性基金预算、社会保障预算等全部纳入政府预算管理。根据评分标准，得2分。</w:t>
      </w:r>
      <w:r>
        <w:rPr>
          <w:rFonts w:ascii="Arial" w:hAnsi="Arial" w:cs="Arial"/>
          <w:color w:val="000000"/>
          <w:shd w:val="clear" w:color="auto" w:fill="ffffff"/>
        </w:rPr>
      </w:r>
      <w:r>
        <w:rPr>
          <w:rFonts w:ascii="Arial" w:hAnsi="Arial" w:cs="Arial"/>
          <w:color w:val="000000"/>
          <w:shd w:val="clear" w:color="auto" w:fill="ffffff"/>
        </w:rPr>
      </w:r>
    </w:p>
    <w:p>
      <w:pPr>
        <w:pStyle w:val="865"/>
        <w:pBdr/>
        <w:shd w:val="clear" w:color="auto" w:fill="ffffff"/>
        <w:spacing w:after="0" w:afterAutospacing="0" w:before="0" w:beforeAutospacing="0" w:line="500" w:lineRule="exact"/>
        <w:ind w:firstLine="482"/>
        <w:rPr>
          <w:rFonts w:ascii="Arial" w:hAnsi="Arial" w:cs="Arial"/>
          <w:b/>
        </w:rPr>
      </w:pPr>
      <w:r>
        <w:rPr>
          <w:rFonts w:ascii="Arial" w:hAnsi="Arial" w:cs="Arial"/>
          <w:b/>
        </w:rPr>
        <w:t xml:space="preserve">2、过程</w:t>
      </w:r>
      <w:r>
        <w:rPr>
          <w:rFonts w:ascii="Arial" w:hAnsi="Arial" w:cs="Arial"/>
          <w:b/>
        </w:rPr>
      </w:r>
      <w:r>
        <w:rPr>
          <w:rFonts w:ascii="Arial" w:hAnsi="Arial" w:cs="Arial"/>
          <w:b/>
        </w:rPr>
      </w:r>
    </w:p>
    <w:p>
      <w:pPr>
        <w:pStyle w:val="856"/>
        <w:pBdr/>
        <w:spacing w:line="500" w:lineRule="exact"/>
        <w:ind w:firstLine="48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根据评价原则，项目过程指标综合分值53分，评价得分为46.45分。</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ind/>
        <w:rPr>
          <w:rFonts w:ascii="Arial" w:hAnsi="Arial" w:cs="Arial"/>
          <w:color w:val="000000"/>
          <w:sz w:val="24"/>
          <w:szCs w:val="24"/>
          <w:shd w:val="clear" w:color="auto" w:fill="ffffff"/>
        </w:rPr>
      </w:pPr>
      <w:r>
        <w:rPr>
          <w:rFonts w:ascii="Arial" w:hAnsi="Arial" w:cs="Arial"/>
          <w:color w:val="000000"/>
          <w:sz w:val="24"/>
          <w:szCs w:val="24"/>
          <w:shd w:val="clear" w:color="auto" w:fill="ffffff"/>
        </w:rPr>
        <mc:AlternateContent>
          <mc:Choice Requires="wpg">
            <w:drawing>
              <wp:inline xmlns:wp="http://schemas.openxmlformats.org/drawingml/2006/wordprocessingDrawing" distT="0" distB="0" distL="0" distR="0">
                <wp:extent cx="5363845" cy="2476500"/>
                <wp:effectExtent l="0" t="0" r="0" b="0"/>
                <wp:docPr id="2" name="_x0000_i102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
                        <a:srcRect l="-1664" t="-5642" r="-2501" b="-4644"/>
                        <a:stretch/>
                      </pic:blipFill>
                      <pic:spPr bwMode="auto">
                        <a:xfrm>
                          <a:off x="0" y="0"/>
                          <a:ext cx="5363845" cy="247650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422.35pt;height:195.00pt;mso-wrap-distance-left:0.00pt;mso-wrap-distance-top:0.00pt;mso-wrap-distance-right:0.00pt;mso-wrap-distance-bottom:0.00pt;z-index:1;" stroked="f">
                <v:imagedata r:id="rId11" o:title=""/>
                <o:lock v:ext="edit" rotation="t"/>
              </v:shape>
            </w:pict>
          </mc:Fallback>
        </mc:AlternateConten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ind/>
        <w:rPr>
          <w:rFonts w:ascii="Arial" w:hAnsi="Arial" w:cs="Arial"/>
          <w:color w:val="000000"/>
          <w:sz w:val="24"/>
          <w:szCs w:val="24"/>
          <w:shd w:val="clear" w:color="auto" w:fill="ffffff"/>
        </w:rPr>
      </w:pPr>
      <w:r>
        <w:rPr>
          <w:rFonts w:ascii="Arial" w:hAnsi="Arial" w:cs="Arial"/>
          <w:color w:val="000000"/>
          <w:sz w:val="24"/>
          <w:szCs w:val="24"/>
          <w:shd w:val="clear" w:color="auto" w:fill="ffffff"/>
        </w:rPr>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bl>
      <w:tblPr>
        <w:tblW w:w="8520" w:type="dxa"/>
        <w:tblInd w:w="9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left w:w="108" w:type="dxa"/>
          <w:top w:w="0" w:type="dxa"/>
          <w:right w:w="108" w:type="dxa"/>
          <w:bottom w:w="0" w:type="dxa"/>
        </w:tblCellMar>
        <w:tblLook w:val="04A0" w:firstRow="1" w:lastRow="0" w:firstColumn="1" w:lastColumn="0" w:noHBand="0" w:noVBand="1"/>
      </w:tblPr>
      <w:tblGrid>
        <w:gridCol w:w="576"/>
        <w:gridCol w:w="478"/>
        <w:gridCol w:w="620"/>
        <w:gridCol w:w="417"/>
        <w:gridCol w:w="1045"/>
        <w:gridCol w:w="424"/>
        <w:gridCol w:w="2409"/>
        <w:gridCol w:w="1976"/>
        <w:gridCol w:w="575"/>
      </w:tblGrid>
      <w:tr>
        <w:trPr>
          <w:trHeight w:val="312"/>
        </w:trPr>
        <w:tc>
          <w:tcPr>
            <w:tcBorders/>
            <w:tcW w:w="576"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一级指标</w:t>
            </w:r>
            <w:r>
              <w:rPr>
                <w:rFonts w:ascii="Arial" w:hAnsi="Arial" w:cs="Arial"/>
                <w:color w:val="000000"/>
                <w:sz w:val="18"/>
                <w:szCs w:val="18"/>
              </w:rPr>
            </w:r>
            <w:r>
              <w:rPr>
                <w:rFonts w:ascii="Arial" w:hAnsi="Arial" w:cs="Arial"/>
                <w:color w:val="000000"/>
                <w:sz w:val="18"/>
                <w:szCs w:val="18"/>
              </w:rPr>
            </w:r>
          </w:p>
        </w:tc>
        <w:tc>
          <w:tcPr>
            <w:tcBorders/>
            <w:tcW w:w="478"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分值</w:t>
            </w:r>
            <w:r>
              <w:rPr>
                <w:rFonts w:ascii="Arial" w:hAnsi="Arial" w:cs="Arial"/>
                <w:color w:val="000000"/>
                <w:sz w:val="18"/>
                <w:szCs w:val="18"/>
              </w:rPr>
            </w:r>
            <w:r>
              <w:rPr>
                <w:rFonts w:ascii="Arial" w:hAnsi="Arial" w:cs="Arial"/>
                <w:color w:val="000000"/>
                <w:sz w:val="18"/>
                <w:szCs w:val="18"/>
              </w:rPr>
            </w:r>
          </w:p>
        </w:tc>
        <w:tc>
          <w:tcPr>
            <w:tcBorders/>
            <w:tcW w:w="620"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二级指标</w:t>
            </w:r>
            <w:r>
              <w:rPr>
                <w:rFonts w:ascii="Arial" w:hAnsi="Arial" w:cs="Arial"/>
                <w:color w:val="000000"/>
                <w:sz w:val="18"/>
                <w:szCs w:val="18"/>
              </w:rPr>
            </w:r>
            <w:r>
              <w:rPr>
                <w:rFonts w:ascii="Arial" w:hAnsi="Arial" w:cs="Arial"/>
                <w:color w:val="000000"/>
                <w:sz w:val="18"/>
                <w:szCs w:val="18"/>
              </w:rPr>
            </w:r>
          </w:p>
        </w:tc>
        <w:tc>
          <w:tcPr>
            <w:tcBorders/>
            <w:tcW w:w="417"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分值</w:t>
            </w:r>
            <w:r>
              <w:rPr>
                <w:rFonts w:ascii="Arial" w:hAnsi="Arial" w:cs="Arial"/>
                <w:color w:val="000000"/>
                <w:sz w:val="18"/>
                <w:szCs w:val="18"/>
              </w:rPr>
            </w:r>
            <w:r>
              <w:rPr>
                <w:rFonts w:ascii="Arial" w:hAnsi="Arial" w:cs="Arial"/>
                <w:color w:val="000000"/>
                <w:sz w:val="18"/>
                <w:szCs w:val="18"/>
              </w:rPr>
            </w:r>
          </w:p>
        </w:tc>
        <w:tc>
          <w:tcPr>
            <w:tcBorders/>
            <w:tcW w:w="1045"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三级  指标</w:t>
            </w:r>
            <w:r>
              <w:rPr>
                <w:rFonts w:ascii="Arial" w:hAnsi="Arial" w:cs="Arial"/>
                <w:color w:val="000000"/>
                <w:sz w:val="18"/>
                <w:szCs w:val="18"/>
              </w:rPr>
            </w:r>
            <w:r>
              <w:rPr>
                <w:rFonts w:ascii="Arial" w:hAnsi="Arial" w:cs="Arial"/>
                <w:color w:val="000000"/>
                <w:sz w:val="18"/>
                <w:szCs w:val="18"/>
              </w:rPr>
            </w:r>
          </w:p>
        </w:tc>
        <w:tc>
          <w:tcPr>
            <w:tcBorders/>
            <w:tcW w:w="424"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分值</w:t>
            </w:r>
            <w:r>
              <w:rPr>
                <w:rFonts w:ascii="Arial" w:hAnsi="Arial" w:cs="Arial"/>
                <w:color w:val="000000"/>
                <w:sz w:val="18"/>
                <w:szCs w:val="18"/>
              </w:rPr>
            </w:r>
            <w:r>
              <w:rPr>
                <w:rFonts w:ascii="Arial" w:hAnsi="Arial" w:cs="Arial"/>
                <w:color w:val="000000"/>
                <w:sz w:val="18"/>
                <w:szCs w:val="18"/>
              </w:rPr>
            </w:r>
          </w:p>
        </w:tc>
        <w:tc>
          <w:tcPr>
            <w:tcBorders/>
            <w:tcW w:w="2409"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评价标准</w:t>
            </w:r>
            <w:r>
              <w:rPr>
                <w:rFonts w:ascii="Arial" w:hAnsi="Arial" w:cs="Arial"/>
                <w:color w:val="000000"/>
                <w:sz w:val="18"/>
                <w:szCs w:val="18"/>
              </w:rPr>
            </w:r>
            <w:r>
              <w:rPr>
                <w:rFonts w:ascii="Arial" w:hAnsi="Arial" w:cs="Arial"/>
                <w:color w:val="000000"/>
                <w:sz w:val="18"/>
                <w:szCs w:val="18"/>
              </w:rPr>
            </w:r>
          </w:p>
        </w:tc>
        <w:tc>
          <w:tcPr>
            <w:tcBorders/>
            <w:tcW w:w="1976"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指标说明</w:t>
            </w:r>
            <w:r>
              <w:rPr>
                <w:rFonts w:ascii="Arial" w:hAnsi="Arial" w:cs="Arial"/>
                <w:color w:val="000000"/>
                <w:sz w:val="18"/>
                <w:szCs w:val="18"/>
              </w:rPr>
            </w:r>
            <w:r>
              <w:rPr>
                <w:rFonts w:ascii="Arial" w:hAnsi="Arial" w:cs="Arial"/>
                <w:color w:val="000000"/>
                <w:sz w:val="18"/>
                <w:szCs w:val="18"/>
              </w:rPr>
            </w:r>
          </w:p>
        </w:tc>
        <w:tc>
          <w:tcPr>
            <w:tcBorders/>
            <w:tcW w:w="575"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得分</w:t>
            </w:r>
            <w:r>
              <w:rPr>
                <w:rFonts w:ascii="Arial" w:hAnsi="Arial" w:cs="Arial"/>
                <w:color w:val="000000"/>
                <w:sz w:val="18"/>
                <w:szCs w:val="18"/>
              </w:rPr>
            </w:r>
            <w:r>
              <w:rPr>
                <w:rFonts w:ascii="Arial" w:hAnsi="Arial" w:cs="Arial"/>
                <w:color w:val="000000"/>
                <w:sz w:val="18"/>
                <w:szCs w:val="18"/>
              </w:rPr>
            </w:r>
          </w:p>
        </w:tc>
      </w:tr>
      <w:tr>
        <w:trPr>
          <w:trHeight w:val="735"/>
        </w:trPr>
        <w:tc>
          <w:tcPr>
            <w:tcBorders/>
            <w:tcW w:w="576"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过程                                                                                                                                       </w:t>
            </w:r>
            <w:r>
              <w:rPr>
                <w:rFonts w:ascii="Arial" w:hAnsi="Arial" w:cs="Arial"/>
                <w:color w:val="000000"/>
                <w:sz w:val="18"/>
                <w:szCs w:val="18"/>
              </w:rPr>
            </w:r>
            <w:r>
              <w:rPr>
                <w:rFonts w:ascii="Arial" w:hAnsi="Arial" w:cs="Arial"/>
                <w:color w:val="000000"/>
                <w:sz w:val="18"/>
                <w:szCs w:val="18"/>
              </w:rPr>
            </w:r>
          </w:p>
        </w:tc>
        <w:tc>
          <w:tcPr>
            <w:tcBorders/>
            <w:tcW w:w="478"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53</w:t>
            </w:r>
            <w:r>
              <w:rPr>
                <w:rFonts w:ascii="Arial" w:hAnsi="Arial" w:cs="Arial"/>
                <w:color w:val="000000"/>
                <w:sz w:val="18"/>
                <w:szCs w:val="18"/>
              </w:rPr>
            </w:r>
            <w:r>
              <w:rPr>
                <w:rFonts w:ascii="Arial" w:hAnsi="Arial" w:cs="Arial"/>
                <w:color w:val="000000"/>
                <w:sz w:val="18"/>
                <w:szCs w:val="18"/>
              </w:rPr>
            </w:r>
          </w:p>
        </w:tc>
        <w:tc>
          <w:tcPr>
            <w:tcBorders/>
            <w:tcW w:w="620"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预算执行</w:t>
            </w:r>
            <w:r>
              <w:rPr>
                <w:rFonts w:ascii="Arial" w:hAnsi="Arial" w:cs="Arial"/>
                <w:color w:val="000000"/>
                <w:sz w:val="18"/>
                <w:szCs w:val="18"/>
              </w:rPr>
            </w:r>
            <w:r>
              <w:rPr>
                <w:rFonts w:ascii="Arial" w:hAnsi="Arial" w:cs="Arial"/>
                <w:color w:val="000000"/>
                <w:sz w:val="18"/>
                <w:szCs w:val="18"/>
              </w:rPr>
            </w:r>
          </w:p>
        </w:tc>
        <w:tc>
          <w:tcPr>
            <w:tcBorders/>
            <w:tcW w:w="417"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20</w:t>
            </w:r>
            <w:r>
              <w:rPr>
                <w:rFonts w:ascii="Arial" w:hAnsi="Arial" w:cs="Arial"/>
                <w:color w:val="000000"/>
                <w:sz w:val="18"/>
                <w:szCs w:val="18"/>
              </w:rPr>
            </w:r>
            <w:r>
              <w:rPr>
                <w:rFonts w:ascii="Arial" w:hAnsi="Arial" w:cs="Arial"/>
                <w:color w:val="000000"/>
                <w:sz w:val="18"/>
                <w:szCs w:val="18"/>
              </w:rPr>
            </w:r>
          </w:p>
        </w:tc>
        <w:tc>
          <w:tcPr>
            <w:tcBorders/>
            <w:tcW w:w="1045"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支出     完成率</w:t>
            </w:r>
            <w:r>
              <w:rPr>
                <w:rFonts w:ascii="Arial" w:hAnsi="Arial" w:cs="Arial"/>
                <w:color w:val="000000"/>
                <w:sz w:val="18"/>
                <w:szCs w:val="18"/>
              </w:rPr>
            </w:r>
            <w:r>
              <w:rPr>
                <w:rFonts w:ascii="Arial" w:hAnsi="Arial" w:cs="Arial"/>
                <w:color w:val="000000"/>
                <w:sz w:val="18"/>
                <w:szCs w:val="18"/>
              </w:rPr>
            </w:r>
          </w:p>
        </w:tc>
        <w:tc>
          <w:tcPr>
            <w:tcBorders/>
            <w:tcW w:w="424"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5</w:t>
            </w:r>
            <w:r>
              <w:rPr>
                <w:rFonts w:ascii="Arial" w:hAnsi="Arial" w:cs="Arial"/>
                <w:color w:val="000000"/>
                <w:sz w:val="18"/>
                <w:szCs w:val="18"/>
              </w:rPr>
            </w:r>
            <w:r>
              <w:rPr>
                <w:rFonts w:ascii="Arial" w:hAnsi="Arial" w:cs="Arial"/>
                <w:color w:val="000000"/>
                <w:sz w:val="18"/>
                <w:szCs w:val="18"/>
              </w:rPr>
            </w:r>
          </w:p>
        </w:tc>
        <w:tc>
          <w:tcPr>
            <w:tcBorders/>
            <w:tcW w:w="2409"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小于等于100%的，得满分，大于100%的，得0分</w:t>
            </w:r>
            <w:r>
              <w:rPr>
                <w:rFonts w:ascii="Arial" w:hAnsi="Arial" w:cs="Arial"/>
                <w:color w:val="000000"/>
                <w:sz w:val="18"/>
                <w:szCs w:val="18"/>
              </w:rPr>
            </w:r>
            <w:r>
              <w:rPr>
                <w:rFonts w:ascii="Arial" w:hAnsi="Arial" w:cs="Arial"/>
                <w:color w:val="000000"/>
                <w:sz w:val="18"/>
                <w:szCs w:val="18"/>
              </w:rPr>
            </w:r>
          </w:p>
        </w:tc>
        <w:tc>
          <w:tcPr>
            <w:tcBorders/>
            <w:tcW w:w="1976"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支出完成率=（预算支出完成数/支出预算数）×100%。</w:t>
            </w:r>
            <w:r>
              <w:rPr>
                <w:rFonts w:ascii="Arial" w:hAnsi="Arial" w:cs="Arial"/>
                <w:color w:val="000000"/>
                <w:sz w:val="18"/>
                <w:szCs w:val="18"/>
              </w:rPr>
            </w:r>
            <w:r>
              <w:rPr>
                <w:rFonts w:ascii="Arial" w:hAnsi="Arial" w:cs="Arial"/>
                <w:color w:val="000000"/>
                <w:sz w:val="18"/>
                <w:szCs w:val="18"/>
              </w:rPr>
            </w:r>
          </w:p>
        </w:tc>
        <w:tc>
          <w:tcPr>
            <w:tcBorders/>
            <w:tcW w:w="575"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5</w:t>
            </w:r>
            <w:r>
              <w:rPr>
                <w:rFonts w:ascii="Arial" w:hAnsi="Arial" w:cs="Arial"/>
                <w:color w:val="000000"/>
                <w:sz w:val="18"/>
                <w:szCs w:val="18"/>
              </w:rPr>
            </w:r>
            <w:r>
              <w:rPr>
                <w:rFonts w:ascii="Arial" w:hAnsi="Arial" w:cs="Arial"/>
                <w:color w:val="000000"/>
                <w:sz w:val="18"/>
                <w:szCs w:val="18"/>
              </w:rPr>
            </w:r>
          </w:p>
        </w:tc>
      </w:tr>
      <w:tr>
        <w:trPr>
          <w:trHeight w:val="960"/>
        </w:trPr>
        <w:tc>
          <w:tcPr>
            <w:tcBorders/>
            <w:tcW w:w="576" w:type="dxa"/>
            <w:vAlign w:val="center"/>
            <w:vMerge w:val="continue"/>
            <w:textDirection w:val="lrTb"/>
            <w:noWrap w:val="false"/>
          </w:tcPr>
          <w:p>
            <w:pPr>
              <w:pStyle w:val="856"/>
              <w:pBdr/>
              <w:spacing/>
              <w:ind/>
              <w:rPr/>
            </w:pPr>
            <w:r/>
            <w:r/>
          </w:p>
        </w:tc>
        <w:tc>
          <w:tcPr>
            <w:tcBorders/>
            <w:tcW w:w="478" w:type="dxa"/>
            <w:vAlign w:val="center"/>
            <w:vMerge w:val="continue"/>
            <w:textDirection w:val="lrTb"/>
            <w:noWrap w:val="false"/>
          </w:tcPr>
          <w:p>
            <w:pPr>
              <w:pStyle w:val="856"/>
              <w:pBdr/>
              <w:spacing/>
              <w:ind/>
              <w:rPr/>
            </w:pPr>
            <w:r/>
            <w:r/>
          </w:p>
        </w:tc>
        <w:tc>
          <w:tcPr>
            <w:tcBorders/>
            <w:tcW w:w="620" w:type="dxa"/>
            <w:vAlign w:val="center"/>
            <w:vMerge w:val="continue"/>
            <w:textDirection w:val="lrTb"/>
            <w:noWrap w:val="false"/>
          </w:tcPr>
          <w:p>
            <w:pPr>
              <w:pStyle w:val="856"/>
              <w:pBdr/>
              <w:spacing/>
              <w:ind/>
              <w:rPr/>
            </w:pPr>
            <w:r/>
            <w:r/>
          </w:p>
        </w:tc>
        <w:tc>
          <w:tcPr>
            <w:tcBorders/>
            <w:tcW w:w="417" w:type="dxa"/>
            <w:vAlign w:val="center"/>
            <w:vMerge w:val="continue"/>
            <w:textDirection w:val="lrTb"/>
            <w:noWrap w:val="false"/>
          </w:tcPr>
          <w:p>
            <w:pPr>
              <w:pStyle w:val="856"/>
              <w:pBdr/>
              <w:spacing/>
              <w:ind/>
              <w:rPr/>
            </w:pPr>
            <w:r/>
            <w:r/>
          </w:p>
        </w:tc>
        <w:tc>
          <w:tcPr>
            <w:tcBorders/>
            <w:tcW w:w="1045"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三公经费控制率</w:t>
            </w:r>
            <w:r>
              <w:rPr>
                <w:rFonts w:ascii="Arial" w:hAnsi="Arial" w:cs="Arial"/>
                <w:color w:val="000000"/>
                <w:sz w:val="18"/>
                <w:szCs w:val="18"/>
              </w:rPr>
            </w:r>
            <w:r>
              <w:rPr>
                <w:rFonts w:ascii="Arial" w:hAnsi="Arial" w:cs="Arial"/>
                <w:color w:val="000000"/>
                <w:sz w:val="18"/>
                <w:szCs w:val="18"/>
              </w:rPr>
            </w:r>
          </w:p>
        </w:tc>
        <w:tc>
          <w:tcPr>
            <w:tcBorders/>
            <w:tcW w:w="424"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5</w:t>
            </w:r>
            <w:r>
              <w:rPr>
                <w:rFonts w:ascii="Arial" w:hAnsi="Arial" w:cs="Arial"/>
                <w:color w:val="000000"/>
                <w:sz w:val="18"/>
                <w:szCs w:val="18"/>
              </w:rPr>
            </w:r>
            <w:r>
              <w:rPr>
                <w:rFonts w:ascii="Arial" w:hAnsi="Arial" w:cs="Arial"/>
                <w:color w:val="000000"/>
                <w:sz w:val="18"/>
                <w:szCs w:val="18"/>
              </w:rPr>
            </w:r>
          </w:p>
        </w:tc>
        <w:tc>
          <w:tcPr>
            <w:tcBorders/>
            <w:tcW w:w="2409"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100%以下（含）计满分，每超出1%扣1分，扣完为止。</w:t>
            </w:r>
            <w:r>
              <w:rPr>
                <w:rFonts w:ascii="Arial" w:hAnsi="Arial" w:cs="Arial"/>
                <w:color w:val="000000"/>
                <w:sz w:val="18"/>
                <w:szCs w:val="18"/>
              </w:rPr>
            </w:r>
            <w:r>
              <w:rPr>
                <w:rFonts w:ascii="Arial" w:hAnsi="Arial" w:cs="Arial"/>
                <w:color w:val="000000"/>
                <w:sz w:val="18"/>
                <w:szCs w:val="18"/>
              </w:rPr>
            </w:r>
          </w:p>
        </w:tc>
        <w:tc>
          <w:tcPr>
            <w:tcBorders/>
            <w:tcW w:w="1976"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公用经费控制率=（实际支出公用经费总额/预算安排公用经费总额）×100%。公用经费支出是指部门基本支出中的一般商品和服务支出。</w:t>
            </w:r>
            <w:r>
              <w:rPr>
                <w:rFonts w:ascii="Arial" w:hAnsi="Arial" w:cs="Arial"/>
                <w:color w:val="000000"/>
                <w:sz w:val="18"/>
                <w:szCs w:val="18"/>
              </w:rPr>
            </w:r>
            <w:r>
              <w:rPr>
                <w:rFonts w:ascii="Arial" w:hAnsi="Arial" w:cs="Arial"/>
                <w:color w:val="000000"/>
                <w:sz w:val="18"/>
                <w:szCs w:val="18"/>
              </w:rPr>
            </w:r>
          </w:p>
        </w:tc>
        <w:tc>
          <w:tcPr>
            <w:tcBorders/>
            <w:tcW w:w="575"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0</w:t>
            </w:r>
            <w:r>
              <w:rPr>
                <w:rFonts w:ascii="Arial" w:hAnsi="Arial" w:cs="Arial"/>
                <w:color w:val="000000"/>
                <w:sz w:val="18"/>
                <w:szCs w:val="18"/>
              </w:rPr>
            </w:r>
            <w:r>
              <w:rPr>
                <w:rFonts w:ascii="Arial" w:hAnsi="Arial" w:cs="Arial"/>
                <w:color w:val="000000"/>
                <w:sz w:val="18"/>
                <w:szCs w:val="18"/>
              </w:rPr>
            </w:r>
          </w:p>
        </w:tc>
      </w:tr>
      <w:tr>
        <w:trPr>
          <w:trHeight w:val="690"/>
        </w:trPr>
        <w:tc>
          <w:tcPr>
            <w:tcBorders/>
            <w:tcW w:w="576" w:type="dxa"/>
            <w:vAlign w:val="center"/>
            <w:vMerge w:val="continue"/>
            <w:textDirection w:val="lrTb"/>
            <w:noWrap w:val="false"/>
          </w:tcPr>
          <w:p>
            <w:pPr>
              <w:pStyle w:val="856"/>
              <w:pBdr/>
              <w:spacing/>
              <w:ind/>
              <w:rPr/>
            </w:pPr>
            <w:r/>
            <w:r/>
          </w:p>
        </w:tc>
        <w:tc>
          <w:tcPr>
            <w:tcBorders/>
            <w:tcW w:w="478" w:type="dxa"/>
            <w:vAlign w:val="center"/>
            <w:vMerge w:val="continue"/>
            <w:textDirection w:val="lrTb"/>
            <w:noWrap w:val="false"/>
          </w:tcPr>
          <w:p>
            <w:pPr>
              <w:pStyle w:val="856"/>
              <w:pBdr/>
              <w:spacing/>
              <w:ind/>
              <w:rPr/>
            </w:pPr>
            <w:r/>
            <w:r/>
          </w:p>
        </w:tc>
        <w:tc>
          <w:tcPr>
            <w:tcBorders/>
            <w:tcW w:w="620" w:type="dxa"/>
            <w:vAlign w:val="center"/>
            <w:vMerge w:val="continue"/>
            <w:textDirection w:val="lrTb"/>
            <w:noWrap w:val="false"/>
          </w:tcPr>
          <w:p>
            <w:pPr>
              <w:pStyle w:val="856"/>
              <w:pBdr/>
              <w:spacing/>
              <w:ind/>
              <w:rPr/>
            </w:pPr>
            <w:r/>
            <w:r/>
          </w:p>
        </w:tc>
        <w:tc>
          <w:tcPr>
            <w:tcBorders/>
            <w:tcW w:w="417" w:type="dxa"/>
            <w:vAlign w:val="center"/>
            <w:vMerge w:val="continue"/>
            <w:textDirection w:val="lrTb"/>
            <w:noWrap w:val="false"/>
          </w:tcPr>
          <w:p>
            <w:pPr>
              <w:pStyle w:val="856"/>
              <w:pBdr/>
              <w:spacing/>
              <w:ind/>
              <w:rPr/>
            </w:pPr>
            <w:r/>
            <w:r/>
          </w:p>
        </w:tc>
        <w:tc>
          <w:tcPr>
            <w:tcBorders/>
            <w:tcW w:w="1045"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政府采购执行率</w:t>
            </w:r>
            <w:r>
              <w:rPr>
                <w:rFonts w:ascii="Arial" w:hAnsi="Arial" w:cs="Arial"/>
                <w:color w:val="000000"/>
                <w:sz w:val="18"/>
                <w:szCs w:val="18"/>
              </w:rPr>
            </w:r>
            <w:r>
              <w:rPr>
                <w:rFonts w:ascii="Arial" w:hAnsi="Arial" w:cs="Arial"/>
                <w:color w:val="000000"/>
                <w:sz w:val="18"/>
                <w:szCs w:val="18"/>
              </w:rPr>
            </w:r>
          </w:p>
        </w:tc>
        <w:tc>
          <w:tcPr>
            <w:tcBorders/>
            <w:tcW w:w="424"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5</w:t>
            </w:r>
            <w:r>
              <w:rPr>
                <w:rFonts w:ascii="Arial" w:hAnsi="Arial" w:cs="Arial"/>
                <w:color w:val="000000"/>
                <w:sz w:val="18"/>
                <w:szCs w:val="18"/>
              </w:rPr>
            </w:r>
            <w:r>
              <w:rPr>
                <w:rFonts w:ascii="Arial" w:hAnsi="Arial" w:cs="Arial"/>
                <w:color w:val="000000"/>
                <w:sz w:val="18"/>
                <w:szCs w:val="18"/>
              </w:rPr>
            </w:r>
          </w:p>
        </w:tc>
        <w:tc>
          <w:tcPr>
            <w:tcBorders/>
            <w:tcW w:w="2409"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100%计满分，每超过（降低）5%扣2分。扣完为止。</w:t>
            </w:r>
            <w:r>
              <w:rPr>
                <w:rFonts w:ascii="Arial" w:hAnsi="Arial" w:cs="Arial"/>
                <w:color w:val="000000"/>
                <w:sz w:val="18"/>
                <w:szCs w:val="18"/>
              </w:rPr>
            </w:r>
            <w:r>
              <w:rPr>
                <w:rFonts w:ascii="Arial" w:hAnsi="Arial" w:cs="Arial"/>
                <w:color w:val="000000"/>
                <w:sz w:val="18"/>
                <w:szCs w:val="18"/>
              </w:rPr>
            </w:r>
          </w:p>
        </w:tc>
        <w:tc>
          <w:tcPr>
            <w:tcBorders/>
            <w:tcW w:w="1976"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政府采购执行率=（实际政府采购金额/政府采购预算数）×100%</w:t>
            </w:r>
            <w:r>
              <w:rPr>
                <w:rFonts w:ascii="Arial" w:hAnsi="Arial" w:cs="Arial"/>
                <w:color w:val="000000"/>
                <w:sz w:val="18"/>
                <w:szCs w:val="18"/>
              </w:rPr>
            </w:r>
            <w:r>
              <w:rPr>
                <w:rFonts w:ascii="Arial" w:hAnsi="Arial" w:cs="Arial"/>
                <w:color w:val="000000"/>
                <w:sz w:val="18"/>
                <w:szCs w:val="18"/>
              </w:rPr>
            </w:r>
          </w:p>
        </w:tc>
        <w:tc>
          <w:tcPr>
            <w:tcBorders/>
            <w:tcW w:w="575" w:type="dxa"/>
            <w:vAlign w:val="center"/>
            <w:textDirection w:val="lrTb"/>
            <w:noWrap w:val="false"/>
          </w:tcPr>
          <w:p>
            <w:pPr>
              <w:pStyle w:val="856"/>
              <w:widowControl w:val="true"/>
              <w:pBdr/>
              <w:spacing/>
              <w:ind/>
              <w:jc w:val="center"/>
              <w:rPr>
                <w:rFonts w:ascii="Arial" w:hAnsi="Arial" w:eastAsia="仿宋_GB2312" w:cs="Arial"/>
                <w:color w:val="000000"/>
                <w:sz w:val="18"/>
                <w:szCs w:val="18"/>
              </w:rPr>
            </w:pPr>
            <w:r>
              <w:rPr>
                <w:rFonts w:ascii="Arial" w:hAnsi="Arial" w:eastAsia="仿宋_GB2312" w:cs="Arial"/>
                <w:color w:val="000000"/>
                <w:sz w:val="18"/>
                <w:szCs w:val="18"/>
              </w:rPr>
              <w:t xml:space="preserve">5</w:t>
            </w:r>
            <w:r>
              <w:rPr>
                <w:rFonts w:ascii="Arial" w:hAnsi="Arial" w:eastAsia="仿宋_GB2312" w:cs="Arial"/>
                <w:color w:val="000000"/>
                <w:sz w:val="18"/>
                <w:szCs w:val="18"/>
              </w:rPr>
            </w:r>
            <w:r>
              <w:rPr>
                <w:rFonts w:ascii="Arial" w:hAnsi="Arial" w:eastAsia="仿宋_GB2312" w:cs="Arial"/>
                <w:color w:val="000000"/>
                <w:sz w:val="18"/>
                <w:szCs w:val="18"/>
              </w:rPr>
            </w:r>
          </w:p>
        </w:tc>
      </w:tr>
      <w:tr>
        <w:trPr>
          <w:trHeight w:val="1500"/>
        </w:trPr>
        <w:tc>
          <w:tcPr>
            <w:tcBorders/>
            <w:tcW w:w="576" w:type="dxa"/>
            <w:vAlign w:val="center"/>
            <w:vMerge w:val="continue"/>
            <w:textDirection w:val="lrTb"/>
            <w:noWrap w:val="false"/>
          </w:tcPr>
          <w:p>
            <w:pPr>
              <w:pStyle w:val="856"/>
              <w:pBdr/>
              <w:spacing/>
              <w:ind/>
              <w:rPr/>
            </w:pPr>
            <w:r/>
            <w:r/>
          </w:p>
        </w:tc>
        <w:tc>
          <w:tcPr>
            <w:tcBorders/>
            <w:tcW w:w="478" w:type="dxa"/>
            <w:vAlign w:val="center"/>
            <w:vMerge w:val="continue"/>
            <w:textDirection w:val="lrTb"/>
            <w:noWrap w:val="false"/>
          </w:tcPr>
          <w:p>
            <w:pPr>
              <w:pStyle w:val="856"/>
              <w:pBdr/>
              <w:spacing/>
              <w:ind/>
              <w:rPr/>
            </w:pPr>
            <w:r/>
            <w:r/>
          </w:p>
        </w:tc>
        <w:tc>
          <w:tcPr>
            <w:tcBorders/>
            <w:tcW w:w="620" w:type="dxa"/>
            <w:vAlign w:val="center"/>
            <w:vMerge w:val="continue"/>
            <w:textDirection w:val="lrTb"/>
            <w:noWrap w:val="false"/>
          </w:tcPr>
          <w:p>
            <w:pPr>
              <w:pStyle w:val="856"/>
              <w:pBdr/>
              <w:spacing/>
              <w:ind/>
              <w:rPr/>
            </w:pPr>
            <w:r/>
            <w:r/>
          </w:p>
        </w:tc>
        <w:tc>
          <w:tcPr>
            <w:tcBorders/>
            <w:tcW w:w="417" w:type="dxa"/>
            <w:vAlign w:val="center"/>
            <w:vMerge w:val="continue"/>
            <w:textDirection w:val="lrTb"/>
            <w:noWrap w:val="false"/>
          </w:tcPr>
          <w:p>
            <w:pPr>
              <w:pStyle w:val="856"/>
              <w:pBdr/>
              <w:spacing/>
              <w:ind/>
              <w:rPr/>
            </w:pPr>
            <w:r/>
            <w:r/>
          </w:p>
        </w:tc>
        <w:tc>
          <w:tcPr>
            <w:tcBorders/>
            <w:tcW w:w="1045"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资金结转结余率</w:t>
            </w:r>
            <w:r>
              <w:rPr>
                <w:rFonts w:ascii="Arial" w:hAnsi="Arial" w:cs="Arial"/>
                <w:color w:val="000000"/>
                <w:sz w:val="18"/>
                <w:szCs w:val="18"/>
              </w:rPr>
            </w:r>
            <w:r>
              <w:rPr>
                <w:rFonts w:ascii="Arial" w:hAnsi="Arial" w:cs="Arial"/>
                <w:color w:val="000000"/>
                <w:sz w:val="18"/>
                <w:szCs w:val="18"/>
              </w:rPr>
            </w:r>
          </w:p>
        </w:tc>
        <w:tc>
          <w:tcPr>
            <w:tcBorders/>
            <w:tcW w:w="424"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5</w:t>
            </w:r>
            <w:r>
              <w:rPr>
                <w:rFonts w:ascii="Arial" w:hAnsi="Arial" w:cs="Arial"/>
                <w:color w:val="000000"/>
                <w:sz w:val="18"/>
                <w:szCs w:val="18"/>
              </w:rPr>
            </w:r>
            <w:r>
              <w:rPr>
                <w:rFonts w:ascii="Arial" w:hAnsi="Arial" w:cs="Arial"/>
                <w:color w:val="000000"/>
                <w:sz w:val="18"/>
                <w:szCs w:val="18"/>
              </w:rPr>
            </w:r>
          </w:p>
        </w:tc>
        <w:tc>
          <w:tcPr>
            <w:tcBorders/>
            <w:tcW w:w="2409"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1、结转结余率等于0得满分；结转结余率大于50%得0分；3、结转结余率0-50%之间在0和满分之间确定</w:t>
            </w:r>
            <w:r>
              <w:rPr>
                <w:rFonts w:ascii="Arial" w:hAnsi="Arial" w:cs="Arial"/>
                <w:color w:val="000000"/>
                <w:sz w:val="18"/>
                <w:szCs w:val="18"/>
              </w:rPr>
            </w:r>
            <w:r>
              <w:rPr>
                <w:rFonts w:ascii="Arial" w:hAnsi="Arial" w:cs="Arial"/>
                <w:color w:val="000000"/>
                <w:sz w:val="18"/>
                <w:szCs w:val="18"/>
              </w:rPr>
            </w:r>
          </w:p>
        </w:tc>
        <w:tc>
          <w:tcPr>
            <w:tcBorders/>
            <w:tcW w:w="1976"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单位本年度结转结余总额与公共财政支出预算的比率，反映和考核部门对结转资金的控制程度</w:t>
            </w:r>
            <w:r>
              <w:rPr>
                <w:rFonts w:ascii="Arial" w:hAnsi="Arial" w:cs="Arial"/>
                <w:color w:val="000000"/>
                <w:sz w:val="18"/>
                <w:szCs w:val="18"/>
              </w:rPr>
            </w:r>
            <w:r>
              <w:rPr>
                <w:rFonts w:ascii="Arial" w:hAnsi="Arial" w:cs="Arial"/>
                <w:color w:val="000000"/>
                <w:sz w:val="18"/>
                <w:szCs w:val="18"/>
              </w:rPr>
            </w:r>
          </w:p>
        </w:tc>
        <w:tc>
          <w:tcPr>
            <w:tcBorders/>
            <w:tcW w:w="575"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3.45</w:t>
            </w:r>
            <w:r>
              <w:rPr>
                <w:rFonts w:ascii="Arial" w:hAnsi="Arial" w:cs="Arial"/>
                <w:color w:val="000000"/>
                <w:sz w:val="18"/>
                <w:szCs w:val="18"/>
              </w:rPr>
            </w:r>
            <w:r>
              <w:rPr>
                <w:rFonts w:ascii="Arial" w:hAnsi="Arial" w:cs="Arial"/>
                <w:color w:val="000000"/>
                <w:sz w:val="18"/>
                <w:szCs w:val="18"/>
              </w:rPr>
            </w:r>
          </w:p>
        </w:tc>
      </w:tr>
      <w:tr>
        <w:trPr>
          <w:trHeight w:val="750"/>
        </w:trPr>
        <w:tc>
          <w:tcPr>
            <w:tcBorders/>
            <w:tcW w:w="576" w:type="dxa"/>
            <w:vAlign w:val="center"/>
            <w:vMerge w:val="continue"/>
            <w:textDirection w:val="lrTb"/>
            <w:noWrap w:val="false"/>
          </w:tcPr>
          <w:p>
            <w:pPr>
              <w:pStyle w:val="856"/>
              <w:pBdr/>
              <w:spacing/>
              <w:ind/>
              <w:rPr/>
            </w:pPr>
            <w:r/>
            <w:r/>
          </w:p>
        </w:tc>
        <w:tc>
          <w:tcPr>
            <w:tcBorders/>
            <w:tcW w:w="478" w:type="dxa"/>
            <w:vAlign w:val="center"/>
            <w:vMerge w:val="continue"/>
            <w:textDirection w:val="lrTb"/>
            <w:noWrap w:val="false"/>
          </w:tcPr>
          <w:p>
            <w:pPr>
              <w:pStyle w:val="856"/>
              <w:pBdr/>
              <w:spacing/>
              <w:ind/>
              <w:rPr/>
            </w:pPr>
            <w:r/>
            <w:r/>
          </w:p>
        </w:tc>
        <w:tc>
          <w:tcPr>
            <w:tcBorders/>
            <w:tcW w:w="620" w:type="dxa"/>
            <w:vAlign w:val="center"/>
            <w:vMerge w:val="restart"/>
            <w:textDirection w:val="lrTb"/>
            <w:noWrap w:val="false"/>
          </w:tcPr>
          <w:p>
            <w:pPr>
              <w:pStyle w:val="856"/>
              <w:pBdr/>
              <w:spacing/>
              <w:ind/>
              <w:jc w:val="center"/>
              <w:rPr>
                <w:rFonts w:ascii="Arial" w:hAnsi="Arial" w:cs="Arial"/>
                <w:color w:val="000000"/>
                <w:sz w:val="18"/>
                <w:szCs w:val="18"/>
              </w:rPr>
            </w:pPr>
            <w:r>
              <w:rPr>
                <w:rFonts w:ascii="Arial" w:hAnsi="Arial" w:cs="Arial"/>
                <w:color w:val="000000"/>
                <w:sz w:val="18"/>
                <w:szCs w:val="18"/>
              </w:rPr>
            </w:r>
            <w:r>
              <w:rPr>
                <w:rFonts w:ascii="Arial" w:hAnsi="Arial" w:cs="Arial"/>
                <w:color w:val="000000"/>
                <w:sz w:val="18"/>
                <w:szCs w:val="18"/>
              </w:rPr>
            </w:r>
            <w:r>
              <w:rPr>
                <w:rFonts w:ascii="Arial" w:hAnsi="Arial" w:cs="Arial"/>
                <w:color w:val="000000"/>
                <w:sz w:val="18"/>
                <w:szCs w:val="18"/>
              </w:rPr>
            </w:r>
          </w:p>
          <w:p>
            <w:pPr>
              <w:pStyle w:val="856"/>
              <w:pBdr/>
              <w:spacing/>
              <w:ind/>
              <w:jc w:val="center"/>
              <w:rPr>
                <w:rFonts w:ascii="Arial" w:hAnsi="Arial" w:cs="Arial"/>
                <w:color w:val="000000"/>
                <w:sz w:val="18"/>
                <w:szCs w:val="18"/>
              </w:rPr>
            </w:pPr>
            <w:r>
              <w:rPr>
                <w:rFonts w:ascii="Arial" w:hAnsi="Arial" w:cs="Arial"/>
                <w:color w:val="000000"/>
                <w:sz w:val="18"/>
                <w:szCs w:val="18"/>
              </w:rPr>
            </w:r>
            <w:r>
              <w:rPr>
                <w:rFonts w:ascii="Arial" w:hAnsi="Arial" w:cs="Arial"/>
                <w:color w:val="000000"/>
                <w:sz w:val="18"/>
                <w:szCs w:val="18"/>
              </w:rPr>
            </w:r>
            <w:r>
              <w:rPr>
                <w:rFonts w:ascii="Arial" w:hAnsi="Arial" w:cs="Arial"/>
                <w:color w:val="000000"/>
                <w:sz w:val="18"/>
                <w:szCs w:val="18"/>
              </w:rPr>
            </w:r>
          </w:p>
          <w:p>
            <w:pPr>
              <w:pStyle w:val="856"/>
              <w:pBdr/>
              <w:spacing/>
              <w:ind/>
              <w:jc w:val="center"/>
              <w:rPr>
                <w:rFonts w:ascii="Arial" w:hAnsi="Arial" w:cs="Arial"/>
                <w:color w:val="000000"/>
                <w:sz w:val="18"/>
                <w:szCs w:val="18"/>
              </w:rPr>
            </w:pPr>
            <w:r>
              <w:rPr>
                <w:rFonts w:ascii="Arial" w:hAnsi="Arial" w:cs="Arial"/>
                <w:color w:val="000000"/>
                <w:sz w:val="18"/>
                <w:szCs w:val="18"/>
              </w:rPr>
            </w:r>
            <w:r>
              <w:rPr>
                <w:rFonts w:ascii="Arial" w:hAnsi="Arial" w:cs="Arial"/>
                <w:color w:val="000000"/>
                <w:sz w:val="18"/>
                <w:szCs w:val="18"/>
              </w:rPr>
            </w:r>
            <w:r>
              <w:rPr>
                <w:rFonts w:ascii="Arial" w:hAnsi="Arial" w:cs="Arial"/>
                <w:color w:val="000000"/>
                <w:sz w:val="18"/>
                <w:szCs w:val="18"/>
              </w:rPr>
            </w:r>
          </w:p>
          <w:p>
            <w:pPr>
              <w:pStyle w:val="856"/>
              <w:pBdr/>
              <w:spacing/>
              <w:ind/>
              <w:jc w:val="center"/>
              <w:rPr>
                <w:rFonts w:ascii="Arial" w:hAnsi="Arial" w:cs="Arial"/>
                <w:color w:val="000000"/>
                <w:sz w:val="18"/>
                <w:szCs w:val="18"/>
              </w:rPr>
            </w:pPr>
            <w:r>
              <w:rPr>
                <w:rFonts w:ascii="Arial" w:hAnsi="Arial" w:cs="Arial"/>
                <w:color w:val="000000"/>
                <w:sz w:val="18"/>
                <w:szCs w:val="18"/>
              </w:rPr>
            </w:r>
            <w:r>
              <w:rPr>
                <w:rFonts w:ascii="Arial" w:hAnsi="Arial" w:cs="Arial"/>
                <w:color w:val="000000"/>
                <w:sz w:val="18"/>
                <w:szCs w:val="18"/>
              </w:rPr>
            </w:r>
            <w:r>
              <w:rPr>
                <w:rFonts w:ascii="Arial" w:hAnsi="Arial" w:cs="Arial"/>
                <w:color w:val="000000"/>
                <w:sz w:val="18"/>
                <w:szCs w:val="18"/>
              </w:rPr>
            </w:r>
          </w:p>
          <w:p>
            <w:pPr>
              <w:pStyle w:val="856"/>
              <w:pBdr/>
              <w:spacing/>
              <w:ind/>
              <w:jc w:val="center"/>
              <w:rPr>
                <w:rFonts w:ascii="Arial" w:hAnsi="Arial" w:cs="Arial"/>
                <w:color w:val="000000"/>
                <w:sz w:val="18"/>
                <w:szCs w:val="18"/>
              </w:rPr>
            </w:pPr>
            <w:r>
              <w:rPr>
                <w:rFonts w:ascii="Arial" w:hAnsi="Arial" w:cs="Arial"/>
                <w:color w:val="000000"/>
                <w:sz w:val="18"/>
                <w:szCs w:val="18"/>
              </w:rPr>
            </w:r>
            <w:r>
              <w:rPr>
                <w:rFonts w:ascii="Arial" w:hAnsi="Arial" w:cs="Arial"/>
                <w:color w:val="000000"/>
                <w:sz w:val="18"/>
                <w:szCs w:val="18"/>
              </w:rPr>
            </w:r>
            <w:r>
              <w:rPr>
                <w:rFonts w:ascii="Arial" w:hAnsi="Arial" w:cs="Arial"/>
                <w:color w:val="000000"/>
                <w:sz w:val="18"/>
                <w:szCs w:val="18"/>
              </w:rPr>
            </w:r>
          </w:p>
          <w:p>
            <w:pPr>
              <w:pStyle w:val="856"/>
              <w:pBdr/>
              <w:spacing/>
              <w:ind/>
              <w:jc w:val="center"/>
              <w:rPr>
                <w:rFonts w:ascii="Arial" w:hAnsi="Arial" w:cs="Arial"/>
                <w:color w:val="000000"/>
                <w:sz w:val="18"/>
                <w:szCs w:val="18"/>
              </w:rPr>
            </w:pPr>
            <w:r>
              <w:rPr>
                <w:rFonts w:ascii="Arial" w:hAnsi="Arial" w:cs="Arial"/>
                <w:color w:val="000000"/>
                <w:sz w:val="18"/>
                <w:szCs w:val="18"/>
              </w:rPr>
            </w:r>
            <w:r>
              <w:rPr>
                <w:rFonts w:ascii="Arial" w:hAnsi="Arial" w:cs="Arial"/>
                <w:color w:val="000000"/>
                <w:sz w:val="18"/>
                <w:szCs w:val="18"/>
              </w:rPr>
            </w:r>
            <w:r>
              <w:rPr>
                <w:rFonts w:ascii="Arial" w:hAnsi="Arial" w:cs="Arial"/>
                <w:color w:val="000000"/>
                <w:sz w:val="18"/>
                <w:szCs w:val="18"/>
              </w:rPr>
            </w:r>
          </w:p>
          <w:p>
            <w:pPr>
              <w:pStyle w:val="856"/>
              <w:pBdr/>
              <w:spacing/>
              <w:ind/>
              <w:jc w:val="center"/>
              <w:rPr>
                <w:rFonts w:ascii="Arial" w:hAnsi="Arial" w:cs="Arial"/>
                <w:color w:val="000000"/>
                <w:sz w:val="18"/>
                <w:szCs w:val="18"/>
              </w:rPr>
            </w:pPr>
            <w:r>
              <w:rPr>
                <w:rFonts w:ascii="Arial" w:hAnsi="Arial" w:cs="Arial"/>
                <w:color w:val="000000"/>
                <w:sz w:val="18"/>
                <w:szCs w:val="18"/>
              </w:rPr>
            </w:r>
            <w:r>
              <w:rPr>
                <w:rFonts w:ascii="Arial" w:hAnsi="Arial" w:cs="Arial"/>
                <w:color w:val="000000"/>
                <w:sz w:val="18"/>
                <w:szCs w:val="18"/>
              </w:rPr>
            </w:r>
            <w:r>
              <w:rPr>
                <w:rFonts w:ascii="Arial" w:hAnsi="Arial" w:cs="Arial"/>
                <w:color w:val="000000"/>
                <w:sz w:val="18"/>
                <w:szCs w:val="18"/>
              </w:rPr>
            </w:r>
          </w:p>
          <w:p>
            <w:pPr>
              <w:pStyle w:val="856"/>
              <w:pBdr/>
              <w:spacing/>
              <w:ind/>
              <w:jc w:val="center"/>
              <w:rPr>
                <w:rFonts w:ascii="Arial" w:hAnsi="Arial" w:cs="Arial"/>
                <w:color w:val="000000"/>
                <w:sz w:val="18"/>
                <w:szCs w:val="18"/>
              </w:rPr>
            </w:pPr>
            <w:r>
              <w:rPr>
                <w:rFonts w:ascii="Arial" w:hAnsi="Arial" w:cs="Arial"/>
                <w:color w:val="000000"/>
                <w:sz w:val="18"/>
                <w:szCs w:val="18"/>
              </w:rPr>
            </w:r>
            <w:r>
              <w:rPr>
                <w:rFonts w:ascii="Arial" w:hAnsi="Arial" w:cs="Arial"/>
                <w:color w:val="000000"/>
                <w:sz w:val="18"/>
                <w:szCs w:val="18"/>
              </w:rPr>
            </w:r>
            <w:r>
              <w:rPr>
                <w:rFonts w:ascii="Arial" w:hAnsi="Arial" w:cs="Arial"/>
                <w:color w:val="000000"/>
                <w:sz w:val="18"/>
                <w:szCs w:val="18"/>
              </w:rPr>
            </w:r>
          </w:p>
          <w:p>
            <w:pPr>
              <w:pStyle w:val="856"/>
              <w:pBdr/>
              <w:spacing/>
              <w:ind/>
              <w:jc w:val="center"/>
              <w:rPr>
                <w:rFonts w:ascii="Arial" w:hAnsi="Arial" w:cs="Arial"/>
                <w:color w:val="000000"/>
                <w:sz w:val="18"/>
                <w:szCs w:val="18"/>
              </w:rPr>
            </w:pPr>
            <w:r>
              <w:rPr>
                <w:rFonts w:ascii="Arial" w:hAnsi="Arial" w:cs="Arial"/>
                <w:color w:val="000000"/>
                <w:sz w:val="18"/>
                <w:szCs w:val="18"/>
              </w:rPr>
            </w:r>
            <w:r>
              <w:rPr>
                <w:rFonts w:ascii="Arial" w:hAnsi="Arial" w:cs="Arial"/>
                <w:color w:val="000000"/>
                <w:sz w:val="18"/>
                <w:szCs w:val="18"/>
              </w:rPr>
            </w:r>
            <w:r>
              <w:rPr>
                <w:rFonts w:ascii="Arial" w:hAnsi="Arial" w:cs="Arial"/>
                <w:color w:val="000000"/>
                <w:sz w:val="18"/>
                <w:szCs w:val="18"/>
              </w:rPr>
            </w:r>
          </w:p>
          <w:p>
            <w:pPr>
              <w:pStyle w:val="856"/>
              <w:pBdr/>
              <w:spacing/>
              <w:ind/>
              <w:jc w:val="center"/>
              <w:rPr>
                <w:rFonts w:ascii="Arial" w:hAnsi="Arial" w:cs="Arial"/>
                <w:color w:val="000000"/>
                <w:sz w:val="18"/>
                <w:szCs w:val="18"/>
              </w:rPr>
            </w:pPr>
            <w:r>
              <w:rPr>
                <w:rFonts w:ascii="Arial" w:hAnsi="Arial" w:cs="Arial"/>
                <w:color w:val="000000"/>
                <w:sz w:val="18"/>
                <w:szCs w:val="18"/>
              </w:rPr>
            </w:r>
            <w:r>
              <w:rPr>
                <w:rFonts w:ascii="Arial" w:hAnsi="Arial" w:cs="Arial"/>
                <w:color w:val="000000"/>
                <w:sz w:val="18"/>
                <w:szCs w:val="18"/>
              </w:rPr>
            </w:r>
            <w:r>
              <w:rPr>
                <w:rFonts w:ascii="Arial" w:hAnsi="Arial" w:cs="Arial"/>
                <w:color w:val="000000"/>
                <w:sz w:val="18"/>
                <w:szCs w:val="18"/>
              </w:rPr>
            </w:r>
          </w:p>
          <w:p>
            <w:pPr>
              <w:pStyle w:val="856"/>
              <w:pBdr/>
              <w:spacing/>
              <w:ind/>
              <w:jc w:val="center"/>
              <w:rPr>
                <w:rFonts w:ascii="Arial" w:hAnsi="Arial" w:cs="Arial"/>
                <w:color w:val="000000"/>
                <w:sz w:val="18"/>
                <w:szCs w:val="18"/>
              </w:rPr>
            </w:pPr>
            <w:r>
              <w:rPr>
                <w:rFonts w:ascii="Arial" w:hAnsi="Arial" w:cs="Arial"/>
                <w:color w:val="000000"/>
                <w:sz w:val="18"/>
                <w:szCs w:val="18"/>
              </w:rPr>
            </w:r>
            <w:r>
              <w:rPr>
                <w:rFonts w:ascii="Arial" w:hAnsi="Arial" w:cs="Arial"/>
                <w:color w:val="000000"/>
                <w:sz w:val="18"/>
                <w:szCs w:val="18"/>
              </w:rPr>
            </w:r>
            <w:r>
              <w:rPr>
                <w:rFonts w:ascii="Arial" w:hAnsi="Arial" w:cs="Arial"/>
                <w:color w:val="000000"/>
                <w:sz w:val="18"/>
                <w:szCs w:val="18"/>
              </w:rPr>
            </w:r>
          </w:p>
          <w:p>
            <w:pPr>
              <w:pStyle w:val="856"/>
              <w:pBdr/>
              <w:spacing/>
              <w:ind/>
              <w:jc w:val="center"/>
              <w:rPr>
                <w:rFonts w:ascii="Arial" w:hAnsi="Arial" w:cs="Arial"/>
                <w:color w:val="000000"/>
                <w:sz w:val="18"/>
                <w:szCs w:val="18"/>
              </w:rPr>
            </w:pPr>
            <w:r>
              <w:rPr>
                <w:rFonts w:ascii="Arial" w:hAnsi="Arial" w:cs="Arial"/>
                <w:color w:val="000000"/>
                <w:sz w:val="18"/>
                <w:szCs w:val="18"/>
              </w:rPr>
            </w:r>
            <w:r>
              <w:rPr>
                <w:rFonts w:ascii="Arial" w:hAnsi="Arial" w:cs="Arial"/>
                <w:color w:val="000000"/>
                <w:sz w:val="18"/>
                <w:szCs w:val="18"/>
              </w:rPr>
            </w:r>
            <w:r>
              <w:rPr>
                <w:rFonts w:ascii="Arial" w:hAnsi="Arial" w:cs="Arial"/>
                <w:color w:val="000000"/>
                <w:sz w:val="18"/>
                <w:szCs w:val="18"/>
              </w:rPr>
            </w:r>
          </w:p>
          <w:p>
            <w:pPr>
              <w:pStyle w:val="856"/>
              <w:pBdr/>
              <w:spacing/>
              <w:ind/>
              <w:jc w:val="center"/>
              <w:rPr>
                <w:rFonts w:ascii="Arial" w:hAnsi="Arial" w:cs="Arial"/>
                <w:color w:val="000000"/>
                <w:sz w:val="18"/>
                <w:szCs w:val="18"/>
              </w:rPr>
            </w:pPr>
            <w:r>
              <w:rPr>
                <w:rFonts w:ascii="Arial" w:hAnsi="Arial" w:cs="Arial"/>
                <w:color w:val="000000"/>
                <w:sz w:val="18"/>
                <w:szCs w:val="18"/>
              </w:rPr>
              <w:t xml:space="preserve">预算管理</w:t>
            </w:r>
            <w:r>
              <w:rPr>
                <w:rFonts w:ascii="Arial" w:hAnsi="Arial" w:cs="Arial"/>
                <w:color w:val="000000"/>
                <w:sz w:val="18"/>
                <w:szCs w:val="18"/>
              </w:rPr>
            </w:r>
            <w:r>
              <w:rPr>
                <w:rFonts w:ascii="Arial" w:hAnsi="Arial" w:cs="Arial"/>
                <w:color w:val="000000"/>
                <w:sz w:val="18"/>
                <w:szCs w:val="18"/>
              </w:rPr>
            </w:r>
          </w:p>
        </w:tc>
        <w:tc>
          <w:tcPr>
            <w:tcBorders/>
            <w:tcW w:w="417"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28</w:t>
            </w:r>
            <w:r>
              <w:rPr>
                <w:rFonts w:ascii="Arial" w:hAnsi="Arial" w:cs="Arial"/>
                <w:color w:val="000000"/>
                <w:sz w:val="18"/>
                <w:szCs w:val="18"/>
              </w:rPr>
            </w:r>
            <w:r>
              <w:rPr>
                <w:rFonts w:ascii="Arial" w:hAnsi="Arial" w:cs="Arial"/>
                <w:color w:val="000000"/>
                <w:sz w:val="18"/>
                <w:szCs w:val="18"/>
              </w:rPr>
            </w:r>
          </w:p>
        </w:tc>
        <w:tc>
          <w:tcPr>
            <w:tcBorders/>
            <w:tcW w:w="1045"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管理制度健全性</w:t>
            </w:r>
            <w:r>
              <w:rPr>
                <w:rFonts w:ascii="Arial" w:hAnsi="Arial" w:cs="Arial"/>
                <w:color w:val="000000"/>
                <w:sz w:val="18"/>
                <w:szCs w:val="18"/>
              </w:rPr>
            </w:r>
            <w:r>
              <w:rPr>
                <w:rFonts w:ascii="Arial" w:hAnsi="Arial" w:cs="Arial"/>
                <w:color w:val="000000"/>
                <w:sz w:val="18"/>
                <w:szCs w:val="18"/>
              </w:rPr>
            </w:r>
          </w:p>
        </w:tc>
        <w:tc>
          <w:tcPr>
            <w:tcBorders/>
            <w:tcW w:w="424"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8</w:t>
            </w:r>
            <w:r>
              <w:rPr>
                <w:rFonts w:ascii="Arial" w:hAnsi="Arial" w:cs="Arial"/>
                <w:color w:val="000000"/>
                <w:sz w:val="18"/>
                <w:szCs w:val="18"/>
              </w:rPr>
            </w:r>
            <w:r>
              <w:rPr>
                <w:rFonts w:ascii="Arial" w:hAnsi="Arial" w:cs="Arial"/>
                <w:color w:val="000000"/>
                <w:sz w:val="18"/>
                <w:szCs w:val="18"/>
              </w:rPr>
            </w:r>
          </w:p>
        </w:tc>
        <w:tc>
          <w:tcPr>
            <w:tcBorders/>
            <w:tcW w:w="2409" w:type="dxa"/>
            <w:vAlign w:val="center"/>
            <w:textDirection w:val="lrTb"/>
            <w:noWrap w:val="false"/>
          </w:tcPr>
          <w:p>
            <w:pPr>
              <w:pStyle w:val="856"/>
              <w:widowControl w:val="true"/>
              <w:pBdr/>
              <w:spacing/>
              <w:ind/>
              <w:jc w:val="center"/>
              <w:rPr>
                <w:rFonts w:ascii="Arial" w:hAnsi="Arial" w:cs="Arial"/>
                <w:color w:val="000000"/>
                <w:sz w:val="18"/>
                <w:szCs w:val="18"/>
              </w:rPr>
            </w:pPr>
            <w:r>
              <w:rPr>
                <w:rFonts w:hint="eastAsia" w:ascii="宋体" w:cs="Arial"/>
                <w:color w:val="000000"/>
                <w:sz w:val="18"/>
                <w:szCs w:val="18"/>
              </w:rPr>
              <w:t xml:space="preserve">①</w:t>
            </w:r>
            <w:r>
              <w:rPr>
                <w:rFonts w:ascii="Arial" w:hAnsi="Arial" w:cs="Arial"/>
                <w:color w:val="000000"/>
                <w:sz w:val="18"/>
                <w:szCs w:val="18"/>
              </w:rPr>
              <w:t xml:space="preserve">有内部财务管理制度、会计核算制度等管理制度，2分；</w:t>
            </w:r>
            <w:r>
              <w:rPr>
                <w:rFonts w:ascii="Arial" w:hAnsi="Arial" w:cs="Arial"/>
                <w:color w:val="000000"/>
                <w:sz w:val="18"/>
                <w:szCs w:val="18"/>
              </w:rPr>
            </w:r>
            <w:r>
              <w:rPr>
                <w:rFonts w:ascii="Arial" w:hAnsi="Arial" w:cs="Arial"/>
                <w:color w:val="000000"/>
                <w:sz w:val="18"/>
                <w:szCs w:val="18"/>
              </w:rPr>
            </w:r>
          </w:p>
        </w:tc>
        <w:tc>
          <w:tcPr>
            <w:tcBorders/>
            <w:tcW w:w="1976"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部门（单位）为加强预算管理、规范财务行为而制定的管理制度是否健全完整，用以反映和考核部门（单位）预算管理制度对完成主要职责事促进事业发展的保障情况。</w:t>
            </w:r>
            <w:r>
              <w:rPr>
                <w:rFonts w:ascii="Arial" w:hAnsi="Arial" w:cs="Arial"/>
                <w:color w:val="000000"/>
                <w:sz w:val="18"/>
                <w:szCs w:val="18"/>
              </w:rPr>
            </w:r>
            <w:r>
              <w:rPr>
                <w:rFonts w:ascii="Arial" w:hAnsi="Arial" w:cs="Arial"/>
                <w:color w:val="000000"/>
                <w:sz w:val="18"/>
                <w:szCs w:val="18"/>
              </w:rPr>
            </w:r>
          </w:p>
        </w:tc>
        <w:tc>
          <w:tcPr>
            <w:tcBorders/>
            <w:tcW w:w="575"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4</w:t>
            </w:r>
            <w:r>
              <w:rPr>
                <w:rFonts w:ascii="Arial" w:hAnsi="Arial" w:cs="Arial"/>
                <w:color w:val="000000"/>
                <w:sz w:val="18"/>
                <w:szCs w:val="18"/>
              </w:rPr>
            </w:r>
            <w:r>
              <w:rPr>
                <w:rFonts w:ascii="Arial" w:hAnsi="Arial" w:cs="Arial"/>
                <w:color w:val="000000"/>
                <w:sz w:val="18"/>
                <w:szCs w:val="18"/>
              </w:rPr>
            </w:r>
          </w:p>
        </w:tc>
      </w:tr>
      <w:tr>
        <w:trPr>
          <w:trHeight w:val="570"/>
        </w:trPr>
        <w:tc>
          <w:tcPr>
            <w:tcBorders/>
            <w:tcW w:w="576" w:type="dxa"/>
            <w:vAlign w:val="center"/>
            <w:vMerge w:val="continue"/>
            <w:textDirection w:val="lrTb"/>
            <w:noWrap w:val="false"/>
          </w:tcPr>
          <w:p>
            <w:pPr>
              <w:pStyle w:val="856"/>
              <w:pBdr/>
              <w:spacing/>
              <w:ind/>
              <w:rPr/>
            </w:pPr>
            <w:r/>
            <w:r/>
          </w:p>
        </w:tc>
        <w:tc>
          <w:tcPr>
            <w:tcBorders/>
            <w:tcW w:w="478" w:type="dxa"/>
            <w:vAlign w:val="center"/>
            <w:vMerge w:val="continue"/>
            <w:textDirection w:val="lrTb"/>
            <w:noWrap w:val="false"/>
          </w:tcPr>
          <w:p>
            <w:pPr>
              <w:pStyle w:val="856"/>
              <w:pBdr/>
              <w:spacing/>
              <w:ind/>
              <w:rPr/>
            </w:pPr>
            <w:r/>
            <w:r/>
          </w:p>
        </w:tc>
        <w:tc>
          <w:tcPr>
            <w:tcBorders/>
            <w:tcW w:w="620" w:type="dxa"/>
            <w:vAlign w:val="center"/>
            <w:vMerge w:val="continue"/>
            <w:textDirection w:val="lrTb"/>
            <w:noWrap w:val="false"/>
          </w:tcPr>
          <w:p>
            <w:pPr>
              <w:pStyle w:val="856"/>
              <w:pBdr/>
              <w:spacing/>
              <w:ind/>
              <w:rPr/>
            </w:pPr>
            <w:r/>
            <w:r/>
          </w:p>
        </w:tc>
        <w:tc>
          <w:tcPr>
            <w:tcBorders/>
            <w:tcW w:w="417" w:type="dxa"/>
            <w:vAlign w:val="center"/>
            <w:vMerge w:val="continue"/>
            <w:textDirection w:val="lrTb"/>
            <w:noWrap w:val="false"/>
          </w:tcPr>
          <w:p>
            <w:pPr>
              <w:pStyle w:val="856"/>
              <w:pBdr/>
              <w:spacing/>
              <w:ind/>
              <w:rPr/>
            </w:pPr>
            <w:r/>
            <w:r/>
          </w:p>
        </w:tc>
        <w:tc>
          <w:tcPr>
            <w:tcBorders/>
            <w:tcW w:w="1045" w:type="dxa"/>
            <w:vAlign w:val="center"/>
            <w:vMerge w:val="continue"/>
            <w:textDirection w:val="lrTb"/>
            <w:noWrap w:val="false"/>
          </w:tcPr>
          <w:p>
            <w:pPr>
              <w:pStyle w:val="856"/>
              <w:pBdr/>
              <w:spacing/>
              <w:ind/>
              <w:rPr/>
            </w:pPr>
            <w:r/>
            <w:r/>
          </w:p>
        </w:tc>
        <w:tc>
          <w:tcPr>
            <w:tcBorders/>
            <w:tcW w:w="424" w:type="dxa"/>
            <w:vAlign w:val="center"/>
            <w:vMerge w:val="continue"/>
            <w:textDirection w:val="lrTb"/>
            <w:noWrap w:val="false"/>
          </w:tcPr>
          <w:p>
            <w:pPr>
              <w:pStyle w:val="856"/>
              <w:pBdr/>
              <w:spacing/>
              <w:ind/>
              <w:rPr/>
            </w:pPr>
            <w:r/>
            <w:r/>
          </w:p>
        </w:tc>
        <w:tc>
          <w:tcPr>
            <w:tcBorders/>
            <w:tcW w:w="2409" w:type="dxa"/>
            <w:vAlign w:val="center"/>
            <w:textDirection w:val="lrTb"/>
            <w:noWrap w:val="false"/>
          </w:tcPr>
          <w:p>
            <w:pPr>
              <w:pStyle w:val="856"/>
              <w:widowControl w:val="true"/>
              <w:pBdr/>
              <w:spacing/>
              <w:ind/>
              <w:jc w:val="center"/>
              <w:rPr>
                <w:rFonts w:ascii="Arial" w:hAnsi="Arial" w:cs="Arial"/>
                <w:color w:val="000000"/>
                <w:sz w:val="18"/>
                <w:szCs w:val="18"/>
              </w:rPr>
            </w:pPr>
            <w:r>
              <w:rPr>
                <w:rFonts w:hint="eastAsia" w:ascii="宋体" w:cs="Arial"/>
                <w:color w:val="000000"/>
                <w:sz w:val="18"/>
                <w:szCs w:val="18"/>
              </w:rPr>
              <w:t xml:space="preserve">②</w:t>
            </w:r>
            <w:r>
              <w:rPr>
                <w:rFonts w:ascii="Arial" w:hAnsi="Arial" w:cs="Arial"/>
                <w:color w:val="000000"/>
                <w:sz w:val="18"/>
                <w:szCs w:val="18"/>
              </w:rPr>
              <w:t xml:space="preserve">有本部门厉行节约制度,2分；</w:t>
            </w:r>
            <w:r>
              <w:rPr>
                <w:rFonts w:ascii="Arial" w:hAnsi="Arial" w:cs="Arial"/>
                <w:color w:val="000000"/>
                <w:sz w:val="18"/>
                <w:szCs w:val="18"/>
              </w:rPr>
            </w:r>
            <w:r>
              <w:rPr>
                <w:rFonts w:ascii="Arial" w:hAnsi="Arial" w:cs="Arial"/>
                <w:color w:val="000000"/>
                <w:sz w:val="18"/>
                <w:szCs w:val="18"/>
              </w:rPr>
            </w:r>
          </w:p>
        </w:tc>
        <w:tc>
          <w:tcPr>
            <w:tcBorders/>
            <w:tcW w:w="1976" w:type="dxa"/>
            <w:vAlign w:val="center"/>
            <w:vMerge w:val="continue"/>
            <w:textDirection w:val="lrTb"/>
            <w:noWrap w:val="false"/>
          </w:tcPr>
          <w:p>
            <w:pPr>
              <w:pStyle w:val="856"/>
              <w:pBdr/>
              <w:spacing/>
              <w:ind/>
              <w:rPr/>
            </w:pPr>
            <w:r/>
            <w:r/>
          </w:p>
        </w:tc>
        <w:tc>
          <w:tcPr>
            <w:tcBorders/>
            <w:tcW w:w="575" w:type="dxa"/>
            <w:vAlign w:val="center"/>
            <w:vMerge w:val="continue"/>
            <w:textDirection w:val="lrTb"/>
            <w:noWrap w:val="false"/>
          </w:tcPr>
          <w:p>
            <w:pPr>
              <w:pStyle w:val="856"/>
              <w:pBdr/>
              <w:spacing/>
              <w:ind/>
              <w:rPr/>
            </w:pPr>
            <w:r/>
            <w:r/>
          </w:p>
        </w:tc>
      </w:tr>
      <w:tr>
        <w:trPr>
          <w:trHeight w:val="960"/>
        </w:trPr>
        <w:tc>
          <w:tcPr>
            <w:tcBorders/>
            <w:tcW w:w="576" w:type="dxa"/>
            <w:vAlign w:val="center"/>
            <w:vMerge w:val="continue"/>
            <w:textDirection w:val="lrTb"/>
            <w:noWrap w:val="false"/>
          </w:tcPr>
          <w:p>
            <w:pPr>
              <w:pStyle w:val="856"/>
              <w:pBdr/>
              <w:spacing/>
              <w:ind/>
              <w:rPr/>
            </w:pPr>
            <w:r/>
            <w:r/>
          </w:p>
        </w:tc>
        <w:tc>
          <w:tcPr>
            <w:tcBorders/>
            <w:tcW w:w="478" w:type="dxa"/>
            <w:vAlign w:val="center"/>
            <w:vMerge w:val="continue"/>
            <w:textDirection w:val="lrTb"/>
            <w:noWrap w:val="false"/>
          </w:tcPr>
          <w:p>
            <w:pPr>
              <w:pStyle w:val="856"/>
              <w:pBdr/>
              <w:spacing/>
              <w:ind/>
              <w:rPr/>
            </w:pPr>
            <w:r/>
            <w:r/>
          </w:p>
        </w:tc>
        <w:tc>
          <w:tcPr>
            <w:tcBorders/>
            <w:tcW w:w="620" w:type="dxa"/>
            <w:vAlign w:val="center"/>
            <w:vMerge w:val="continue"/>
            <w:textDirection w:val="lrTb"/>
            <w:noWrap w:val="false"/>
          </w:tcPr>
          <w:p>
            <w:pPr>
              <w:pStyle w:val="856"/>
              <w:pBdr/>
              <w:spacing/>
              <w:ind/>
              <w:rPr/>
            </w:pPr>
            <w:r/>
            <w:r/>
          </w:p>
        </w:tc>
        <w:tc>
          <w:tcPr>
            <w:tcBorders/>
            <w:tcW w:w="417" w:type="dxa"/>
            <w:vAlign w:val="center"/>
            <w:vMerge w:val="continue"/>
            <w:textDirection w:val="lrTb"/>
            <w:noWrap w:val="false"/>
          </w:tcPr>
          <w:p>
            <w:pPr>
              <w:pStyle w:val="856"/>
              <w:pBdr/>
              <w:spacing/>
              <w:ind/>
              <w:rPr/>
            </w:pPr>
            <w:r/>
            <w:r/>
          </w:p>
        </w:tc>
        <w:tc>
          <w:tcPr>
            <w:tcBorders/>
            <w:tcW w:w="1045" w:type="dxa"/>
            <w:vAlign w:val="center"/>
            <w:vMerge w:val="continue"/>
            <w:textDirection w:val="lrTb"/>
            <w:noWrap w:val="false"/>
          </w:tcPr>
          <w:p>
            <w:pPr>
              <w:pStyle w:val="856"/>
              <w:pBdr/>
              <w:spacing/>
              <w:ind/>
              <w:rPr/>
            </w:pPr>
            <w:r/>
            <w:r/>
          </w:p>
        </w:tc>
        <w:tc>
          <w:tcPr>
            <w:tcBorders/>
            <w:tcW w:w="424" w:type="dxa"/>
            <w:vAlign w:val="center"/>
            <w:vMerge w:val="continue"/>
            <w:textDirection w:val="lrTb"/>
            <w:noWrap w:val="false"/>
          </w:tcPr>
          <w:p>
            <w:pPr>
              <w:pStyle w:val="856"/>
              <w:pBdr/>
              <w:spacing/>
              <w:ind/>
              <w:rPr/>
            </w:pPr>
            <w:r/>
            <w:r/>
          </w:p>
        </w:tc>
        <w:tc>
          <w:tcPr>
            <w:tcBorders/>
            <w:tcW w:w="2409" w:type="dxa"/>
            <w:vAlign w:val="center"/>
            <w:textDirection w:val="lrTb"/>
            <w:noWrap w:val="false"/>
          </w:tcPr>
          <w:p>
            <w:pPr>
              <w:pStyle w:val="856"/>
              <w:widowControl w:val="true"/>
              <w:pBdr/>
              <w:spacing/>
              <w:ind/>
              <w:jc w:val="center"/>
              <w:rPr>
                <w:rFonts w:ascii="Arial" w:hAnsi="Arial" w:cs="Arial"/>
                <w:color w:val="000000"/>
                <w:sz w:val="18"/>
                <w:szCs w:val="18"/>
              </w:rPr>
            </w:pPr>
            <w:r>
              <w:rPr>
                <w:rFonts w:hint="eastAsia" w:ascii="宋体" w:cs="Arial"/>
                <w:color w:val="000000"/>
                <w:sz w:val="18"/>
                <w:szCs w:val="18"/>
              </w:rPr>
              <w:t xml:space="preserve">③</w:t>
            </w:r>
            <w:r>
              <w:rPr>
                <w:rFonts w:ascii="Arial" w:hAnsi="Arial" w:cs="Arial"/>
                <w:color w:val="000000"/>
                <w:sz w:val="18"/>
                <w:szCs w:val="18"/>
              </w:rPr>
              <w:t xml:space="preserve">相关管理制度合法、合规、完整，2分；</w:t>
            </w:r>
            <w:r>
              <w:rPr>
                <w:rFonts w:hint="eastAsia" w:ascii="宋体" w:cs="Arial"/>
                <w:color w:val="000000"/>
                <w:sz w:val="18"/>
                <w:szCs w:val="18"/>
              </w:rPr>
              <w:t xml:space="preserve">④</w:t>
            </w:r>
            <w:r>
              <w:rPr>
                <w:rFonts w:ascii="Arial" w:hAnsi="Arial" w:cs="Arial"/>
                <w:color w:val="000000"/>
                <w:sz w:val="18"/>
                <w:szCs w:val="18"/>
              </w:rPr>
              <w:t xml:space="preserve">相关管理制度得到有效执行，2分</w:t>
            </w:r>
            <w:r>
              <w:rPr>
                <w:rFonts w:ascii="Arial" w:hAnsi="Arial" w:cs="Arial"/>
                <w:color w:val="000000"/>
                <w:sz w:val="18"/>
                <w:szCs w:val="18"/>
              </w:rPr>
            </w:r>
            <w:r>
              <w:rPr>
                <w:rFonts w:ascii="Arial" w:hAnsi="Arial" w:cs="Arial"/>
                <w:color w:val="000000"/>
                <w:sz w:val="18"/>
                <w:szCs w:val="18"/>
              </w:rPr>
            </w:r>
          </w:p>
        </w:tc>
        <w:tc>
          <w:tcPr>
            <w:tcBorders/>
            <w:tcW w:w="1976" w:type="dxa"/>
            <w:vAlign w:val="center"/>
            <w:vMerge w:val="continue"/>
            <w:textDirection w:val="lrTb"/>
            <w:noWrap w:val="false"/>
          </w:tcPr>
          <w:p>
            <w:pPr>
              <w:pStyle w:val="856"/>
              <w:pBdr/>
              <w:spacing/>
              <w:ind/>
              <w:rPr/>
            </w:pPr>
            <w:r/>
            <w:r/>
          </w:p>
        </w:tc>
        <w:tc>
          <w:tcPr>
            <w:tcBorders/>
            <w:tcW w:w="575"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4</w:t>
            </w:r>
            <w:r>
              <w:rPr>
                <w:rFonts w:ascii="Arial" w:hAnsi="Arial" w:cs="Arial"/>
                <w:color w:val="000000"/>
                <w:sz w:val="18"/>
                <w:szCs w:val="18"/>
              </w:rPr>
            </w:r>
            <w:r>
              <w:rPr>
                <w:rFonts w:ascii="Arial" w:hAnsi="Arial" w:cs="Arial"/>
                <w:color w:val="000000"/>
                <w:sz w:val="18"/>
                <w:szCs w:val="18"/>
              </w:rPr>
            </w:r>
          </w:p>
        </w:tc>
      </w:tr>
      <w:tr>
        <w:trPr>
          <w:trHeight w:val="2715"/>
        </w:trPr>
        <w:tc>
          <w:tcPr>
            <w:tcBorders/>
            <w:tcW w:w="576" w:type="dxa"/>
            <w:vAlign w:val="center"/>
            <w:vMerge w:val="continue"/>
            <w:textDirection w:val="lrTb"/>
            <w:noWrap w:val="false"/>
          </w:tcPr>
          <w:p>
            <w:pPr>
              <w:pStyle w:val="856"/>
              <w:pBdr/>
              <w:spacing/>
              <w:ind/>
              <w:rPr/>
            </w:pPr>
            <w:r/>
            <w:r/>
          </w:p>
        </w:tc>
        <w:tc>
          <w:tcPr>
            <w:tcBorders/>
            <w:tcW w:w="478"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　</w:t>
            </w:r>
            <w:r>
              <w:rPr>
                <w:rFonts w:ascii="Arial" w:hAnsi="Arial" w:cs="Arial"/>
                <w:color w:val="000000"/>
                <w:sz w:val="18"/>
                <w:szCs w:val="18"/>
              </w:rPr>
            </w:r>
            <w:r>
              <w:rPr>
                <w:rFonts w:ascii="Arial" w:hAnsi="Arial" w:cs="Arial"/>
                <w:color w:val="000000"/>
                <w:sz w:val="18"/>
                <w:szCs w:val="18"/>
              </w:rPr>
            </w:r>
          </w:p>
        </w:tc>
        <w:tc>
          <w:tcPr>
            <w:tcBorders/>
            <w:tcW w:w="620" w:type="dxa"/>
            <w:vAlign w:val="center"/>
            <w:vMerge w:val="continue"/>
            <w:textDirection w:val="lrTb"/>
            <w:noWrap w:val="false"/>
          </w:tcPr>
          <w:p>
            <w:pPr>
              <w:pStyle w:val="856"/>
              <w:pBdr/>
              <w:spacing/>
              <w:ind/>
              <w:rPr/>
            </w:pPr>
            <w:r/>
            <w:r/>
          </w:p>
        </w:tc>
        <w:tc>
          <w:tcPr>
            <w:tcBorders/>
            <w:tcW w:w="417"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　</w:t>
            </w:r>
            <w:r>
              <w:rPr>
                <w:rFonts w:ascii="Arial" w:hAnsi="Arial" w:cs="Arial"/>
                <w:color w:val="000000"/>
                <w:sz w:val="18"/>
                <w:szCs w:val="18"/>
              </w:rPr>
            </w:r>
            <w:r>
              <w:rPr>
                <w:rFonts w:ascii="Arial" w:hAnsi="Arial" w:cs="Arial"/>
                <w:color w:val="000000"/>
                <w:sz w:val="18"/>
                <w:szCs w:val="18"/>
              </w:rPr>
            </w:r>
          </w:p>
        </w:tc>
        <w:tc>
          <w:tcPr>
            <w:tcBorders/>
            <w:tcW w:w="1045"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资金使用合规性</w:t>
            </w:r>
            <w:r>
              <w:rPr>
                <w:rFonts w:ascii="Arial" w:hAnsi="Arial" w:cs="Arial"/>
                <w:color w:val="000000"/>
                <w:sz w:val="18"/>
                <w:szCs w:val="18"/>
              </w:rPr>
            </w:r>
            <w:r>
              <w:rPr>
                <w:rFonts w:ascii="Arial" w:hAnsi="Arial" w:cs="Arial"/>
                <w:color w:val="000000"/>
                <w:sz w:val="18"/>
                <w:szCs w:val="18"/>
              </w:rPr>
            </w:r>
          </w:p>
        </w:tc>
        <w:tc>
          <w:tcPr>
            <w:tcBorders/>
            <w:tcW w:w="424"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10</w:t>
            </w:r>
            <w:r>
              <w:rPr>
                <w:rFonts w:ascii="Arial" w:hAnsi="Arial" w:cs="Arial"/>
                <w:color w:val="000000"/>
                <w:sz w:val="18"/>
                <w:szCs w:val="18"/>
              </w:rPr>
            </w:r>
            <w:r>
              <w:rPr>
                <w:rFonts w:ascii="Arial" w:hAnsi="Arial" w:cs="Arial"/>
                <w:color w:val="000000"/>
                <w:sz w:val="18"/>
                <w:szCs w:val="18"/>
              </w:rPr>
            </w:r>
          </w:p>
        </w:tc>
        <w:tc>
          <w:tcPr>
            <w:tcBorders/>
            <w:tcW w:w="2409" w:type="dxa"/>
            <w:vAlign w:val="center"/>
            <w:textDirection w:val="lrTb"/>
            <w:noWrap w:val="false"/>
          </w:tcPr>
          <w:p>
            <w:pPr>
              <w:pStyle w:val="856"/>
              <w:widowControl w:val="true"/>
              <w:pBdr/>
              <w:spacing/>
              <w:ind/>
              <w:jc w:val="center"/>
              <w:rPr>
                <w:rFonts w:ascii="Arial" w:hAnsi="Arial" w:cs="Arial"/>
                <w:color w:val="000000"/>
                <w:sz w:val="18"/>
                <w:szCs w:val="18"/>
              </w:rPr>
            </w:pPr>
            <w:r>
              <w:rPr>
                <w:rFonts w:hint="eastAsia" w:ascii="宋体" w:cs="Arial"/>
                <w:color w:val="000000"/>
                <w:sz w:val="18"/>
                <w:szCs w:val="18"/>
              </w:rPr>
              <w:t xml:space="preserve">①</w:t>
            </w:r>
            <w:r>
              <w:rPr>
                <w:rFonts w:ascii="Arial" w:hAnsi="Arial" w:cs="Arial"/>
                <w:color w:val="000000"/>
                <w:sz w:val="18"/>
                <w:szCs w:val="18"/>
              </w:rPr>
              <w:t xml:space="preserve">支出符合国家财经法规和财务管理制度规定以及有关专项资金管理办法的规定；</w:t>
            </w:r>
            <w:r>
              <w:rPr>
                <w:rFonts w:hint="eastAsia" w:ascii="宋体" w:cs="Arial"/>
                <w:color w:val="000000"/>
                <w:sz w:val="18"/>
                <w:szCs w:val="18"/>
              </w:rPr>
              <w:t xml:space="preserve">②</w:t>
            </w:r>
            <w:r>
              <w:rPr>
                <w:rFonts w:ascii="Arial" w:hAnsi="Arial" w:cs="Arial"/>
                <w:color w:val="000000"/>
                <w:sz w:val="18"/>
                <w:szCs w:val="18"/>
              </w:rPr>
              <w:t xml:space="preserve">资金拨付有完整的审批程序和手续；</w:t>
            </w:r>
            <w:r>
              <w:rPr>
                <w:rFonts w:hint="eastAsia" w:ascii="宋体" w:cs="Arial"/>
                <w:color w:val="000000"/>
                <w:sz w:val="18"/>
                <w:szCs w:val="18"/>
              </w:rPr>
              <w:t xml:space="preserve">③</w:t>
            </w:r>
            <w:r>
              <w:rPr>
                <w:rFonts w:ascii="Arial" w:hAnsi="Arial" w:cs="Arial"/>
                <w:color w:val="000000"/>
                <w:sz w:val="18"/>
                <w:szCs w:val="18"/>
              </w:rPr>
              <w:t xml:space="preserve">项目支出按规定经过评估论证；</w:t>
            </w:r>
            <w:r>
              <w:rPr>
                <w:rFonts w:hint="eastAsia" w:ascii="宋体" w:cs="Arial"/>
                <w:color w:val="000000"/>
                <w:sz w:val="18"/>
                <w:szCs w:val="18"/>
              </w:rPr>
              <w:t xml:space="preserve">④</w:t>
            </w:r>
            <w:r>
              <w:rPr>
                <w:rFonts w:ascii="Arial" w:hAnsi="Arial" w:cs="Arial"/>
                <w:color w:val="000000"/>
                <w:sz w:val="18"/>
                <w:szCs w:val="18"/>
              </w:rPr>
              <w:t xml:space="preserve">支出符合部门预算批复的用途；</w:t>
            </w:r>
            <w:r>
              <w:rPr>
                <w:rFonts w:hint="eastAsia" w:ascii="宋体" w:cs="Arial"/>
                <w:color w:val="000000"/>
                <w:sz w:val="18"/>
                <w:szCs w:val="18"/>
              </w:rPr>
              <w:t xml:space="preserve">⑤</w:t>
            </w:r>
            <w:r>
              <w:rPr>
                <w:rFonts w:ascii="Arial" w:hAnsi="Arial" w:cs="Arial"/>
                <w:color w:val="000000"/>
                <w:sz w:val="18"/>
                <w:szCs w:val="18"/>
              </w:rPr>
              <w:t xml:space="preserve">资金使用无截留、挤占、挪用、虚列支出等情况。</w:t>
            </w:r>
            <w:r>
              <w:rPr>
                <w:rFonts w:ascii="Arial" w:hAnsi="Arial" w:cs="Arial"/>
                <w:color w:val="000000"/>
                <w:sz w:val="18"/>
                <w:szCs w:val="18"/>
              </w:rPr>
            </w:r>
            <w:r>
              <w:rPr>
                <w:rFonts w:ascii="Arial" w:hAnsi="Arial" w:cs="Arial"/>
                <w:color w:val="000000"/>
                <w:sz w:val="18"/>
                <w:szCs w:val="18"/>
              </w:rPr>
            </w:r>
          </w:p>
        </w:tc>
        <w:tc>
          <w:tcPr>
            <w:tcBorders/>
            <w:tcW w:w="1976"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部门使用预算管理是否符合相关的财务预算管理制度规定，反映和评价部门预算资金的规范运行情况。1、符合共中全部得10分2、符合4项得8分3、符合3项得6分，符合两项及以下得0分</w:t>
            </w:r>
            <w:r>
              <w:rPr>
                <w:rFonts w:ascii="Arial" w:hAnsi="Arial" w:cs="Arial"/>
                <w:color w:val="000000"/>
                <w:sz w:val="18"/>
                <w:szCs w:val="18"/>
              </w:rPr>
            </w:r>
            <w:r>
              <w:rPr>
                <w:rFonts w:ascii="Arial" w:hAnsi="Arial" w:cs="Arial"/>
                <w:color w:val="000000"/>
                <w:sz w:val="18"/>
                <w:szCs w:val="18"/>
              </w:rPr>
            </w:r>
          </w:p>
        </w:tc>
        <w:tc>
          <w:tcPr>
            <w:tcBorders/>
            <w:tcW w:w="575"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10</w:t>
            </w:r>
            <w:r>
              <w:rPr>
                <w:rFonts w:ascii="Arial" w:hAnsi="Arial" w:cs="Arial"/>
                <w:color w:val="000000"/>
                <w:sz w:val="18"/>
                <w:szCs w:val="18"/>
              </w:rPr>
            </w:r>
            <w:r>
              <w:rPr>
                <w:rFonts w:ascii="Arial" w:hAnsi="Arial" w:cs="Arial"/>
                <w:color w:val="000000"/>
                <w:sz w:val="18"/>
                <w:szCs w:val="18"/>
              </w:rPr>
            </w:r>
          </w:p>
        </w:tc>
      </w:tr>
      <w:tr>
        <w:trPr>
          <w:trHeight w:val="2325"/>
        </w:trPr>
        <w:tc>
          <w:tcPr>
            <w:tcBorders/>
            <w:tcW w:w="576" w:type="dxa"/>
            <w:vAlign w:val="center"/>
            <w:vMerge w:val="continue"/>
            <w:textDirection w:val="lrTb"/>
            <w:noWrap w:val="false"/>
          </w:tcPr>
          <w:p>
            <w:pPr>
              <w:pStyle w:val="856"/>
              <w:pBdr/>
              <w:spacing/>
              <w:ind/>
              <w:rPr/>
            </w:pPr>
            <w:r/>
            <w:r/>
          </w:p>
        </w:tc>
        <w:tc>
          <w:tcPr>
            <w:tcBorders/>
            <w:tcW w:w="478" w:type="dxa"/>
            <w:vAlign w:val="center"/>
            <w:vMerge w:val="continue"/>
            <w:textDirection w:val="lrTb"/>
            <w:noWrap w:val="false"/>
          </w:tcPr>
          <w:p>
            <w:pPr>
              <w:pStyle w:val="856"/>
              <w:pBdr/>
              <w:spacing/>
              <w:ind/>
              <w:rPr/>
            </w:pPr>
            <w:r/>
            <w:r/>
          </w:p>
        </w:tc>
        <w:tc>
          <w:tcPr>
            <w:tcBorders/>
            <w:tcW w:w="620" w:type="dxa"/>
            <w:vAlign w:val="center"/>
            <w:vMerge w:val="continue"/>
            <w:textDirection w:val="lrTb"/>
            <w:noWrap w:val="false"/>
          </w:tcPr>
          <w:p>
            <w:pPr>
              <w:pStyle w:val="856"/>
              <w:pBdr/>
              <w:spacing/>
              <w:ind/>
              <w:rPr/>
            </w:pPr>
            <w:r/>
            <w:r/>
          </w:p>
        </w:tc>
        <w:tc>
          <w:tcPr>
            <w:tcBorders/>
            <w:tcW w:w="417" w:type="dxa"/>
            <w:vAlign w:val="center"/>
            <w:vMerge w:val="continue"/>
            <w:textDirection w:val="lrTb"/>
            <w:noWrap w:val="false"/>
          </w:tcPr>
          <w:p>
            <w:pPr>
              <w:pStyle w:val="856"/>
              <w:pBdr/>
              <w:spacing/>
              <w:ind/>
              <w:rPr/>
            </w:pPr>
            <w:r/>
            <w:r/>
          </w:p>
        </w:tc>
        <w:tc>
          <w:tcPr>
            <w:tcBorders/>
            <w:tcW w:w="1045"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预决算信息公开性</w:t>
            </w:r>
            <w:r>
              <w:rPr>
                <w:rFonts w:ascii="Arial" w:hAnsi="Arial" w:cs="Arial"/>
                <w:color w:val="000000"/>
                <w:sz w:val="18"/>
                <w:szCs w:val="18"/>
              </w:rPr>
            </w:r>
            <w:r>
              <w:rPr>
                <w:rFonts w:ascii="Arial" w:hAnsi="Arial" w:cs="Arial"/>
                <w:color w:val="000000"/>
                <w:sz w:val="18"/>
                <w:szCs w:val="18"/>
              </w:rPr>
            </w:r>
          </w:p>
        </w:tc>
        <w:tc>
          <w:tcPr>
            <w:tcBorders/>
            <w:tcW w:w="424"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5</w:t>
            </w:r>
            <w:r>
              <w:rPr>
                <w:rFonts w:ascii="Arial" w:hAnsi="Arial" w:cs="Arial"/>
                <w:color w:val="000000"/>
                <w:sz w:val="18"/>
                <w:szCs w:val="18"/>
              </w:rPr>
            </w:r>
            <w:r>
              <w:rPr>
                <w:rFonts w:ascii="Arial" w:hAnsi="Arial" w:cs="Arial"/>
                <w:color w:val="000000"/>
                <w:sz w:val="18"/>
                <w:szCs w:val="18"/>
              </w:rPr>
            </w:r>
          </w:p>
        </w:tc>
        <w:tc>
          <w:tcPr>
            <w:tcBorders/>
            <w:tcW w:w="2409" w:type="dxa"/>
            <w:vAlign w:val="center"/>
            <w:textDirection w:val="lrTb"/>
            <w:noWrap w:val="false"/>
          </w:tcPr>
          <w:p>
            <w:pPr>
              <w:pStyle w:val="856"/>
              <w:widowControl w:val="true"/>
              <w:pBdr/>
              <w:spacing/>
              <w:ind/>
              <w:jc w:val="center"/>
              <w:rPr>
                <w:rFonts w:ascii="Arial" w:hAnsi="Arial" w:cs="Arial"/>
                <w:color w:val="000000"/>
                <w:sz w:val="18"/>
                <w:szCs w:val="18"/>
              </w:rPr>
            </w:pPr>
            <w:r>
              <w:rPr>
                <w:rFonts w:hint="eastAsia" w:ascii="宋体" w:cs="Arial"/>
                <w:color w:val="000000"/>
                <w:sz w:val="18"/>
                <w:szCs w:val="18"/>
              </w:rPr>
              <w:t xml:space="preserve">①</w:t>
            </w:r>
            <w:r>
              <w:rPr>
                <w:rFonts w:ascii="Arial" w:hAnsi="Arial" w:cs="Arial"/>
                <w:color w:val="000000"/>
                <w:sz w:val="18"/>
                <w:szCs w:val="18"/>
              </w:rPr>
              <w:t xml:space="preserve">按规定内容公开预决算信息，1分；</w:t>
            </w:r>
            <w:r>
              <w:rPr>
                <w:rFonts w:hint="eastAsia" w:ascii="宋体" w:cs="Arial"/>
                <w:color w:val="000000"/>
                <w:sz w:val="18"/>
                <w:szCs w:val="18"/>
              </w:rPr>
              <w:t xml:space="preserve">②</w:t>
            </w:r>
            <w:r>
              <w:rPr>
                <w:rFonts w:ascii="Arial" w:hAnsi="Arial" w:cs="Arial"/>
                <w:color w:val="000000"/>
                <w:sz w:val="18"/>
                <w:szCs w:val="18"/>
              </w:rPr>
              <w:t xml:space="preserve">按规定时限公开预决算信息，1分；</w:t>
            </w:r>
            <w:r>
              <w:rPr>
                <w:rFonts w:hint="eastAsia" w:ascii="宋体" w:cs="Arial"/>
                <w:color w:val="000000"/>
                <w:sz w:val="18"/>
                <w:szCs w:val="18"/>
              </w:rPr>
              <w:t xml:space="preserve">③</w:t>
            </w:r>
            <w:r>
              <w:rPr>
                <w:rFonts w:ascii="Arial" w:hAnsi="Arial" w:cs="Arial"/>
                <w:color w:val="000000"/>
                <w:sz w:val="18"/>
                <w:szCs w:val="18"/>
              </w:rPr>
              <w:t xml:space="preserve">基础数据信息和会计信息资料真实，1分；</w:t>
            </w:r>
            <w:r>
              <w:rPr>
                <w:rFonts w:hint="eastAsia" w:ascii="宋体" w:cs="Arial"/>
                <w:color w:val="000000"/>
                <w:sz w:val="18"/>
                <w:szCs w:val="18"/>
              </w:rPr>
              <w:t xml:space="preserve">④</w:t>
            </w:r>
            <w:r>
              <w:rPr>
                <w:rFonts w:ascii="Arial" w:hAnsi="Arial" w:cs="Arial"/>
                <w:color w:val="000000"/>
                <w:sz w:val="18"/>
                <w:szCs w:val="18"/>
              </w:rPr>
              <w:t xml:space="preserve">基础数据信息和会计信息资料完整，1分；</w:t>
            </w:r>
            <w:r>
              <w:rPr>
                <w:rFonts w:hint="eastAsia" w:ascii="宋体" w:cs="Arial"/>
                <w:color w:val="000000"/>
                <w:sz w:val="18"/>
                <w:szCs w:val="18"/>
              </w:rPr>
              <w:t xml:space="preserve">⑤</w:t>
            </w:r>
            <w:r>
              <w:rPr>
                <w:rFonts w:ascii="Arial" w:hAnsi="Arial" w:cs="Arial"/>
                <w:color w:val="000000"/>
                <w:sz w:val="18"/>
                <w:szCs w:val="18"/>
              </w:rPr>
              <w:t xml:space="preserve">基础数据信息和汇集信息资料准确，1分。  </w:t>
            </w:r>
            <w:r>
              <w:rPr>
                <w:rFonts w:ascii="Arial" w:hAnsi="Arial" w:cs="Arial"/>
                <w:color w:val="000000"/>
                <w:sz w:val="18"/>
                <w:szCs w:val="18"/>
              </w:rPr>
            </w:r>
            <w:r>
              <w:rPr>
                <w:rFonts w:ascii="Arial" w:hAnsi="Arial" w:cs="Arial"/>
                <w:color w:val="000000"/>
                <w:sz w:val="18"/>
                <w:szCs w:val="18"/>
              </w:rPr>
            </w:r>
          </w:p>
        </w:tc>
        <w:tc>
          <w:tcPr>
            <w:tcBorders/>
            <w:tcW w:w="1976"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预决算信息是指与部门预算、执行、决算、监督、绩效等管理相关的信息。</w:t>
            </w:r>
            <w:r>
              <w:rPr>
                <w:rFonts w:ascii="Arial" w:hAnsi="Arial" w:cs="Arial"/>
                <w:color w:val="000000"/>
                <w:sz w:val="18"/>
                <w:szCs w:val="18"/>
              </w:rPr>
            </w:r>
            <w:r>
              <w:rPr>
                <w:rFonts w:ascii="Arial" w:hAnsi="Arial" w:cs="Arial"/>
                <w:color w:val="000000"/>
                <w:sz w:val="18"/>
                <w:szCs w:val="18"/>
              </w:rPr>
            </w:r>
          </w:p>
        </w:tc>
        <w:tc>
          <w:tcPr>
            <w:tcBorders/>
            <w:tcW w:w="575"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5</w:t>
            </w:r>
            <w:r>
              <w:rPr>
                <w:rFonts w:ascii="Arial" w:hAnsi="Arial" w:cs="Arial"/>
                <w:color w:val="000000"/>
                <w:sz w:val="18"/>
                <w:szCs w:val="18"/>
              </w:rPr>
            </w:r>
            <w:r>
              <w:rPr>
                <w:rFonts w:ascii="Arial" w:hAnsi="Arial" w:cs="Arial"/>
                <w:color w:val="000000"/>
                <w:sz w:val="18"/>
                <w:szCs w:val="18"/>
              </w:rPr>
            </w:r>
          </w:p>
        </w:tc>
      </w:tr>
      <w:tr>
        <w:trPr>
          <w:trHeight w:val="1650"/>
        </w:trPr>
        <w:tc>
          <w:tcPr>
            <w:tcBorders/>
            <w:tcW w:w="576" w:type="dxa"/>
            <w:vAlign w:val="center"/>
            <w:vMerge w:val="continue"/>
            <w:textDirection w:val="lrTb"/>
            <w:noWrap w:val="false"/>
          </w:tcPr>
          <w:p>
            <w:pPr>
              <w:pStyle w:val="856"/>
              <w:pBdr/>
              <w:spacing/>
              <w:ind/>
              <w:rPr/>
            </w:pPr>
            <w:r/>
            <w:r/>
          </w:p>
        </w:tc>
        <w:tc>
          <w:tcPr>
            <w:tcBorders/>
            <w:tcW w:w="478" w:type="dxa"/>
            <w:vAlign w:val="center"/>
            <w:vMerge w:val="continue"/>
            <w:textDirection w:val="lrTb"/>
            <w:noWrap w:val="false"/>
          </w:tcPr>
          <w:p>
            <w:pPr>
              <w:pStyle w:val="856"/>
              <w:pBdr/>
              <w:spacing/>
              <w:ind/>
              <w:rPr/>
            </w:pPr>
            <w:r/>
            <w:r/>
          </w:p>
        </w:tc>
        <w:tc>
          <w:tcPr>
            <w:tcBorders/>
            <w:tcW w:w="620" w:type="dxa"/>
            <w:vAlign w:val="center"/>
            <w:vMerge w:val="continue"/>
            <w:textDirection w:val="lrTb"/>
            <w:noWrap w:val="false"/>
          </w:tcPr>
          <w:p>
            <w:pPr>
              <w:pStyle w:val="856"/>
              <w:pBdr/>
              <w:spacing/>
              <w:ind/>
              <w:rPr/>
            </w:pPr>
            <w:r/>
            <w:r/>
          </w:p>
        </w:tc>
        <w:tc>
          <w:tcPr>
            <w:tcBorders/>
            <w:tcW w:w="417" w:type="dxa"/>
            <w:vAlign w:val="center"/>
            <w:vMerge w:val="continue"/>
            <w:textDirection w:val="lrTb"/>
            <w:noWrap w:val="false"/>
          </w:tcPr>
          <w:p>
            <w:pPr>
              <w:pStyle w:val="856"/>
              <w:pBdr/>
              <w:spacing/>
              <w:ind/>
              <w:rPr/>
            </w:pPr>
            <w:r/>
            <w:r/>
          </w:p>
        </w:tc>
        <w:tc>
          <w:tcPr>
            <w:tcBorders/>
            <w:tcW w:w="1045"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基础信息完善性</w:t>
            </w:r>
            <w:r>
              <w:rPr>
                <w:rFonts w:ascii="Arial" w:hAnsi="Arial" w:cs="Arial"/>
                <w:color w:val="000000"/>
                <w:sz w:val="18"/>
                <w:szCs w:val="18"/>
              </w:rPr>
            </w:r>
            <w:r>
              <w:rPr>
                <w:rFonts w:ascii="Arial" w:hAnsi="Arial" w:cs="Arial"/>
                <w:color w:val="000000"/>
                <w:sz w:val="18"/>
                <w:szCs w:val="18"/>
              </w:rPr>
            </w:r>
          </w:p>
        </w:tc>
        <w:tc>
          <w:tcPr>
            <w:tcBorders/>
            <w:tcW w:w="424"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5</w:t>
            </w:r>
            <w:r>
              <w:rPr>
                <w:rFonts w:ascii="Arial" w:hAnsi="Arial" w:cs="Arial"/>
                <w:color w:val="000000"/>
                <w:sz w:val="18"/>
                <w:szCs w:val="18"/>
              </w:rPr>
            </w:r>
            <w:r>
              <w:rPr>
                <w:rFonts w:ascii="Arial" w:hAnsi="Arial" w:cs="Arial"/>
                <w:color w:val="000000"/>
                <w:sz w:val="18"/>
                <w:szCs w:val="18"/>
              </w:rPr>
            </w:r>
          </w:p>
        </w:tc>
        <w:tc>
          <w:tcPr>
            <w:tcBorders/>
            <w:tcW w:w="2409"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1、符合其中三项得4分  2、符合其中两项得2分  3、符合其中一项得1分</w:t>
            </w:r>
            <w:r>
              <w:rPr>
                <w:rFonts w:ascii="Arial" w:hAnsi="Arial" w:cs="Arial"/>
                <w:color w:val="000000"/>
                <w:sz w:val="18"/>
                <w:szCs w:val="18"/>
              </w:rPr>
            </w:r>
            <w:r>
              <w:rPr>
                <w:rFonts w:ascii="Arial" w:hAnsi="Arial" w:cs="Arial"/>
                <w:color w:val="000000"/>
                <w:sz w:val="18"/>
                <w:szCs w:val="18"/>
              </w:rPr>
            </w:r>
          </w:p>
        </w:tc>
        <w:tc>
          <w:tcPr>
            <w:tcBorders/>
            <w:tcW w:w="1976"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部门基础信息是否完整，用以反映和评价基础信息对预算管理工作的支撑情况1、基本财务管理制度健全；2、基础数据信息和会计信息资料真实3、基础数据资料完整；4、基础数据信息和会计信息资料准确。</w:t>
            </w:r>
            <w:r>
              <w:rPr>
                <w:rFonts w:ascii="Arial" w:hAnsi="Arial" w:cs="Arial"/>
                <w:color w:val="000000"/>
                <w:sz w:val="18"/>
                <w:szCs w:val="18"/>
              </w:rPr>
            </w:r>
            <w:r>
              <w:rPr>
                <w:rFonts w:ascii="Arial" w:hAnsi="Arial" w:cs="Arial"/>
                <w:color w:val="000000"/>
                <w:sz w:val="18"/>
                <w:szCs w:val="18"/>
              </w:rPr>
            </w:r>
          </w:p>
        </w:tc>
        <w:tc>
          <w:tcPr>
            <w:tcBorders/>
            <w:tcW w:w="575"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5</w:t>
            </w:r>
            <w:r>
              <w:rPr>
                <w:rFonts w:ascii="Arial" w:hAnsi="Arial" w:cs="Arial"/>
                <w:color w:val="000000"/>
                <w:sz w:val="18"/>
                <w:szCs w:val="18"/>
              </w:rPr>
            </w:r>
            <w:r>
              <w:rPr>
                <w:rFonts w:ascii="Arial" w:hAnsi="Arial" w:cs="Arial"/>
                <w:color w:val="000000"/>
                <w:sz w:val="18"/>
                <w:szCs w:val="18"/>
              </w:rPr>
            </w:r>
          </w:p>
        </w:tc>
      </w:tr>
      <w:tr>
        <w:trPr>
          <w:trHeight w:val="1620"/>
        </w:trPr>
        <w:tc>
          <w:tcPr>
            <w:tcBorders/>
            <w:tcW w:w="576" w:type="dxa"/>
            <w:vAlign w:val="center"/>
            <w:vMerge w:val="continue"/>
            <w:textDirection w:val="lrTb"/>
            <w:noWrap w:val="false"/>
          </w:tcPr>
          <w:p>
            <w:pPr>
              <w:pStyle w:val="856"/>
              <w:pBdr/>
              <w:spacing/>
              <w:ind/>
              <w:rPr/>
            </w:pPr>
            <w:r/>
            <w:r/>
          </w:p>
        </w:tc>
        <w:tc>
          <w:tcPr>
            <w:tcBorders/>
            <w:tcW w:w="478" w:type="dxa"/>
            <w:vAlign w:val="center"/>
            <w:vMerge w:val="restart"/>
            <w:textDirection w:val="lrTb"/>
            <w:noWrap w:val="false"/>
          </w:tcPr>
          <w:p>
            <w:pPr>
              <w:pStyle w:val="856"/>
              <w:widowControl w:val="true"/>
              <w:pBdr/>
              <w:spacing/>
              <w:ind/>
              <w:jc w:val="center"/>
              <w:rPr>
                <w:rFonts w:ascii="Arial" w:hAnsi="Arial" w:eastAsia="仿宋_GB2312" w:cs="Arial"/>
                <w:color w:val="000000"/>
                <w:sz w:val="18"/>
                <w:szCs w:val="18"/>
              </w:rPr>
            </w:pPr>
            <w:r>
              <w:rPr>
                <w:rFonts w:ascii="Arial" w:hAnsi="Arial" w:eastAsia="仿宋_GB2312" w:cs="Arial"/>
                <w:color w:val="000000"/>
                <w:sz w:val="18"/>
                <w:szCs w:val="18"/>
              </w:rPr>
              <w:t xml:space="preserve">　</w:t>
            </w:r>
            <w:r>
              <w:rPr>
                <w:rFonts w:ascii="Arial" w:hAnsi="Arial" w:eastAsia="仿宋_GB2312" w:cs="Arial"/>
                <w:color w:val="000000"/>
                <w:sz w:val="18"/>
                <w:szCs w:val="18"/>
              </w:rPr>
            </w:r>
            <w:r>
              <w:rPr>
                <w:rFonts w:ascii="Arial" w:hAnsi="Arial" w:eastAsia="仿宋_GB2312" w:cs="Arial"/>
                <w:color w:val="000000"/>
                <w:sz w:val="18"/>
                <w:szCs w:val="18"/>
              </w:rPr>
            </w:r>
          </w:p>
        </w:tc>
        <w:tc>
          <w:tcPr>
            <w:tcBorders/>
            <w:tcW w:w="620" w:type="dxa"/>
            <w:vAlign w:val="center"/>
            <w:vMerge w:val="restart"/>
            <w:textDirection w:val="lrTb"/>
            <w:noWrap w:val="false"/>
          </w:tcPr>
          <w:p>
            <w:pPr>
              <w:pStyle w:val="856"/>
              <w:widowControl w:val="true"/>
              <w:pBdr/>
              <w:spacing/>
              <w:ind/>
              <w:jc w:val="center"/>
              <w:rPr>
                <w:rFonts w:ascii="Arial" w:hAnsi="Arial" w:eastAsia="仿宋_GB2312" w:cs="Arial"/>
                <w:color w:val="000000"/>
                <w:sz w:val="18"/>
                <w:szCs w:val="18"/>
              </w:rPr>
            </w:pPr>
            <w:r>
              <w:rPr>
                <w:rFonts w:ascii="Arial" w:hAnsi="Arial" w:cs="Arial"/>
                <w:color w:val="000000"/>
                <w:sz w:val="18"/>
                <w:szCs w:val="18"/>
              </w:rPr>
              <w:t xml:space="preserve">资产管理</w:t>
            </w:r>
            <w:r>
              <w:rPr>
                <w:rFonts w:ascii="Arial" w:hAnsi="Arial" w:eastAsia="仿宋_GB2312" w:cs="Arial"/>
                <w:color w:val="000000"/>
                <w:sz w:val="18"/>
                <w:szCs w:val="18"/>
              </w:rPr>
            </w:r>
            <w:r>
              <w:rPr>
                <w:rFonts w:ascii="Arial" w:hAnsi="Arial" w:eastAsia="仿宋_GB2312" w:cs="Arial"/>
                <w:color w:val="000000"/>
                <w:sz w:val="18"/>
                <w:szCs w:val="18"/>
              </w:rPr>
            </w:r>
          </w:p>
        </w:tc>
        <w:tc>
          <w:tcPr>
            <w:tcBorders/>
            <w:tcW w:w="417" w:type="dxa"/>
            <w:vAlign w:val="center"/>
            <w:vMerge w:val="restart"/>
            <w:textDirection w:val="lrTb"/>
            <w:noWrap w:val="false"/>
          </w:tcPr>
          <w:p>
            <w:pPr>
              <w:pStyle w:val="856"/>
              <w:widowControl w:val="true"/>
              <w:pBdr/>
              <w:spacing/>
              <w:ind/>
              <w:jc w:val="center"/>
              <w:rPr>
                <w:rFonts w:ascii="Arial" w:hAnsi="Arial" w:eastAsia="仿宋_GB2312" w:cs="Arial"/>
                <w:color w:val="000000"/>
                <w:sz w:val="18"/>
                <w:szCs w:val="18"/>
              </w:rPr>
            </w:pPr>
            <w:r>
              <w:rPr>
                <w:rFonts w:ascii="Arial" w:hAnsi="Arial" w:eastAsia="仿宋_GB2312" w:cs="Arial"/>
                <w:color w:val="000000"/>
                <w:sz w:val="18"/>
                <w:szCs w:val="18"/>
              </w:rPr>
              <w:t xml:space="preserve">5</w:t>
            </w:r>
            <w:r>
              <w:rPr>
                <w:rFonts w:ascii="Arial" w:hAnsi="Arial" w:eastAsia="仿宋_GB2312" w:cs="Arial"/>
                <w:color w:val="000000"/>
                <w:sz w:val="18"/>
                <w:szCs w:val="18"/>
              </w:rPr>
            </w:r>
            <w:r>
              <w:rPr>
                <w:rFonts w:ascii="Arial" w:hAnsi="Arial" w:eastAsia="仿宋_GB2312" w:cs="Arial"/>
                <w:color w:val="000000"/>
                <w:sz w:val="18"/>
                <w:szCs w:val="18"/>
              </w:rPr>
            </w:r>
          </w:p>
        </w:tc>
        <w:tc>
          <w:tcPr>
            <w:tcBorders/>
            <w:tcW w:w="1045"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资产管理安全性</w:t>
            </w:r>
            <w:r>
              <w:rPr>
                <w:rFonts w:ascii="Arial" w:hAnsi="Arial" w:cs="Arial"/>
                <w:color w:val="000000"/>
                <w:sz w:val="18"/>
                <w:szCs w:val="18"/>
              </w:rPr>
            </w:r>
            <w:r>
              <w:rPr>
                <w:rFonts w:ascii="Arial" w:hAnsi="Arial" w:cs="Arial"/>
                <w:color w:val="000000"/>
                <w:sz w:val="18"/>
                <w:szCs w:val="18"/>
              </w:rPr>
            </w:r>
          </w:p>
        </w:tc>
        <w:tc>
          <w:tcPr>
            <w:tcBorders/>
            <w:tcW w:w="424" w:type="dxa"/>
            <w:vAlign w:val="center"/>
            <w:textDirection w:val="lrTb"/>
            <w:noWrap w:val="false"/>
          </w:tcPr>
          <w:p>
            <w:pPr>
              <w:pStyle w:val="856"/>
              <w:widowControl w:val="true"/>
              <w:pBdr/>
              <w:spacing/>
              <w:ind/>
              <w:jc w:val="center"/>
              <w:rPr>
                <w:rFonts w:ascii="Arial" w:hAnsi="Arial" w:cs="Arial"/>
                <w:color w:val="000000"/>
                <w:sz w:val="24"/>
                <w:szCs w:val="24"/>
              </w:rPr>
            </w:pPr>
            <w:r>
              <w:rPr>
                <w:rFonts w:ascii="Arial" w:hAnsi="Arial" w:cs="Arial"/>
                <w:color w:val="000000"/>
                <w:sz w:val="24"/>
                <w:szCs w:val="24"/>
              </w:rPr>
              <w:t xml:space="preserve">2</w:t>
            </w:r>
            <w:r>
              <w:rPr>
                <w:rFonts w:ascii="Arial" w:hAnsi="Arial" w:cs="Arial"/>
                <w:color w:val="000000"/>
                <w:sz w:val="24"/>
                <w:szCs w:val="24"/>
              </w:rPr>
            </w:r>
            <w:r>
              <w:rPr>
                <w:rFonts w:ascii="Arial" w:hAnsi="Arial" w:cs="Arial"/>
                <w:color w:val="000000"/>
                <w:sz w:val="24"/>
                <w:szCs w:val="24"/>
              </w:rPr>
            </w:r>
          </w:p>
        </w:tc>
        <w:tc>
          <w:tcPr>
            <w:tcBorders/>
            <w:tcW w:w="2409"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1、符合全部三项得2分；2、符合其中两项得1分；3、符合其中一项及以下得0分</w:t>
            </w:r>
            <w:r>
              <w:rPr>
                <w:rFonts w:ascii="Arial" w:hAnsi="Arial" w:cs="Arial"/>
                <w:color w:val="000000"/>
                <w:sz w:val="18"/>
                <w:szCs w:val="18"/>
              </w:rPr>
            </w:r>
            <w:r>
              <w:rPr>
                <w:rFonts w:ascii="Arial" w:hAnsi="Arial" w:cs="Arial"/>
                <w:color w:val="000000"/>
                <w:sz w:val="18"/>
                <w:szCs w:val="18"/>
              </w:rPr>
            </w:r>
          </w:p>
        </w:tc>
        <w:tc>
          <w:tcPr>
            <w:tcBorders/>
            <w:tcW w:w="1976"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部门资产是否保存完整、使用合规、收入及时足额上缴，用于反映和评价部门资产的运行情况。1、资产保存完整；资产管理是否合规，账实相符；3、资产有偿使用及处置收入及时足额上缴</w:t>
            </w:r>
            <w:r>
              <w:rPr>
                <w:rFonts w:ascii="Arial" w:hAnsi="Arial" w:cs="Arial"/>
                <w:color w:val="000000"/>
                <w:sz w:val="18"/>
                <w:szCs w:val="18"/>
              </w:rPr>
            </w:r>
            <w:r>
              <w:rPr>
                <w:rFonts w:ascii="Arial" w:hAnsi="Arial" w:cs="Arial"/>
                <w:color w:val="000000"/>
                <w:sz w:val="18"/>
                <w:szCs w:val="18"/>
              </w:rPr>
            </w:r>
          </w:p>
        </w:tc>
        <w:tc>
          <w:tcPr>
            <w:tcBorders/>
            <w:tcW w:w="575"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2</w:t>
            </w:r>
            <w:r>
              <w:rPr>
                <w:rFonts w:ascii="Arial" w:hAnsi="Arial" w:cs="Arial"/>
                <w:color w:val="000000"/>
                <w:sz w:val="18"/>
                <w:szCs w:val="18"/>
              </w:rPr>
            </w:r>
            <w:r>
              <w:rPr>
                <w:rFonts w:ascii="Arial" w:hAnsi="Arial" w:cs="Arial"/>
                <w:color w:val="000000"/>
                <w:sz w:val="18"/>
                <w:szCs w:val="18"/>
              </w:rPr>
            </w:r>
          </w:p>
        </w:tc>
      </w:tr>
      <w:tr>
        <w:trPr>
          <w:trHeight w:val="1665"/>
        </w:trPr>
        <w:tc>
          <w:tcPr>
            <w:tcBorders/>
            <w:tcW w:w="576" w:type="dxa"/>
            <w:vAlign w:val="center"/>
            <w:vMerge w:val="continue"/>
            <w:textDirection w:val="lrTb"/>
            <w:noWrap w:val="false"/>
          </w:tcPr>
          <w:p>
            <w:pPr>
              <w:pStyle w:val="856"/>
              <w:pBdr/>
              <w:spacing/>
              <w:ind/>
              <w:rPr/>
            </w:pPr>
            <w:r/>
            <w:r/>
          </w:p>
        </w:tc>
        <w:tc>
          <w:tcPr>
            <w:tcBorders/>
            <w:tcW w:w="478" w:type="dxa"/>
            <w:vAlign w:val="center"/>
            <w:vMerge w:val="continue"/>
            <w:textDirection w:val="lrTb"/>
            <w:noWrap w:val="false"/>
          </w:tcPr>
          <w:p>
            <w:pPr>
              <w:pStyle w:val="856"/>
              <w:pBdr/>
              <w:spacing/>
              <w:ind/>
              <w:rPr/>
            </w:pPr>
            <w:r/>
            <w:r/>
          </w:p>
        </w:tc>
        <w:tc>
          <w:tcPr>
            <w:tcBorders/>
            <w:tcW w:w="620" w:type="dxa"/>
            <w:vAlign w:val="center"/>
            <w:vMerge w:val="continue"/>
            <w:textDirection w:val="lrTb"/>
            <w:noWrap w:val="false"/>
          </w:tcPr>
          <w:p>
            <w:pPr>
              <w:pStyle w:val="856"/>
              <w:pBdr/>
              <w:spacing/>
              <w:ind/>
              <w:rPr/>
            </w:pPr>
            <w:r/>
            <w:r/>
          </w:p>
        </w:tc>
        <w:tc>
          <w:tcPr>
            <w:tcBorders/>
            <w:tcW w:w="417" w:type="dxa"/>
            <w:vAlign w:val="center"/>
            <w:vMerge w:val="continue"/>
            <w:textDirection w:val="lrTb"/>
            <w:noWrap w:val="false"/>
          </w:tcPr>
          <w:p>
            <w:pPr>
              <w:pStyle w:val="856"/>
              <w:pBdr/>
              <w:spacing/>
              <w:ind/>
              <w:rPr/>
            </w:pPr>
            <w:r/>
            <w:r/>
          </w:p>
        </w:tc>
        <w:tc>
          <w:tcPr>
            <w:tcBorders/>
            <w:tcW w:w="1045"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固定资产利用率</w:t>
            </w:r>
            <w:r>
              <w:rPr>
                <w:rFonts w:ascii="Arial" w:hAnsi="Arial" w:cs="Arial"/>
                <w:color w:val="000000"/>
                <w:sz w:val="18"/>
                <w:szCs w:val="18"/>
              </w:rPr>
            </w:r>
            <w:r>
              <w:rPr>
                <w:rFonts w:ascii="Arial" w:hAnsi="Arial" w:cs="Arial"/>
                <w:color w:val="000000"/>
                <w:sz w:val="18"/>
                <w:szCs w:val="18"/>
              </w:rPr>
            </w:r>
          </w:p>
        </w:tc>
        <w:tc>
          <w:tcPr>
            <w:tcBorders/>
            <w:tcW w:w="424"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3</w:t>
            </w:r>
            <w:r>
              <w:rPr>
                <w:rFonts w:ascii="Arial" w:hAnsi="Arial" w:cs="Arial"/>
                <w:color w:val="000000"/>
                <w:sz w:val="18"/>
                <w:szCs w:val="18"/>
              </w:rPr>
            </w:r>
            <w:r>
              <w:rPr>
                <w:rFonts w:ascii="Arial" w:hAnsi="Arial" w:cs="Arial"/>
                <w:color w:val="000000"/>
                <w:sz w:val="18"/>
                <w:szCs w:val="18"/>
              </w:rPr>
            </w:r>
          </w:p>
        </w:tc>
        <w:tc>
          <w:tcPr>
            <w:tcBorders/>
            <w:tcW w:w="2409"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1、固定资产利用率大于95%得满分；2、固定资产利用率小于等于80%得0分；3、固定资产利用率在80%-95%之间的，在0分和满分之间计算确定</w:t>
            </w:r>
            <w:r>
              <w:rPr>
                <w:rFonts w:ascii="Arial" w:hAnsi="Arial" w:cs="Arial"/>
                <w:color w:val="000000"/>
                <w:sz w:val="18"/>
                <w:szCs w:val="18"/>
              </w:rPr>
            </w:r>
            <w:r>
              <w:rPr>
                <w:rFonts w:ascii="Arial" w:hAnsi="Arial" w:cs="Arial"/>
                <w:color w:val="000000"/>
                <w:sz w:val="18"/>
                <w:szCs w:val="18"/>
              </w:rPr>
            </w:r>
          </w:p>
        </w:tc>
        <w:tc>
          <w:tcPr>
            <w:tcBorders/>
            <w:tcW w:w="1976"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部门实际在用固定资产总额与所有固定资产总额的比率，反映和考核单位固定资产使用效率程度</w:t>
            </w:r>
            <w:r>
              <w:rPr>
                <w:rFonts w:ascii="Arial" w:hAnsi="Arial" w:cs="Arial"/>
                <w:color w:val="000000"/>
                <w:sz w:val="18"/>
                <w:szCs w:val="18"/>
              </w:rPr>
            </w:r>
            <w:r>
              <w:rPr>
                <w:rFonts w:ascii="Arial" w:hAnsi="Arial" w:cs="Arial"/>
                <w:color w:val="000000"/>
                <w:sz w:val="18"/>
                <w:szCs w:val="18"/>
              </w:rPr>
            </w:r>
          </w:p>
        </w:tc>
        <w:tc>
          <w:tcPr>
            <w:tcBorders/>
            <w:tcW w:w="575"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3</w:t>
            </w:r>
            <w:r>
              <w:rPr>
                <w:rFonts w:ascii="Arial" w:hAnsi="Arial" w:cs="Arial"/>
                <w:color w:val="000000"/>
                <w:sz w:val="18"/>
                <w:szCs w:val="18"/>
              </w:rPr>
            </w:r>
            <w:r>
              <w:rPr>
                <w:rFonts w:ascii="Arial" w:hAnsi="Arial" w:cs="Arial"/>
                <w:color w:val="000000"/>
                <w:sz w:val="18"/>
                <w:szCs w:val="18"/>
              </w:rPr>
            </w:r>
          </w:p>
        </w:tc>
      </w:tr>
    </w:tbl>
    <w:p>
      <w:pPr>
        <w:pStyle w:val="856"/>
        <w:pBdr/>
        <w:spacing w:line="500" w:lineRule="exact"/>
        <w:ind w:firstLine="480"/>
        <w:rPr>
          <w:rFonts w:hint="eastAsia" w:ascii="Arial" w:hAnsi="Arial" w:cs="Arial"/>
          <w:sz w:val="24"/>
          <w:szCs w:val="24"/>
        </w:rPr>
      </w:pPr>
      <w:r>
        <w:rPr>
          <w:rFonts w:hint="eastAsia" w:ascii="Arial" w:hAnsi="Arial" w:cs="Arial"/>
          <w:sz w:val="24"/>
          <w:szCs w:val="24"/>
        </w:rPr>
      </w:r>
      <w:r>
        <w:rPr>
          <w:rFonts w:hint="eastAsia" w:ascii="Arial" w:hAnsi="Arial" w:cs="Arial"/>
          <w:sz w:val="24"/>
          <w:szCs w:val="24"/>
        </w:rPr>
      </w:r>
      <w:r>
        <w:rPr>
          <w:rFonts w:hint="eastAsia" w:ascii="Arial" w:hAnsi="Arial" w:cs="Arial"/>
          <w:sz w:val="24"/>
          <w:szCs w:val="24"/>
        </w:rPr>
      </w:r>
    </w:p>
    <w:p>
      <w:pPr>
        <w:pStyle w:val="856"/>
        <w:pBdr/>
        <w:spacing w:line="500" w:lineRule="exact"/>
        <w:ind w:firstLine="480"/>
        <w:rPr>
          <w:rFonts w:ascii="Arial" w:hAnsi="Arial" w:cs="Arial"/>
          <w:sz w:val="24"/>
          <w:szCs w:val="24"/>
        </w:rPr>
      </w:pPr>
      <w:r>
        <w:rPr>
          <w:rFonts w:ascii="Arial" w:hAnsi="Arial" w:cs="Arial"/>
          <w:sz w:val="24"/>
          <w:szCs w:val="24"/>
        </w:rPr>
        <w:t xml:space="preserve">（1）预算执行</w:t>
      </w:r>
      <w:r>
        <w:rPr>
          <w:rFonts w:ascii="Arial" w:hAnsi="Arial" w:cs="Arial"/>
          <w:sz w:val="24"/>
          <w:szCs w:val="24"/>
        </w:rPr>
      </w:r>
      <w:r>
        <w:rPr>
          <w:rFonts w:ascii="Arial" w:hAnsi="Arial" w:cs="Arial"/>
          <w:sz w:val="24"/>
          <w:szCs w:val="24"/>
        </w:rPr>
      </w:r>
    </w:p>
    <w:p>
      <w:pPr>
        <w:pStyle w:val="856"/>
        <w:pBdr/>
        <w:spacing w:line="500" w:lineRule="exact"/>
        <w:ind w:firstLine="480"/>
        <w:rPr>
          <w:rFonts w:ascii="Arial" w:hAnsi="Arial" w:cs="Arial"/>
          <w:sz w:val="24"/>
          <w:szCs w:val="24"/>
        </w:rPr>
      </w:pPr>
      <w:r>
        <w:rPr>
          <w:rFonts w:ascii="Arial" w:hAnsi="Arial" w:cs="Arial"/>
          <w:sz w:val="24"/>
          <w:szCs w:val="24"/>
        </w:rPr>
        <w:t xml:space="preserve">根据评价原则，项目过程中预算执行指标综合分值20分，评价得分为13.45分。</w:t>
      </w:r>
      <w:r>
        <w:rPr>
          <w:rFonts w:ascii="Arial" w:hAnsi="Arial" w:cs="Arial"/>
          <w:sz w:val="24"/>
          <w:szCs w:val="24"/>
        </w:rPr>
      </w:r>
      <w:r>
        <w:rPr>
          <w:rFonts w:ascii="Arial" w:hAnsi="Arial" w:cs="Arial"/>
          <w:sz w:val="24"/>
          <w:szCs w:val="24"/>
        </w:rPr>
      </w:r>
    </w:p>
    <w:p>
      <w:pPr>
        <w:pStyle w:val="856"/>
        <w:pBdr/>
        <w:spacing/>
        <w:ind w:firstLine="360"/>
        <w:rPr>
          <w:rFonts w:ascii="Arial" w:hAnsi="Arial" w:cs="Arial"/>
          <w:sz w:val="24"/>
          <w:szCs w:val="24"/>
        </w:rPr>
      </w:pPr>
      <w:r>
        <w:rPr>
          <w:rFonts w:ascii="Arial" w:hAnsi="Arial" w:cs="Arial"/>
          <w:sz w:val="24"/>
          <w:szCs w:val="24"/>
        </w:rPr>
        <mc:AlternateContent>
          <mc:Choice Requires="wpg">
            <w:drawing>
              <wp:inline xmlns:wp="http://schemas.openxmlformats.org/drawingml/2006/wordprocessingDrawing" distT="0" distB="0" distL="0" distR="0">
                <wp:extent cx="5124450" cy="2712720"/>
                <wp:effectExtent l="0" t="0" r="0" b="0"/>
                <wp:docPr id="3" name="_x0000_i102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
                        <a:srcRect l="-1531" t="-6377" r="-2498" b="-4876"/>
                        <a:stretch/>
                      </pic:blipFill>
                      <pic:spPr bwMode="auto">
                        <a:xfrm>
                          <a:off x="0" y="0"/>
                          <a:ext cx="5124450" cy="27127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403.50pt;height:213.60pt;mso-wrap-distance-left:0.00pt;mso-wrap-distance-top:0.00pt;mso-wrap-distance-right:0.00pt;mso-wrap-distance-bottom:0.00pt;z-index:1;" stroked="f">
                <v:imagedata r:id="rId12" o:title=""/>
                <o:lock v:ext="edit" rotation="t"/>
              </v:shape>
            </w:pict>
          </mc:Fallback>
        </mc:AlternateContent>
      </w:r>
      <w:r>
        <w:rPr>
          <w:rFonts w:ascii="Arial" w:hAnsi="Arial" w:cs="Arial"/>
          <w:sz w:val="24"/>
          <w:szCs w:val="24"/>
        </w:rPr>
      </w:r>
      <w:r>
        <w:rPr>
          <w:rFonts w:ascii="Arial" w:hAnsi="Arial" w:cs="Arial"/>
          <w:sz w:val="24"/>
          <w:szCs w:val="24"/>
        </w:rPr>
      </w:r>
    </w:p>
    <w:p>
      <w:pPr>
        <w:pStyle w:val="856"/>
        <w:pBdr/>
        <w:spacing w:line="500" w:lineRule="exact"/>
        <w:ind w:firstLine="480"/>
        <w:rPr>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 = 1 \* GB3 </w:instrText>
      </w:r>
      <w:r>
        <w:rPr>
          <w:rFonts w:ascii="Arial" w:hAnsi="Arial" w:cs="Arial"/>
          <w:sz w:val="24"/>
          <w:szCs w:val="24"/>
        </w:rPr>
        <w:fldChar w:fldCharType="separate"/>
      </w:r>
      <w:r>
        <w:rPr>
          <w:rFonts w:hint="eastAsia" w:ascii="宋体" w:cs="Arial"/>
          <w:sz w:val="24"/>
          <w:szCs w:val="24"/>
        </w:rPr>
        <w:t xml:space="preserve">①</w:t>
      </w:r>
      <w:r>
        <w:rPr>
          <w:rFonts w:ascii="Arial" w:hAnsi="Arial" w:cs="Arial"/>
          <w:sz w:val="24"/>
          <w:szCs w:val="24"/>
        </w:rPr>
        <w:fldChar w:fldCharType="end"/>
      </w:r>
      <w:r>
        <w:rPr>
          <w:rFonts w:ascii="Arial" w:hAnsi="Arial" w:cs="Arial"/>
          <w:sz w:val="24"/>
          <w:szCs w:val="24"/>
        </w:rPr>
        <w:t xml:space="preserve">支出完成率（满分5分）</w:t>
      </w:r>
      <w:r>
        <w:rPr>
          <w:rFonts w:ascii="Arial" w:hAnsi="Arial" w:cs="Arial"/>
          <w:sz w:val="24"/>
          <w:szCs w:val="24"/>
        </w:rPr>
      </w:r>
      <w:r>
        <w:rPr>
          <w:rFonts w:ascii="Arial" w:hAnsi="Arial" w:cs="Arial"/>
          <w:sz w:val="24"/>
          <w:szCs w:val="24"/>
        </w:rPr>
      </w:r>
    </w:p>
    <w:p>
      <w:pPr>
        <w:pStyle w:val="856"/>
        <w:pBdr/>
        <w:spacing w:line="500" w:lineRule="exact"/>
        <w:ind w:firstLine="480"/>
        <w:rPr>
          <w:rFonts w:ascii="Arial" w:hAnsi="Arial" w:cs="Arial"/>
          <w:color w:val="000000"/>
          <w:sz w:val="24"/>
          <w:szCs w:val="24"/>
        </w:rPr>
      </w:pPr>
      <w:r>
        <w:rPr>
          <w:rFonts w:ascii="Arial" w:hAnsi="Arial" w:cs="Arial"/>
          <w:sz w:val="24"/>
          <w:szCs w:val="24"/>
        </w:rPr>
        <w:t xml:space="preserve">根据2017年度水利局经费支出明细表及收入支出明细表，随州市水利局2017年支出预算数为23,444,800.00元。2017年实际支出数为</w:t>
      </w:r>
      <w:r>
        <w:rPr>
          <w:rFonts w:ascii="Arial" w:hAnsi="Arial" w:cs="Arial"/>
          <w:color w:val="000000"/>
          <w:sz w:val="24"/>
          <w:szCs w:val="24"/>
        </w:rPr>
        <w:t xml:space="preserve">10,022,241.21</w:t>
      </w:r>
      <w:r>
        <w:rPr>
          <w:rFonts w:ascii="Arial" w:hAnsi="Arial" w:cs="Arial"/>
          <w:sz w:val="24"/>
          <w:szCs w:val="24"/>
        </w:rPr>
        <w:t xml:space="preserve">元。</w:t>
      </w:r>
      <w:r>
        <w:rPr>
          <w:rFonts w:ascii="Arial" w:hAnsi="Arial" w:cs="Arial"/>
          <w:color w:val="000000"/>
          <w:sz w:val="24"/>
          <w:szCs w:val="24"/>
        </w:rPr>
      </w:r>
      <w:r>
        <w:rPr>
          <w:rFonts w:ascii="Arial" w:hAnsi="Arial" w:cs="Arial"/>
          <w:color w:val="000000"/>
          <w:sz w:val="24"/>
          <w:szCs w:val="24"/>
        </w:rPr>
      </w:r>
    </w:p>
    <w:p>
      <w:pPr>
        <w:pStyle w:val="856"/>
        <w:pBdr/>
        <w:spacing w:line="500" w:lineRule="exact"/>
        <w:ind w:firstLine="480"/>
        <w:rPr>
          <w:rFonts w:ascii="Arial" w:hAnsi="Arial" w:cs="Arial"/>
          <w:sz w:val="24"/>
          <w:szCs w:val="24"/>
        </w:rPr>
      </w:pPr>
      <w:r>
        <w:rPr>
          <w:rFonts w:ascii="Arial" w:hAnsi="Arial" w:cs="Arial"/>
          <w:sz w:val="24"/>
          <w:szCs w:val="24"/>
        </w:rPr>
        <w:t xml:space="preserve">   支出完成率=（预算支出完成数/支出预算数）*100%</w:t>
      </w:r>
      <w:r>
        <w:rPr>
          <w:rFonts w:ascii="Arial" w:hAnsi="Arial" w:cs="Arial"/>
          <w:sz w:val="24"/>
          <w:szCs w:val="24"/>
        </w:rPr>
      </w:r>
      <w:r>
        <w:rPr>
          <w:rFonts w:ascii="Arial" w:hAnsi="Arial" w:cs="Arial"/>
          <w:sz w:val="24"/>
          <w:szCs w:val="24"/>
        </w:rPr>
      </w:r>
    </w:p>
    <w:p>
      <w:pPr>
        <w:pStyle w:val="856"/>
        <w:pBdr/>
        <w:spacing w:line="500" w:lineRule="exact"/>
        <w:ind w:firstLine="480"/>
        <w:rPr>
          <w:rFonts w:ascii="Arial" w:hAnsi="Arial" w:cs="Arial"/>
          <w:sz w:val="24"/>
          <w:szCs w:val="24"/>
        </w:rPr>
      </w:pPr>
      <w:r>
        <w:rPr>
          <w:rFonts w:ascii="Arial" w:hAnsi="Arial" w:cs="Arial"/>
          <w:sz w:val="24"/>
          <w:szCs w:val="24"/>
        </w:rPr>
        <w:t xml:space="preserve">             =（10022241.21/23444800.00)*100%</w:t>
      </w:r>
      <w:r>
        <w:rPr>
          <w:rFonts w:ascii="Arial" w:hAnsi="Arial" w:cs="Arial"/>
          <w:sz w:val="24"/>
          <w:szCs w:val="24"/>
        </w:rPr>
      </w:r>
      <w:r>
        <w:rPr>
          <w:rFonts w:ascii="Arial" w:hAnsi="Arial" w:cs="Arial"/>
          <w:sz w:val="24"/>
          <w:szCs w:val="24"/>
        </w:rPr>
      </w:r>
    </w:p>
    <w:p>
      <w:pPr>
        <w:pStyle w:val="856"/>
        <w:pBdr/>
        <w:spacing w:line="500" w:lineRule="exact"/>
        <w:ind w:firstLine="480"/>
        <w:rPr>
          <w:rFonts w:ascii="Arial" w:hAnsi="Arial" w:cs="Arial"/>
          <w:sz w:val="24"/>
          <w:szCs w:val="24"/>
        </w:rPr>
      </w:pPr>
      <w:r>
        <w:rPr>
          <w:rFonts w:ascii="Arial" w:hAnsi="Arial" w:cs="Arial"/>
          <w:sz w:val="24"/>
          <w:szCs w:val="24"/>
        </w:rPr>
        <w:t xml:space="preserve">             =42.75%</w:t>
      </w:r>
      <w:r>
        <w:rPr>
          <w:rFonts w:ascii="Arial" w:hAnsi="Arial" w:cs="Arial"/>
          <w:sz w:val="24"/>
          <w:szCs w:val="24"/>
        </w:rPr>
      </w:r>
      <w:r>
        <w:rPr>
          <w:rFonts w:ascii="Arial" w:hAnsi="Arial" w:cs="Arial"/>
          <w:sz w:val="24"/>
          <w:szCs w:val="24"/>
        </w:rPr>
      </w:r>
    </w:p>
    <w:p>
      <w:pPr>
        <w:pStyle w:val="856"/>
        <w:pBdr/>
        <w:spacing w:line="500" w:lineRule="exact"/>
        <w:ind w:firstLine="480"/>
        <w:rPr>
          <w:rFonts w:ascii="Arial" w:hAnsi="Arial" w:cs="Arial"/>
          <w:sz w:val="24"/>
          <w:szCs w:val="24"/>
        </w:rPr>
      </w:pPr>
      <w:r>
        <w:rPr>
          <w:rFonts w:ascii="Arial" w:hAnsi="Arial" w:cs="Arial"/>
          <w:sz w:val="24"/>
          <w:szCs w:val="24"/>
        </w:rPr>
        <w:t xml:space="preserve">据计算，支出完成率42.75%小于100%。根据评分标准，得5分。</w:t>
      </w:r>
      <w:r>
        <w:rPr>
          <w:rFonts w:ascii="Arial" w:hAnsi="Arial" w:cs="Arial"/>
          <w:sz w:val="24"/>
          <w:szCs w:val="24"/>
        </w:rPr>
      </w:r>
      <w:r>
        <w:rPr>
          <w:rFonts w:ascii="Arial" w:hAnsi="Arial" w:cs="Arial"/>
          <w:sz w:val="24"/>
          <w:szCs w:val="24"/>
        </w:rPr>
      </w:r>
    </w:p>
    <w:p>
      <w:pPr>
        <w:pStyle w:val="856"/>
        <w:pBdr/>
        <w:spacing w:line="500" w:lineRule="exact"/>
        <w:ind w:firstLine="480"/>
        <w:rPr>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 = 2 \* GB3 </w:instrText>
      </w:r>
      <w:r>
        <w:rPr>
          <w:rFonts w:ascii="Arial" w:hAnsi="Arial" w:cs="Arial"/>
          <w:sz w:val="24"/>
          <w:szCs w:val="24"/>
        </w:rPr>
        <w:fldChar w:fldCharType="separate"/>
      </w:r>
      <w:r>
        <w:rPr>
          <w:rFonts w:hint="eastAsia" w:ascii="宋体" w:cs="Arial"/>
          <w:sz w:val="24"/>
          <w:szCs w:val="24"/>
        </w:rPr>
        <w:t xml:space="preserve">②</w:t>
      </w:r>
      <w:r>
        <w:rPr>
          <w:rFonts w:ascii="Arial" w:hAnsi="Arial" w:cs="Arial"/>
          <w:sz w:val="24"/>
          <w:szCs w:val="24"/>
        </w:rPr>
        <w:fldChar w:fldCharType="end"/>
      </w:r>
      <w:r>
        <w:rPr>
          <w:rFonts w:ascii="Arial" w:hAnsi="Arial" w:cs="Arial"/>
          <w:sz w:val="24"/>
          <w:szCs w:val="24"/>
        </w:rPr>
        <w:t xml:space="preserve">”三公“经费控制率（满分5分）</w:t>
      </w:r>
      <w:r>
        <w:rPr>
          <w:rFonts w:ascii="Arial" w:hAnsi="Arial" w:cs="Arial"/>
          <w:sz w:val="24"/>
          <w:szCs w:val="24"/>
        </w:rPr>
      </w:r>
      <w:r>
        <w:rPr>
          <w:rFonts w:ascii="Arial" w:hAnsi="Arial" w:cs="Arial"/>
          <w:sz w:val="24"/>
          <w:szCs w:val="24"/>
        </w:rPr>
      </w:r>
    </w:p>
    <w:p>
      <w:pPr>
        <w:pStyle w:val="856"/>
        <w:pBdr/>
        <w:spacing w:line="500" w:lineRule="exact"/>
        <w:ind w:firstLine="480"/>
        <w:rPr>
          <w:rFonts w:ascii="Arial" w:hAnsi="Arial" w:cs="Arial"/>
          <w:sz w:val="24"/>
          <w:szCs w:val="24"/>
        </w:rPr>
      </w:pPr>
      <w:r>
        <w:rPr>
          <w:rFonts w:ascii="Arial" w:hAnsi="Arial" w:cs="Arial"/>
          <w:sz w:val="24"/>
          <w:szCs w:val="24"/>
        </w:rPr>
        <w:t xml:space="preserve">根据2017年度经费支出明细表，随州市水利局2017年”三公“经费实际支出212,900.00元。2017年”三公“经费预算数为1</w:t>
      </w:r>
      <w:r>
        <w:rPr>
          <w:rFonts w:hint="eastAsia" w:ascii="Arial" w:hAnsi="Arial" w:cs="Arial"/>
          <w:sz w:val="24"/>
          <w:szCs w:val="24"/>
        </w:rPr>
        <w:t xml:space="preserve">9</w:t>
      </w:r>
      <w:r>
        <w:rPr>
          <w:rFonts w:ascii="Arial" w:hAnsi="Arial" w:cs="Arial"/>
          <w:sz w:val="24"/>
          <w:szCs w:val="24"/>
        </w:rPr>
        <w:t xml:space="preserve">2,700.00元。</w:t>
      </w:r>
      <w:r>
        <w:rPr>
          <w:rFonts w:ascii="Arial" w:hAnsi="Arial" w:cs="Arial"/>
          <w:sz w:val="24"/>
          <w:szCs w:val="24"/>
        </w:rPr>
      </w:r>
      <w:r>
        <w:rPr>
          <w:rFonts w:ascii="Arial" w:hAnsi="Arial" w:cs="Arial"/>
          <w:sz w:val="24"/>
          <w:szCs w:val="24"/>
        </w:rPr>
      </w:r>
    </w:p>
    <w:p>
      <w:pPr>
        <w:pStyle w:val="856"/>
        <w:pBdr/>
        <w:spacing w:line="500" w:lineRule="exact"/>
        <w:ind w:firstLine="480"/>
        <w:rPr>
          <w:rFonts w:ascii="Arial" w:hAnsi="Arial" w:cs="Arial"/>
          <w:sz w:val="24"/>
          <w:szCs w:val="24"/>
        </w:rPr>
      </w:pPr>
      <w:r>
        <w:rPr>
          <w:rFonts w:ascii="Arial" w:hAnsi="Arial" w:cs="Arial"/>
          <w:sz w:val="24"/>
          <w:szCs w:val="24"/>
        </w:rPr>
        <w:t xml:space="preserve">”三公“经费控制率=（本年度”三公“经费实际支出数/”三公“经费预算数）*100%</w:t>
      </w:r>
      <w:r>
        <w:rPr>
          <w:rFonts w:ascii="Arial" w:hAnsi="Arial" w:cs="Arial"/>
          <w:sz w:val="24"/>
          <w:szCs w:val="24"/>
        </w:rPr>
      </w:r>
      <w:r>
        <w:rPr>
          <w:rFonts w:ascii="Arial" w:hAnsi="Arial" w:cs="Arial"/>
          <w:sz w:val="24"/>
          <w:szCs w:val="24"/>
        </w:rPr>
      </w:r>
    </w:p>
    <w:p>
      <w:pPr>
        <w:pStyle w:val="856"/>
        <w:pBdr/>
        <w:spacing w:line="500" w:lineRule="exact"/>
        <w:ind w:firstLine="480"/>
        <w:rPr>
          <w:rFonts w:ascii="Arial" w:hAnsi="Arial" w:cs="Arial"/>
          <w:sz w:val="24"/>
          <w:szCs w:val="24"/>
        </w:rPr>
      </w:pPr>
      <w:r>
        <w:rPr>
          <w:rFonts w:ascii="Arial" w:hAnsi="Arial" w:cs="Arial"/>
          <w:sz w:val="24"/>
          <w:szCs w:val="24"/>
        </w:rPr>
        <w:t xml:space="preserve">                  =（212900.00/1</w:t>
      </w:r>
      <w:r>
        <w:rPr>
          <w:rFonts w:hint="eastAsia" w:ascii="Arial" w:hAnsi="Arial" w:cs="Arial"/>
          <w:sz w:val="24"/>
          <w:szCs w:val="24"/>
        </w:rPr>
        <w:t xml:space="preserve">9</w:t>
      </w:r>
      <w:r>
        <w:rPr>
          <w:rFonts w:ascii="Arial" w:hAnsi="Arial" w:cs="Arial"/>
          <w:sz w:val="24"/>
          <w:szCs w:val="24"/>
        </w:rPr>
        <w:t xml:space="preserve">2700.00）*100%</w:t>
      </w:r>
      <w:r>
        <w:rPr>
          <w:rFonts w:ascii="Arial" w:hAnsi="Arial" w:cs="Arial"/>
          <w:sz w:val="24"/>
          <w:szCs w:val="24"/>
        </w:rPr>
      </w:r>
      <w:r>
        <w:rPr>
          <w:rFonts w:ascii="Arial" w:hAnsi="Arial" w:cs="Arial"/>
          <w:sz w:val="24"/>
          <w:szCs w:val="24"/>
        </w:rPr>
      </w:r>
    </w:p>
    <w:p>
      <w:pPr>
        <w:pStyle w:val="856"/>
        <w:pBdr/>
        <w:spacing w:line="500" w:lineRule="exact"/>
        <w:ind w:firstLine="480"/>
        <w:rPr>
          <w:rFonts w:ascii="Arial" w:hAnsi="Arial" w:cs="Arial"/>
          <w:sz w:val="24"/>
          <w:szCs w:val="24"/>
        </w:rPr>
      </w:pPr>
      <w:r>
        <w:rPr>
          <w:rFonts w:ascii="Arial" w:hAnsi="Arial" w:cs="Arial"/>
          <w:sz w:val="24"/>
          <w:szCs w:val="24"/>
        </w:rPr>
        <w:t xml:space="preserve">                  =1</w:t>
      </w:r>
      <w:r>
        <w:rPr>
          <w:rFonts w:hint="eastAsia" w:ascii="Arial" w:hAnsi="Arial" w:cs="Arial"/>
          <w:sz w:val="24"/>
          <w:szCs w:val="24"/>
        </w:rPr>
        <w:t xml:space="preserve">10</w:t>
      </w:r>
      <w:r>
        <w:rPr>
          <w:rFonts w:ascii="Arial" w:hAnsi="Arial" w:cs="Arial"/>
          <w:sz w:val="24"/>
          <w:szCs w:val="24"/>
        </w:rPr>
        <w:t xml:space="preserve">.</w:t>
      </w:r>
      <w:r>
        <w:rPr>
          <w:rFonts w:hint="eastAsia" w:ascii="Arial" w:hAnsi="Arial" w:cs="Arial"/>
          <w:sz w:val="24"/>
          <w:szCs w:val="24"/>
        </w:rPr>
        <w:t xml:space="preserve">48</w:t>
      </w:r>
      <w:r>
        <w:rPr>
          <w:rFonts w:ascii="Arial" w:hAnsi="Arial" w:cs="Arial"/>
          <w:sz w:val="24"/>
          <w:szCs w:val="24"/>
        </w:rPr>
      </w:r>
      <w:r>
        <w:rPr>
          <w:rFonts w:ascii="Arial" w:hAnsi="Arial" w:cs="Arial"/>
          <w:sz w:val="24"/>
          <w:szCs w:val="24"/>
        </w:rPr>
      </w:r>
    </w:p>
    <w:p>
      <w:pPr>
        <w:pStyle w:val="856"/>
        <w:pBdr/>
        <w:spacing w:line="500" w:lineRule="exact"/>
        <w:ind w:firstLine="480"/>
        <w:rPr>
          <w:rFonts w:ascii="Arial" w:hAnsi="Arial" w:cs="Arial"/>
          <w:sz w:val="24"/>
          <w:szCs w:val="24"/>
        </w:rPr>
      </w:pPr>
      <w:r>
        <w:rPr>
          <w:rFonts w:ascii="Arial" w:hAnsi="Arial" w:cs="Arial"/>
          <w:sz w:val="24"/>
          <w:szCs w:val="24"/>
        </w:rPr>
        <w:t xml:space="preserve">据计算，”三公“经费控制率为1</w:t>
      </w:r>
      <w:r>
        <w:rPr>
          <w:rFonts w:hint="eastAsia" w:ascii="Arial" w:hAnsi="Arial" w:cs="Arial"/>
          <w:sz w:val="24"/>
          <w:szCs w:val="24"/>
        </w:rPr>
        <w:t xml:space="preserve">10.48</w:t>
      </w:r>
      <w:r>
        <w:rPr>
          <w:rFonts w:ascii="Arial" w:hAnsi="Arial" w:cs="Arial"/>
          <w:sz w:val="24"/>
          <w:szCs w:val="24"/>
        </w:rPr>
        <w:t xml:space="preserve">%。根据评分标准，扣5分，得0分。</w:t>
      </w:r>
      <w:r>
        <w:rPr>
          <w:rFonts w:ascii="Arial" w:hAnsi="Arial" w:cs="Arial"/>
          <w:sz w:val="24"/>
          <w:szCs w:val="24"/>
        </w:rPr>
      </w:r>
      <w:r>
        <w:rPr>
          <w:rFonts w:ascii="Arial" w:hAnsi="Arial" w:cs="Arial"/>
          <w:sz w:val="24"/>
          <w:szCs w:val="24"/>
        </w:rPr>
      </w:r>
    </w:p>
    <w:p>
      <w:pPr>
        <w:pStyle w:val="856"/>
        <w:pBdr/>
        <w:spacing w:line="500" w:lineRule="exact"/>
        <w:ind w:firstLine="480"/>
        <w:rPr>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 = 3 \* GB3 </w:instrText>
      </w:r>
      <w:r>
        <w:rPr>
          <w:rFonts w:ascii="Arial" w:hAnsi="Arial" w:cs="Arial"/>
          <w:sz w:val="24"/>
          <w:szCs w:val="24"/>
        </w:rPr>
        <w:fldChar w:fldCharType="separate"/>
      </w:r>
      <w:r>
        <w:rPr>
          <w:rFonts w:hint="eastAsia" w:ascii="宋体" w:cs="Arial"/>
          <w:sz w:val="24"/>
          <w:szCs w:val="24"/>
        </w:rPr>
        <w:t xml:space="preserve">③</w:t>
      </w:r>
      <w:r>
        <w:rPr>
          <w:rFonts w:ascii="Arial" w:hAnsi="Arial" w:cs="Arial"/>
          <w:sz w:val="24"/>
          <w:szCs w:val="24"/>
        </w:rPr>
        <w:fldChar w:fldCharType="end"/>
      </w:r>
      <w:r>
        <w:rPr>
          <w:rFonts w:ascii="Arial" w:hAnsi="Arial" w:cs="Arial"/>
          <w:sz w:val="24"/>
          <w:szCs w:val="24"/>
        </w:rPr>
        <w:t xml:space="preserve">政府采购执行率（满分5分）</w:t>
      </w:r>
      <w:r>
        <w:rPr>
          <w:rFonts w:ascii="Arial" w:hAnsi="Arial" w:cs="Arial"/>
          <w:sz w:val="24"/>
          <w:szCs w:val="24"/>
        </w:rPr>
      </w:r>
      <w:r>
        <w:rPr>
          <w:rFonts w:ascii="Arial" w:hAnsi="Arial" w:cs="Arial"/>
          <w:sz w:val="24"/>
          <w:szCs w:val="24"/>
        </w:rPr>
      </w:r>
    </w:p>
    <w:p>
      <w:pPr>
        <w:pStyle w:val="856"/>
        <w:pBdr/>
        <w:spacing w:line="500" w:lineRule="exact"/>
        <w:ind w:firstLine="480"/>
        <w:rPr>
          <w:rFonts w:ascii="Arial" w:hAnsi="Arial" w:cs="Arial"/>
          <w:sz w:val="24"/>
          <w:szCs w:val="24"/>
        </w:rPr>
      </w:pPr>
      <w:r>
        <w:rPr>
          <w:rFonts w:ascii="Arial" w:hAnsi="Arial" w:cs="Arial"/>
          <w:sz w:val="24"/>
          <w:szCs w:val="24"/>
        </w:rPr>
        <w:t xml:space="preserve">随州市水利局部门严格执行政府集中采购相关法律、法规、制度，凡是应进行政府集中采购的，均已进行政府集中采购。2017年随州市水利局政府采购执行率为100%，故本项指标得5分。</w:t>
      </w:r>
      <w:r>
        <w:rPr>
          <w:rFonts w:ascii="Arial" w:hAnsi="Arial" w:cs="Arial"/>
          <w:sz w:val="24"/>
          <w:szCs w:val="24"/>
        </w:rPr>
      </w:r>
      <w:r>
        <w:rPr>
          <w:rFonts w:ascii="Arial" w:hAnsi="Arial" w:cs="Arial"/>
          <w:sz w:val="24"/>
          <w:szCs w:val="24"/>
        </w:rPr>
      </w:r>
    </w:p>
    <w:p>
      <w:pPr>
        <w:pStyle w:val="856"/>
        <w:pBdr/>
        <w:spacing w:line="500" w:lineRule="exact"/>
        <w:ind w:firstLine="480"/>
        <w:rPr>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 = 4 \* GB3 </w:instrText>
      </w:r>
      <w:r>
        <w:rPr>
          <w:rFonts w:ascii="Arial" w:hAnsi="Arial" w:cs="Arial"/>
          <w:sz w:val="24"/>
          <w:szCs w:val="24"/>
        </w:rPr>
        <w:fldChar w:fldCharType="separate"/>
      </w:r>
      <w:r>
        <w:rPr>
          <w:rFonts w:hint="eastAsia" w:ascii="宋体" w:cs="Arial"/>
          <w:sz w:val="24"/>
          <w:szCs w:val="24"/>
        </w:rPr>
        <w:t xml:space="preserve">④</w:t>
      </w:r>
      <w:r>
        <w:rPr>
          <w:rFonts w:ascii="Arial" w:hAnsi="Arial" w:cs="Arial"/>
          <w:sz w:val="24"/>
          <w:szCs w:val="24"/>
        </w:rPr>
        <w:fldChar w:fldCharType="end"/>
      </w:r>
      <w:r>
        <w:rPr>
          <w:rFonts w:ascii="Arial" w:hAnsi="Arial" w:cs="Arial"/>
          <w:sz w:val="24"/>
          <w:szCs w:val="24"/>
        </w:rPr>
        <w:t xml:space="preserve">资金结转结余率（满分5分）</w:t>
      </w:r>
      <w:r>
        <w:rPr>
          <w:rFonts w:ascii="Arial" w:hAnsi="Arial" w:cs="Arial"/>
          <w:sz w:val="24"/>
          <w:szCs w:val="24"/>
        </w:rPr>
      </w:r>
      <w:r>
        <w:rPr>
          <w:rFonts w:ascii="Arial" w:hAnsi="Arial" w:cs="Arial"/>
          <w:sz w:val="24"/>
          <w:szCs w:val="24"/>
        </w:rPr>
      </w:r>
    </w:p>
    <w:p>
      <w:pPr>
        <w:pStyle w:val="856"/>
        <w:pBdr/>
        <w:spacing w:line="500" w:lineRule="exact"/>
        <w:ind w:firstLine="480"/>
        <w:rPr>
          <w:rFonts w:ascii="Arial" w:hAnsi="Arial" w:cs="Arial"/>
          <w:sz w:val="24"/>
          <w:szCs w:val="24"/>
        </w:rPr>
      </w:pPr>
      <w:r>
        <w:rPr>
          <w:rFonts w:ascii="Arial" w:hAnsi="Arial" w:cs="Arial"/>
          <w:sz w:val="24"/>
          <w:szCs w:val="24"/>
        </w:rPr>
        <w:t xml:space="preserve">根据2017年度财务科目余额表及收入明细表，随州市水利局2017年资金结转结余数为7,185,300.00元。2017年公共财政支出预算数为23,444,800.00元。</w:t>
      </w:r>
      <w:r>
        <w:rPr>
          <w:rFonts w:ascii="Arial" w:hAnsi="Arial" w:cs="Arial"/>
          <w:sz w:val="24"/>
          <w:szCs w:val="24"/>
        </w:rPr>
      </w:r>
      <w:r>
        <w:rPr>
          <w:rFonts w:ascii="Arial" w:hAnsi="Arial" w:cs="Arial"/>
          <w:sz w:val="24"/>
          <w:szCs w:val="24"/>
        </w:rPr>
      </w:r>
    </w:p>
    <w:p>
      <w:pPr>
        <w:pStyle w:val="856"/>
        <w:pBdr/>
        <w:spacing w:line="500" w:lineRule="exact"/>
        <w:ind w:firstLine="480"/>
        <w:rPr>
          <w:rFonts w:ascii="Arial" w:hAnsi="Arial" w:cs="Arial"/>
          <w:sz w:val="24"/>
          <w:szCs w:val="24"/>
        </w:rPr>
      </w:pPr>
      <w:r>
        <w:rPr>
          <w:rFonts w:ascii="Arial" w:hAnsi="Arial" w:cs="Arial"/>
          <w:sz w:val="24"/>
          <w:szCs w:val="24"/>
        </w:rPr>
        <w:t xml:space="preserve">   资金结转结余率=（结转结余资金总额/公共财政支出预算）*100%</w:t>
      </w:r>
      <w:r>
        <w:rPr>
          <w:rFonts w:ascii="Arial" w:hAnsi="Arial" w:cs="Arial"/>
          <w:sz w:val="24"/>
          <w:szCs w:val="24"/>
        </w:rPr>
      </w:r>
      <w:r>
        <w:rPr>
          <w:rFonts w:ascii="Arial" w:hAnsi="Arial" w:cs="Arial"/>
          <w:sz w:val="24"/>
          <w:szCs w:val="24"/>
        </w:rPr>
      </w:r>
    </w:p>
    <w:p>
      <w:pPr>
        <w:pStyle w:val="856"/>
        <w:pBdr/>
        <w:spacing w:line="500" w:lineRule="exact"/>
        <w:ind w:firstLine="480"/>
        <w:rPr>
          <w:rFonts w:ascii="Arial" w:hAnsi="Arial" w:cs="Arial"/>
          <w:sz w:val="24"/>
          <w:szCs w:val="24"/>
        </w:rPr>
      </w:pPr>
      <w:r>
        <w:rPr>
          <w:rFonts w:ascii="Arial" w:hAnsi="Arial" w:cs="Arial"/>
          <w:sz w:val="24"/>
          <w:szCs w:val="24"/>
        </w:rPr>
        <w:t xml:space="preserve">                 =( 7185300.00/23444800.00)*100%</w:t>
      </w:r>
      <w:r>
        <w:rPr>
          <w:rFonts w:ascii="Arial" w:hAnsi="Arial" w:cs="Arial"/>
          <w:sz w:val="24"/>
          <w:szCs w:val="24"/>
        </w:rPr>
      </w:r>
      <w:r>
        <w:rPr>
          <w:rFonts w:ascii="Arial" w:hAnsi="Arial" w:cs="Arial"/>
          <w:sz w:val="24"/>
          <w:szCs w:val="24"/>
        </w:rPr>
      </w:r>
    </w:p>
    <w:p>
      <w:pPr>
        <w:pStyle w:val="856"/>
        <w:pBdr/>
        <w:spacing w:line="500" w:lineRule="exact"/>
        <w:ind w:firstLine="2400"/>
        <w:rPr>
          <w:rFonts w:ascii="Arial" w:hAnsi="Arial" w:cs="Arial"/>
          <w:sz w:val="24"/>
          <w:szCs w:val="24"/>
        </w:rPr>
      </w:pPr>
      <w:r>
        <w:rPr>
          <w:rFonts w:ascii="Arial" w:hAnsi="Arial" w:cs="Arial"/>
          <w:sz w:val="24"/>
          <w:szCs w:val="24"/>
        </w:rPr>
        <w:t xml:space="preserve"> =30.65%</w:t>
      </w:r>
      <w:r>
        <w:rPr>
          <w:rFonts w:ascii="Arial" w:hAnsi="Arial" w:cs="Arial"/>
          <w:sz w:val="24"/>
          <w:szCs w:val="24"/>
        </w:rPr>
      </w:r>
      <w:r>
        <w:rPr>
          <w:rFonts w:ascii="Arial" w:hAnsi="Arial" w:cs="Arial"/>
          <w:sz w:val="24"/>
          <w:szCs w:val="24"/>
        </w:rPr>
      </w:r>
    </w:p>
    <w:p>
      <w:pPr>
        <w:pStyle w:val="856"/>
        <w:pBdr/>
        <w:spacing w:line="500" w:lineRule="exact"/>
        <w:ind w:firstLine="480"/>
        <w:rPr>
          <w:rFonts w:ascii="Arial" w:hAnsi="Arial" w:cs="Arial"/>
          <w:sz w:val="24"/>
          <w:szCs w:val="24"/>
        </w:rPr>
      </w:pPr>
      <w:r>
        <w:rPr>
          <w:rFonts w:ascii="Arial" w:hAnsi="Arial" w:cs="Arial"/>
          <w:sz w:val="24"/>
          <w:szCs w:val="24"/>
        </w:rPr>
        <w:t xml:space="preserve">据计算，资金结转结余率30.65%小于50%。根据评分标准，扣1.55分，得3.45分。</w:t>
      </w:r>
      <w:r>
        <w:rPr>
          <w:rFonts w:ascii="Arial" w:hAnsi="Arial" w:cs="Arial"/>
          <w:sz w:val="24"/>
          <w:szCs w:val="24"/>
        </w:rPr>
      </w:r>
      <w:r>
        <w:rPr>
          <w:rFonts w:ascii="Arial" w:hAnsi="Arial" w:cs="Arial"/>
          <w:sz w:val="24"/>
          <w:szCs w:val="24"/>
        </w:rPr>
      </w:r>
    </w:p>
    <w:p>
      <w:pPr>
        <w:pStyle w:val="856"/>
        <w:pBdr/>
        <w:spacing w:line="500" w:lineRule="exact"/>
        <w:ind w:firstLine="480"/>
        <w:rPr>
          <w:rFonts w:ascii="Arial" w:hAnsi="Arial" w:cs="Arial"/>
          <w:sz w:val="24"/>
          <w:szCs w:val="24"/>
        </w:rPr>
      </w:pPr>
      <w:r>
        <w:rPr>
          <w:rFonts w:ascii="Arial" w:hAnsi="Arial" w:cs="Arial"/>
          <w:sz w:val="24"/>
          <w:szCs w:val="24"/>
        </w:rPr>
        <w:t xml:space="preserve">（2）预算管理</w:t>
      </w:r>
      <w:r>
        <w:rPr>
          <w:rFonts w:ascii="Arial" w:hAnsi="Arial" w:cs="Arial"/>
          <w:sz w:val="24"/>
          <w:szCs w:val="24"/>
        </w:rPr>
      </w:r>
      <w:r>
        <w:rPr>
          <w:rFonts w:ascii="Arial" w:hAnsi="Arial" w:cs="Arial"/>
          <w:sz w:val="24"/>
          <w:szCs w:val="24"/>
        </w:rPr>
      </w:r>
    </w:p>
    <w:p>
      <w:pPr>
        <w:pStyle w:val="856"/>
        <w:pBdr/>
        <w:spacing w:line="500" w:lineRule="exact"/>
        <w:ind w:firstLine="480"/>
        <w:rPr>
          <w:rFonts w:ascii="Arial" w:hAnsi="Arial" w:cs="Arial"/>
          <w:sz w:val="24"/>
          <w:szCs w:val="24"/>
        </w:rPr>
      </w:pPr>
      <w:r>
        <w:rPr>
          <w:rFonts w:ascii="Arial" w:hAnsi="Arial" w:cs="Arial"/>
          <w:sz w:val="24"/>
          <w:szCs w:val="24"/>
        </w:rPr>
        <w:t xml:space="preserve">根据评价原则，项目过程中预算管理指标综合分值28分，评价得分为28分。</w:t>
      </w:r>
      <w:r>
        <w:rPr>
          <w:rFonts w:ascii="Arial" w:hAnsi="Arial" w:cs="Arial"/>
          <w:sz w:val="24"/>
          <w:szCs w:val="24"/>
        </w:rPr>
      </w:r>
      <w:r>
        <w:rPr>
          <w:rFonts w:ascii="Arial" w:hAnsi="Arial" w:cs="Arial"/>
          <w:sz w:val="24"/>
          <w:szCs w:val="24"/>
        </w:rPr>
      </w:r>
    </w:p>
    <w:p>
      <w:pPr>
        <w:pStyle w:val="856"/>
        <w:pBdr/>
        <w:spacing/>
        <w:ind w:firstLine="120"/>
        <w:rPr>
          <w:rFonts w:ascii="Arial" w:hAnsi="Arial" w:cs="Arial"/>
          <w:sz w:val="24"/>
          <w:szCs w:val="24"/>
        </w:rPr>
      </w:pPr>
      <w:r>
        <w:rPr>
          <w:rFonts w:ascii="Arial" w:hAnsi="Arial" w:cs="Arial"/>
          <w:sz w:val="24"/>
          <w:szCs w:val="24"/>
        </w:rPr>
        <mc:AlternateContent>
          <mc:Choice Requires="wpg">
            <w:drawing>
              <wp:inline xmlns:wp="http://schemas.openxmlformats.org/drawingml/2006/wordprocessingDrawing" distT="0" distB="0" distL="0" distR="0">
                <wp:extent cx="5065395" cy="2588260"/>
                <wp:effectExtent l="0" t="0" r="0" b="0"/>
                <wp:docPr id="4" name="_x0000_i102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
                        <a:srcRect l="-1375" t="-6521" r="-2272" b="-5459"/>
                        <a:stretch/>
                      </pic:blipFill>
                      <pic:spPr bwMode="auto">
                        <a:xfrm>
                          <a:off x="0" y="0"/>
                          <a:ext cx="5065395" cy="258826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398.85pt;height:203.80pt;mso-wrap-distance-left:0.00pt;mso-wrap-distance-top:0.00pt;mso-wrap-distance-right:0.00pt;mso-wrap-distance-bottom:0.00pt;z-index:1;" stroked="f">
                <v:imagedata r:id="rId13" o:title=""/>
                <o:lock v:ext="edit" rotation="t"/>
              </v:shape>
            </w:pict>
          </mc:Fallback>
        </mc:AlternateContent>
      </w:r>
      <w:r>
        <w:rPr>
          <w:rFonts w:ascii="Arial" w:hAnsi="Arial" w:cs="Arial"/>
          <w:sz w:val="24"/>
          <w:szCs w:val="24"/>
        </w:rPr>
      </w:r>
      <w:r>
        <w:rPr>
          <w:rFonts w:ascii="Arial" w:hAnsi="Arial" w:cs="Arial"/>
          <w:sz w:val="24"/>
          <w:szCs w:val="24"/>
        </w:rPr>
      </w:r>
    </w:p>
    <w:p>
      <w:pPr>
        <w:pStyle w:val="856"/>
        <w:pBdr/>
        <w:spacing w:line="500" w:lineRule="exact"/>
        <w:ind w:firstLine="480"/>
        <w:rPr>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 = 1 \* GB3 </w:instrText>
      </w:r>
      <w:r>
        <w:rPr>
          <w:rFonts w:ascii="Arial" w:hAnsi="Arial" w:cs="Arial"/>
          <w:sz w:val="24"/>
          <w:szCs w:val="24"/>
        </w:rPr>
        <w:fldChar w:fldCharType="separate"/>
      </w:r>
      <w:r>
        <w:rPr>
          <w:rFonts w:hint="eastAsia" w:ascii="宋体" w:cs="Arial"/>
          <w:sz w:val="24"/>
          <w:szCs w:val="24"/>
        </w:rPr>
        <w:t xml:space="preserve">①</w:t>
      </w:r>
      <w:r>
        <w:rPr>
          <w:rFonts w:ascii="Arial" w:hAnsi="Arial" w:cs="Arial"/>
          <w:sz w:val="24"/>
          <w:szCs w:val="24"/>
        </w:rPr>
        <w:fldChar w:fldCharType="end"/>
      </w:r>
      <w:r>
        <w:rPr>
          <w:rFonts w:ascii="Arial" w:hAnsi="Arial" w:cs="Arial"/>
          <w:sz w:val="24"/>
          <w:szCs w:val="24"/>
        </w:rPr>
        <w:t xml:space="preserve">管理制度健全性（8分）</w:t>
      </w:r>
      <w:r>
        <w:rPr>
          <w:rFonts w:ascii="Arial" w:hAnsi="Arial" w:cs="Arial"/>
          <w:sz w:val="24"/>
          <w:szCs w:val="24"/>
        </w:rPr>
      </w:r>
      <w:r>
        <w:rPr>
          <w:rFonts w:ascii="Arial" w:hAnsi="Arial" w:cs="Arial"/>
          <w:sz w:val="24"/>
          <w:szCs w:val="24"/>
        </w:rPr>
      </w:r>
    </w:p>
    <w:p>
      <w:pPr>
        <w:pStyle w:val="856"/>
        <w:pBdr/>
        <w:spacing w:line="500" w:lineRule="exact"/>
        <w:ind w:firstLine="240"/>
        <w:rPr>
          <w:rFonts w:ascii="Arial" w:hAnsi="Arial" w:cs="Arial"/>
          <w:sz w:val="24"/>
          <w:szCs w:val="24"/>
        </w:rPr>
      </w:pPr>
      <w:r>
        <w:rPr>
          <w:rFonts w:ascii="Arial" w:hAnsi="Arial" w:cs="Arial"/>
          <w:sz w:val="24"/>
          <w:szCs w:val="24"/>
        </w:rPr>
        <w:t xml:space="preserve">  根据随州市水利局印发管理制度《市水利局党组关于“三重一大”事项集体决策的实施办法》、《市水利局机关公务接待管理制度》、《市水利局党组会议决策重大问题议事规则》、《市水利局机关车辆管理制度》等，水利局关于加强预算管理、规范财务行为的管理制度合法、合规、完整，得到有效执行。根据评分标准，得8分。</w:t>
      </w:r>
      <w:r>
        <w:rPr>
          <w:rFonts w:ascii="Arial" w:hAnsi="Arial" w:cs="Arial"/>
          <w:sz w:val="24"/>
          <w:szCs w:val="24"/>
        </w:rPr>
      </w:r>
      <w:r>
        <w:rPr>
          <w:rFonts w:ascii="Arial" w:hAnsi="Arial" w:cs="Arial"/>
          <w:sz w:val="24"/>
          <w:szCs w:val="24"/>
        </w:rPr>
      </w:r>
    </w:p>
    <w:p>
      <w:pPr>
        <w:pStyle w:val="856"/>
        <w:pBdr/>
        <w:spacing w:line="500" w:lineRule="exact"/>
        <w:ind w:firstLine="480"/>
        <w:rPr>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 = 2 \* GB3 </w:instrText>
      </w:r>
      <w:r>
        <w:rPr>
          <w:rFonts w:ascii="Arial" w:hAnsi="Arial" w:cs="Arial"/>
          <w:sz w:val="24"/>
          <w:szCs w:val="24"/>
        </w:rPr>
        <w:fldChar w:fldCharType="separate"/>
      </w:r>
      <w:r>
        <w:rPr>
          <w:rFonts w:hint="eastAsia" w:ascii="宋体" w:cs="Arial"/>
          <w:sz w:val="24"/>
          <w:szCs w:val="24"/>
        </w:rPr>
        <w:t xml:space="preserve">②</w:t>
      </w:r>
      <w:r>
        <w:rPr>
          <w:rFonts w:ascii="Arial" w:hAnsi="Arial" w:cs="Arial"/>
          <w:sz w:val="24"/>
          <w:szCs w:val="24"/>
        </w:rPr>
        <w:fldChar w:fldCharType="end"/>
      </w:r>
      <w:r>
        <w:rPr>
          <w:rFonts w:ascii="Arial" w:hAnsi="Arial" w:cs="Arial"/>
          <w:sz w:val="24"/>
          <w:szCs w:val="24"/>
        </w:rPr>
        <w:t xml:space="preserve">资金使用合规性（满分10分）</w:t>
      </w:r>
      <w:r>
        <w:rPr>
          <w:rFonts w:ascii="Arial" w:hAnsi="Arial" w:cs="Arial"/>
          <w:sz w:val="24"/>
          <w:szCs w:val="24"/>
        </w:rPr>
      </w:r>
      <w:r>
        <w:rPr>
          <w:rFonts w:ascii="Arial" w:hAnsi="Arial" w:cs="Arial"/>
          <w:sz w:val="24"/>
          <w:szCs w:val="24"/>
        </w:rPr>
      </w:r>
    </w:p>
    <w:p>
      <w:pPr>
        <w:pStyle w:val="856"/>
        <w:pBdr/>
        <w:spacing w:line="500" w:lineRule="exact"/>
        <w:ind w:firstLine="480"/>
        <w:rPr>
          <w:rFonts w:ascii="Arial" w:hAnsi="Arial" w:cs="Arial"/>
          <w:sz w:val="24"/>
          <w:szCs w:val="24"/>
        </w:rPr>
      </w:pPr>
      <w:r>
        <w:rPr>
          <w:rFonts w:ascii="Arial" w:hAnsi="Arial" w:cs="Arial"/>
          <w:sz w:val="24"/>
          <w:szCs w:val="24"/>
        </w:rPr>
        <w:t xml:space="preserve">随州市水利局2017年财政预算执行情况和2017年财政预算（草案）的决议，未发现随州市水利局不符合或违反八项要求。未发现2017年度随州市水利局使用预算资金存在违规违纪情况，根据评分标准，得10分。</w:t>
      </w:r>
      <w:r>
        <w:rPr>
          <w:rFonts w:ascii="Arial" w:hAnsi="Arial" w:cs="Arial"/>
          <w:sz w:val="24"/>
          <w:szCs w:val="24"/>
        </w:rPr>
      </w:r>
      <w:r>
        <w:rPr>
          <w:rFonts w:ascii="Arial" w:hAnsi="Arial" w:cs="Arial"/>
          <w:sz w:val="24"/>
          <w:szCs w:val="24"/>
        </w:rPr>
      </w:r>
    </w:p>
    <w:p>
      <w:pPr>
        <w:pStyle w:val="856"/>
        <w:pBdr/>
        <w:spacing w:line="500" w:lineRule="exact"/>
        <w:ind w:firstLine="480"/>
        <w:rPr>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 = 3 \* GB3 </w:instrText>
      </w:r>
      <w:r>
        <w:rPr>
          <w:rFonts w:ascii="Arial" w:hAnsi="Arial" w:cs="Arial"/>
          <w:sz w:val="24"/>
          <w:szCs w:val="24"/>
        </w:rPr>
        <w:fldChar w:fldCharType="separate"/>
      </w:r>
      <w:r>
        <w:rPr>
          <w:rFonts w:hint="eastAsia" w:ascii="宋体" w:cs="Arial"/>
          <w:sz w:val="24"/>
          <w:szCs w:val="24"/>
        </w:rPr>
        <w:t xml:space="preserve">③</w:t>
      </w:r>
      <w:r>
        <w:rPr>
          <w:rFonts w:ascii="Arial" w:hAnsi="Arial" w:cs="Arial"/>
          <w:sz w:val="24"/>
          <w:szCs w:val="24"/>
        </w:rPr>
        <w:fldChar w:fldCharType="end"/>
      </w:r>
      <w:r>
        <w:rPr>
          <w:rFonts w:ascii="Arial" w:hAnsi="Arial" w:cs="Arial"/>
          <w:sz w:val="24"/>
          <w:szCs w:val="24"/>
        </w:rPr>
        <w:t xml:space="preserve">预决算信息公开性（满分5分）</w:t>
      </w:r>
      <w:r>
        <w:rPr>
          <w:rFonts w:ascii="Arial" w:hAnsi="Arial" w:cs="Arial"/>
          <w:sz w:val="24"/>
          <w:szCs w:val="24"/>
        </w:rPr>
      </w:r>
      <w:r>
        <w:rPr>
          <w:rFonts w:ascii="Arial" w:hAnsi="Arial" w:cs="Arial"/>
          <w:sz w:val="24"/>
          <w:szCs w:val="24"/>
        </w:rPr>
      </w:r>
    </w:p>
    <w:p>
      <w:pPr>
        <w:pStyle w:val="856"/>
        <w:pBdr/>
        <w:spacing w:line="500" w:lineRule="exact"/>
        <w:ind w:firstLine="240"/>
        <w:rPr>
          <w:rFonts w:ascii="Arial" w:hAnsi="Arial" w:cs="Arial"/>
          <w:sz w:val="24"/>
          <w:szCs w:val="24"/>
        </w:rPr>
      </w:pPr>
      <w:r>
        <w:rPr>
          <w:rFonts w:ascii="Arial" w:hAnsi="Arial" w:cs="Arial"/>
          <w:sz w:val="24"/>
          <w:szCs w:val="24"/>
        </w:rPr>
        <w:t xml:space="preserve">  2017年度随州市水利局按照随州市水利局信息公开指南有关规定在随州市水利局网站公开《随州市水利局2017年度部门预算》和相关预算信息，根据评分标准，得5分。</w:t>
      </w:r>
      <w:r>
        <w:rPr>
          <w:rFonts w:ascii="Arial" w:hAnsi="Arial" w:cs="Arial"/>
          <w:sz w:val="24"/>
          <w:szCs w:val="24"/>
        </w:rPr>
      </w:r>
      <w:r>
        <w:rPr>
          <w:rFonts w:ascii="Arial" w:hAnsi="Arial" w:cs="Arial"/>
          <w:sz w:val="24"/>
          <w:szCs w:val="24"/>
        </w:rPr>
      </w:r>
    </w:p>
    <w:p>
      <w:pPr>
        <w:pStyle w:val="856"/>
        <w:pBdr/>
        <w:spacing w:line="500" w:lineRule="exact"/>
        <w:ind w:firstLine="480"/>
        <w:rPr>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 = 4 \* GB3 </w:instrText>
      </w:r>
      <w:r>
        <w:rPr>
          <w:rFonts w:ascii="Arial" w:hAnsi="Arial" w:cs="Arial"/>
          <w:sz w:val="24"/>
          <w:szCs w:val="24"/>
        </w:rPr>
        <w:fldChar w:fldCharType="separate"/>
      </w:r>
      <w:r>
        <w:rPr>
          <w:rFonts w:hint="eastAsia" w:ascii="宋体" w:cs="Arial"/>
          <w:sz w:val="24"/>
          <w:szCs w:val="24"/>
        </w:rPr>
        <w:t xml:space="preserve">④</w:t>
      </w:r>
      <w:r>
        <w:rPr>
          <w:rFonts w:ascii="Arial" w:hAnsi="Arial" w:cs="Arial"/>
          <w:sz w:val="24"/>
          <w:szCs w:val="24"/>
        </w:rPr>
        <w:fldChar w:fldCharType="end"/>
      </w:r>
      <w:r>
        <w:rPr>
          <w:rFonts w:ascii="Arial" w:hAnsi="Arial" w:cs="Arial"/>
          <w:sz w:val="24"/>
          <w:szCs w:val="24"/>
        </w:rPr>
        <w:t xml:space="preserve">基础信息完善性（满分5分）</w:t>
      </w:r>
      <w:r>
        <w:rPr>
          <w:rFonts w:ascii="Arial" w:hAnsi="Arial" w:cs="Arial"/>
          <w:sz w:val="24"/>
          <w:szCs w:val="24"/>
        </w:rPr>
      </w:r>
      <w:r>
        <w:rPr>
          <w:rFonts w:ascii="Arial" w:hAnsi="Arial" w:cs="Arial"/>
          <w:sz w:val="24"/>
          <w:szCs w:val="24"/>
        </w:rPr>
      </w:r>
    </w:p>
    <w:p>
      <w:pPr>
        <w:pStyle w:val="856"/>
        <w:pBdr/>
        <w:spacing w:line="500" w:lineRule="exact"/>
        <w:ind w:firstLine="240"/>
        <w:rPr>
          <w:rFonts w:ascii="Arial" w:hAnsi="Arial" w:cs="Arial"/>
          <w:sz w:val="24"/>
          <w:szCs w:val="24"/>
        </w:rPr>
      </w:pPr>
      <w:r>
        <w:rPr>
          <w:rFonts w:ascii="Arial" w:hAnsi="Arial" w:cs="Arial"/>
          <w:sz w:val="24"/>
          <w:szCs w:val="24"/>
        </w:rPr>
        <w:t xml:space="preserve">  根据现场查阅财务相关资料，随州市水利局财务管理制度健全、基础数据信息和会计信息资料真实性、完整性、准确性。根据评分标准，得5分。</w:t>
      </w:r>
      <w:r>
        <w:rPr>
          <w:rFonts w:ascii="Arial" w:hAnsi="Arial" w:cs="Arial"/>
          <w:sz w:val="24"/>
          <w:szCs w:val="24"/>
        </w:rPr>
      </w:r>
      <w:r>
        <w:rPr>
          <w:rFonts w:ascii="Arial" w:hAnsi="Arial" w:cs="Arial"/>
          <w:sz w:val="24"/>
          <w:szCs w:val="24"/>
        </w:rPr>
      </w:r>
    </w:p>
    <w:p>
      <w:pPr>
        <w:pStyle w:val="856"/>
        <w:pBdr/>
        <w:spacing w:line="500" w:lineRule="exact"/>
        <w:ind w:firstLine="480"/>
        <w:rPr>
          <w:rFonts w:ascii="Arial" w:hAnsi="Arial" w:cs="Arial"/>
          <w:sz w:val="24"/>
          <w:szCs w:val="24"/>
        </w:rPr>
      </w:pPr>
      <w:r>
        <w:rPr>
          <w:rFonts w:ascii="Arial" w:hAnsi="Arial" w:cs="Arial"/>
          <w:sz w:val="24"/>
          <w:szCs w:val="24"/>
        </w:rPr>
        <w:t xml:space="preserve">（3）资产管理</w:t>
      </w:r>
      <w:r>
        <w:rPr>
          <w:rFonts w:ascii="Arial" w:hAnsi="Arial" w:cs="Arial"/>
          <w:sz w:val="24"/>
          <w:szCs w:val="24"/>
        </w:rPr>
      </w:r>
      <w:r>
        <w:rPr>
          <w:rFonts w:ascii="Arial" w:hAnsi="Arial" w:cs="Arial"/>
          <w:sz w:val="24"/>
          <w:szCs w:val="24"/>
        </w:rPr>
      </w:r>
    </w:p>
    <w:p>
      <w:pPr>
        <w:pStyle w:val="856"/>
        <w:pBdr/>
        <w:spacing w:line="500" w:lineRule="exact"/>
        <w:ind w:firstLine="480"/>
        <w:rPr>
          <w:rFonts w:ascii="Arial" w:hAnsi="Arial" w:cs="Arial"/>
          <w:sz w:val="24"/>
          <w:szCs w:val="24"/>
        </w:rPr>
      </w:pPr>
      <w:r>
        <w:rPr>
          <w:rFonts w:ascii="Arial" w:hAnsi="Arial" w:cs="Arial"/>
          <w:sz w:val="24"/>
          <w:szCs w:val="24"/>
        </w:rPr>
        <w:t xml:space="preserve">根据评价原则，项目过程中资产管理指标综合分值5分，评价得分为5分。</w:t>
      </w:r>
      <w:r>
        <w:rPr>
          <w:rFonts w:ascii="Arial" w:hAnsi="Arial" w:cs="Arial"/>
          <w:sz w:val="24"/>
          <w:szCs w:val="24"/>
        </w:rPr>
      </w:r>
      <w:r>
        <w:rPr>
          <w:rFonts w:ascii="Arial" w:hAnsi="Arial" w:cs="Arial"/>
          <w:sz w:val="24"/>
          <w:szCs w:val="24"/>
        </w:rPr>
      </w:r>
    </w:p>
    <w:p>
      <w:pPr>
        <w:pStyle w:val="856"/>
        <w:pBdr/>
        <w:spacing/>
        <w:ind w:firstLine="240"/>
        <w:rPr>
          <w:rFonts w:ascii="Arial" w:hAnsi="Arial" w:cs="Arial"/>
          <w:sz w:val="24"/>
          <w:szCs w:val="24"/>
        </w:rPr>
      </w:pPr>
      <w:r>
        <w:rPr>
          <w:rFonts w:ascii="Arial" w:hAnsi="Arial" w:cs="Arial"/>
          <w:sz w:val="24"/>
          <w:szCs w:val="24"/>
        </w:rPr>
        <mc:AlternateContent>
          <mc:Choice Requires="wpg">
            <w:drawing>
              <wp:inline xmlns:wp="http://schemas.openxmlformats.org/drawingml/2006/wordprocessingDrawing" distT="0" distB="0" distL="0" distR="0">
                <wp:extent cx="5132705" cy="2971800"/>
                <wp:effectExtent l="0" t="0" r="0" b="0"/>
                <wp:docPr id="5" name="_x0000_i103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
                        <a:srcRect l="-1531" t="-5642" r="-2498" b="-4644"/>
                        <a:stretch/>
                      </pic:blipFill>
                      <pic:spPr bwMode="auto">
                        <a:xfrm>
                          <a:off x="0" y="0"/>
                          <a:ext cx="5132705" cy="297180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04.15pt;height:234.00pt;mso-wrap-distance-left:0.00pt;mso-wrap-distance-top:0.00pt;mso-wrap-distance-right:0.00pt;mso-wrap-distance-bottom:0.00pt;z-index:1;" stroked="f">
                <v:imagedata r:id="rId14" o:title=""/>
                <o:lock v:ext="edit" rotation="t"/>
              </v:shape>
            </w:pict>
          </mc:Fallback>
        </mc:AlternateContent>
      </w:r>
      <w:r>
        <w:rPr>
          <w:rFonts w:ascii="Arial" w:hAnsi="Arial" w:cs="Arial"/>
          <w:sz w:val="24"/>
          <w:szCs w:val="24"/>
        </w:rPr>
      </w:r>
      <w:r>
        <w:rPr>
          <w:rFonts w:ascii="Arial" w:hAnsi="Arial" w:cs="Arial"/>
          <w:sz w:val="24"/>
          <w:szCs w:val="24"/>
        </w:rPr>
      </w:r>
    </w:p>
    <w:p>
      <w:pPr>
        <w:pStyle w:val="856"/>
        <w:pBdr/>
        <w:spacing w:line="500" w:lineRule="exact"/>
        <w:ind w:firstLine="480"/>
        <w:rPr>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 = 1 \* GB3 </w:instrText>
      </w:r>
      <w:r>
        <w:rPr>
          <w:rFonts w:ascii="Arial" w:hAnsi="Arial" w:cs="Arial"/>
          <w:sz w:val="24"/>
          <w:szCs w:val="24"/>
        </w:rPr>
        <w:fldChar w:fldCharType="separate"/>
      </w:r>
      <w:r>
        <w:rPr>
          <w:rFonts w:hint="eastAsia" w:ascii="宋体" w:cs="Arial"/>
          <w:sz w:val="24"/>
          <w:szCs w:val="24"/>
        </w:rPr>
        <w:t xml:space="preserve">①</w:t>
      </w:r>
      <w:r>
        <w:rPr>
          <w:rFonts w:ascii="Arial" w:hAnsi="Arial" w:cs="Arial"/>
          <w:sz w:val="24"/>
          <w:szCs w:val="24"/>
        </w:rPr>
        <w:fldChar w:fldCharType="end"/>
      </w:r>
      <w:r>
        <w:rPr>
          <w:rFonts w:ascii="Arial" w:hAnsi="Arial" w:cs="Arial"/>
          <w:sz w:val="24"/>
          <w:szCs w:val="24"/>
        </w:rPr>
        <w:t xml:space="preserve">资产管理安全性（满分2分）</w:t>
      </w:r>
      <w:r>
        <w:rPr>
          <w:rFonts w:ascii="Arial" w:hAnsi="Arial" w:cs="Arial"/>
          <w:sz w:val="24"/>
          <w:szCs w:val="24"/>
        </w:rPr>
      </w:r>
      <w:r>
        <w:rPr>
          <w:rFonts w:ascii="Arial" w:hAnsi="Arial" w:cs="Arial"/>
          <w:sz w:val="24"/>
          <w:szCs w:val="24"/>
        </w:rPr>
      </w:r>
    </w:p>
    <w:p>
      <w:pPr>
        <w:pStyle w:val="856"/>
        <w:pBdr/>
        <w:spacing w:line="500" w:lineRule="exact"/>
        <w:ind w:firstLine="240"/>
        <w:rPr>
          <w:rFonts w:ascii="Arial" w:hAnsi="Arial" w:cs="Arial"/>
          <w:sz w:val="24"/>
          <w:szCs w:val="24"/>
        </w:rPr>
      </w:pPr>
      <w:r>
        <w:rPr>
          <w:rFonts w:ascii="Arial" w:hAnsi="Arial" w:cs="Arial"/>
          <w:sz w:val="24"/>
          <w:szCs w:val="24"/>
        </w:rPr>
        <w:t xml:space="preserve">  随州市水利局资产保存完整，资产账务管理合规，账实相符，2017年随州市水利局资产管理符合评分标准，得2分。</w:t>
      </w:r>
      <w:r>
        <w:rPr>
          <w:rFonts w:ascii="Arial" w:hAnsi="Arial" w:cs="Arial"/>
          <w:sz w:val="24"/>
          <w:szCs w:val="24"/>
        </w:rPr>
      </w:r>
      <w:r>
        <w:rPr>
          <w:rFonts w:ascii="Arial" w:hAnsi="Arial" w:cs="Arial"/>
          <w:sz w:val="24"/>
          <w:szCs w:val="24"/>
        </w:rPr>
      </w:r>
    </w:p>
    <w:p>
      <w:pPr>
        <w:pStyle w:val="856"/>
        <w:pBdr/>
        <w:spacing w:line="500" w:lineRule="exact"/>
        <w:ind w:firstLine="480"/>
        <w:rPr>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 = 2 \* GB3 </w:instrText>
      </w:r>
      <w:r>
        <w:rPr>
          <w:rFonts w:ascii="Arial" w:hAnsi="Arial" w:cs="Arial"/>
          <w:sz w:val="24"/>
          <w:szCs w:val="24"/>
        </w:rPr>
        <w:fldChar w:fldCharType="separate"/>
      </w:r>
      <w:r>
        <w:rPr>
          <w:rFonts w:hint="eastAsia" w:ascii="宋体" w:cs="Arial"/>
          <w:sz w:val="24"/>
          <w:szCs w:val="24"/>
        </w:rPr>
        <w:t xml:space="preserve">②</w:t>
      </w:r>
      <w:r>
        <w:rPr>
          <w:rFonts w:ascii="Arial" w:hAnsi="Arial" w:cs="Arial"/>
          <w:sz w:val="24"/>
          <w:szCs w:val="24"/>
        </w:rPr>
        <w:fldChar w:fldCharType="end"/>
      </w:r>
      <w:r>
        <w:rPr>
          <w:rFonts w:ascii="Arial" w:hAnsi="Arial" w:cs="Arial"/>
          <w:sz w:val="24"/>
          <w:szCs w:val="24"/>
        </w:rPr>
        <w:t xml:space="preserve">固定资产利用率（满分3分）</w:t>
      </w:r>
      <w:r>
        <w:rPr>
          <w:rFonts w:ascii="Arial" w:hAnsi="Arial" w:cs="Arial"/>
          <w:sz w:val="24"/>
          <w:szCs w:val="24"/>
        </w:rPr>
      </w:r>
      <w:r>
        <w:rPr>
          <w:rFonts w:ascii="Arial" w:hAnsi="Arial" w:cs="Arial"/>
          <w:sz w:val="24"/>
          <w:szCs w:val="24"/>
        </w:rPr>
      </w:r>
    </w:p>
    <w:p>
      <w:pPr>
        <w:pStyle w:val="856"/>
        <w:pBdr/>
        <w:spacing w:line="500" w:lineRule="exact"/>
        <w:ind w:firstLine="480"/>
        <w:rPr>
          <w:rFonts w:ascii="Arial" w:hAnsi="Arial" w:cs="Arial"/>
          <w:sz w:val="24"/>
          <w:szCs w:val="24"/>
        </w:rPr>
      </w:pPr>
      <w:r>
        <w:rPr>
          <w:rFonts w:ascii="Arial" w:hAnsi="Arial" w:cs="Arial"/>
          <w:sz w:val="24"/>
          <w:szCs w:val="24"/>
        </w:rPr>
        <w:t xml:space="preserve">根据资产负债简表</w:t>
      </w:r>
      <w:r>
        <w:rPr>
          <w:rFonts w:ascii="Arial" w:hAnsi="Arial" w:cs="Arial"/>
          <w:i/>
          <w:iCs/>
          <w:sz w:val="24"/>
          <w:szCs w:val="24"/>
        </w:rPr>
        <w:t xml:space="preserve">，</w:t>
      </w:r>
      <w:r>
        <w:rPr>
          <w:rFonts w:ascii="Arial" w:hAnsi="Arial" w:cs="Arial"/>
          <w:sz w:val="24"/>
          <w:szCs w:val="24"/>
        </w:rPr>
        <w:t xml:space="preserve">固定资产利用率为100%。根据评分标准得3分。</w:t>
      </w:r>
      <w:r>
        <w:rPr>
          <w:rFonts w:ascii="Arial" w:hAnsi="Arial" w:cs="Arial"/>
          <w:sz w:val="24"/>
          <w:szCs w:val="24"/>
        </w:rPr>
      </w:r>
      <w:r>
        <w:rPr>
          <w:rFonts w:ascii="Arial" w:hAnsi="Arial" w:cs="Arial"/>
          <w:sz w:val="24"/>
          <w:szCs w:val="24"/>
        </w:rPr>
      </w:r>
    </w:p>
    <w:p>
      <w:pPr>
        <w:pStyle w:val="856"/>
        <w:pBdr/>
        <w:spacing w:line="500" w:lineRule="exact"/>
        <w:ind w:firstLine="482"/>
        <w:rPr>
          <w:rFonts w:ascii="Arial" w:hAnsi="Arial" w:cs="Arial"/>
          <w:b/>
          <w:sz w:val="24"/>
          <w:szCs w:val="24"/>
        </w:rPr>
      </w:pPr>
      <w:r>
        <w:rPr>
          <w:rFonts w:ascii="Arial" w:hAnsi="Arial" w:cs="Arial"/>
          <w:b/>
          <w:sz w:val="24"/>
          <w:szCs w:val="24"/>
        </w:rPr>
        <w:t xml:space="preserve">3、产出及效率</w:t>
      </w:r>
      <w:r>
        <w:rPr>
          <w:rFonts w:ascii="Arial" w:hAnsi="Arial" w:cs="Arial"/>
          <w:b/>
          <w:sz w:val="24"/>
          <w:szCs w:val="24"/>
        </w:rPr>
      </w:r>
      <w:r>
        <w:rPr>
          <w:rFonts w:ascii="Arial" w:hAnsi="Arial" w:cs="Arial"/>
          <w:b/>
          <w:sz w:val="24"/>
          <w:szCs w:val="24"/>
        </w:rPr>
      </w:r>
    </w:p>
    <w:p>
      <w:pPr>
        <w:pStyle w:val="856"/>
        <w:pBdr/>
        <w:spacing w:line="500" w:lineRule="exact"/>
        <w:ind w:firstLine="480"/>
        <w:rPr>
          <w:rFonts w:ascii="Arial" w:hAnsi="Arial" w:cs="Arial"/>
          <w:sz w:val="24"/>
          <w:szCs w:val="24"/>
        </w:rPr>
      </w:pPr>
      <w:r>
        <w:rPr>
          <w:rFonts w:ascii="Arial" w:hAnsi="Arial" w:cs="Arial"/>
          <w:sz w:val="24"/>
          <w:szCs w:val="24"/>
        </w:rPr>
        <w:t xml:space="preserve">根据评价原则，项目产出及效率综合分值32分，评价得分为30分。</w:t>
      </w:r>
      <w:r>
        <w:rPr>
          <w:rFonts w:ascii="Arial" w:hAnsi="Arial" w:cs="Arial"/>
          <w:sz w:val="24"/>
          <w:szCs w:val="24"/>
        </w:rPr>
      </w:r>
      <w:r>
        <w:rPr>
          <w:rFonts w:ascii="Arial" w:hAnsi="Arial" w:cs="Arial"/>
          <w:sz w:val="24"/>
          <w:szCs w:val="24"/>
        </w:rPr>
      </w:r>
    </w:p>
    <w:p>
      <w:pPr>
        <w:pStyle w:val="856"/>
        <w:pBdr/>
        <w:spacing/>
        <w:ind w:firstLine="480"/>
        <w:rPr>
          <w:rFonts w:ascii="Arial" w:hAnsi="Arial" w:cs="Arial"/>
          <w:sz w:val="24"/>
          <w:szCs w:val="24"/>
        </w:rPr>
      </w:pPr>
      <w:r>
        <w:rPr>
          <w:rFonts w:ascii="Arial" w:hAnsi="Arial" w:cs="Arial"/>
          <w:sz w:val="24"/>
          <w:szCs w:val="24"/>
        </w:rPr>
        <mc:AlternateContent>
          <mc:Choice Requires="wpg">
            <w:drawing>
              <wp:inline xmlns:wp="http://schemas.openxmlformats.org/drawingml/2006/wordprocessingDrawing" distT="0" distB="0" distL="0" distR="0">
                <wp:extent cx="4573270" cy="3108960"/>
                <wp:effectExtent l="0" t="0" r="0" b="0"/>
                <wp:docPr id="6" name="_x0000_i103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
                        <a:srcRect l="-1664" t="-5642" r="-2501" b="-4644"/>
                        <a:stretch/>
                      </pic:blipFill>
                      <pic:spPr bwMode="auto">
                        <a:xfrm>
                          <a:off x="0" y="0"/>
                          <a:ext cx="4573270" cy="310896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60.10pt;height:244.80pt;mso-wrap-distance-left:0.00pt;mso-wrap-distance-top:0.00pt;mso-wrap-distance-right:0.00pt;mso-wrap-distance-bottom:0.00pt;z-index:1;" stroked="f">
                <v:imagedata r:id="rId15" o:title=""/>
                <o:lock v:ext="edit" rotation="t"/>
              </v:shape>
            </w:pict>
          </mc:Fallback>
        </mc:AlternateContent>
      </w:r>
      <w:r>
        <w:rPr>
          <w:rFonts w:ascii="Arial" w:hAnsi="Arial" w:cs="Arial"/>
          <w:sz w:val="24"/>
          <w:szCs w:val="24"/>
        </w:rPr>
      </w:r>
      <w:r>
        <w:rPr>
          <w:rFonts w:ascii="Arial" w:hAnsi="Arial" w:cs="Arial"/>
          <w:sz w:val="24"/>
          <w:szCs w:val="24"/>
        </w:rPr>
      </w:r>
    </w:p>
    <w:tbl>
      <w:tblPr>
        <w:tblW w:w="8237" w:type="dxa"/>
        <w:tblInd w:w="9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left w:w="108" w:type="dxa"/>
          <w:top w:w="0" w:type="dxa"/>
          <w:right w:w="108" w:type="dxa"/>
          <w:bottom w:w="0" w:type="dxa"/>
        </w:tblCellMar>
        <w:tblLook w:val="04A0" w:firstRow="1" w:lastRow="0" w:firstColumn="1" w:lastColumn="0" w:noHBand="0" w:noVBand="1"/>
      </w:tblPr>
      <w:tblGrid>
        <w:gridCol w:w="760"/>
        <w:gridCol w:w="560"/>
        <w:gridCol w:w="600"/>
        <w:gridCol w:w="640"/>
        <w:gridCol w:w="716"/>
        <w:gridCol w:w="425"/>
        <w:gridCol w:w="2126"/>
        <w:gridCol w:w="1843"/>
        <w:gridCol w:w="567"/>
      </w:tblGrid>
      <w:tr>
        <w:trPr>
          <w:trHeight w:val="312"/>
        </w:trPr>
        <w:tc>
          <w:tcPr>
            <w:tcBorders/>
            <w:tcW w:w="760"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一级   指标</w:t>
            </w:r>
            <w:r>
              <w:rPr>
                <w:rFonts w:ascii="Arial" w:hAnsi="Arial" w:cs="Arial"/>
                <w:color w:val="000000"/>
                <w:sz w:val="18"/>
                <w:szCs w:val="18"/>
              </w:rPr>
            </w:r>
            <w:r>
              <w:rPr>
                <w:rFonts w:ascii="Arial" w:hAnsi="Arial" w:cs="Arial"/>
                <w:color w:val="000000"/>
                <w:sz w:val="18"/>
                <w:szCs w:val="18"/>
              </w:rPr>
            </w:r>
          </w:p>
        </w:tc>
        <w:tc>
          <w:tcPr>
            <w:tcBorders/>
            <w:tcW w:w="560"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分值</w:t>
            </w:r>
            <w:r>
              <w:rPr>
                <w:rFonts w:ascii="Arial" w:hAnsi="Arial" w:cs="Arial"/>
                <w:color w:val="000000"/>
                <w:sz w:val="18"/>
                <w:szCs w:val="18"/>
              </w:rPr>
            </w:r>
            <w:r>
              <w:rPr>
                <w:rFonts w:ascii="Arial" w:hAnsi="Arial" w:cs="Arial"/>
                <w:color w:val="000000"/>
                <w:sz w:val="18"/>
                <w:szCs w:val="18"/>
              </w:rPr>
            </w:r>
          </w:p>
        </w:tc>
        <w:tc>
          <w:tcPr>
            <w:tcBorders/>
            <w:tcW w:w="600"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二级指标</w:t>
            </w:r>
            <w:r>
              <w:rPr>
                <w:rFonts w:ascii="Arial" w:hAnsi="Arial" w:cs="Arial"/>
                <w:color w:val="000000"/>
                <w:sz w:val="18"/>
                <w:szCs w:val="18"/>
              </w:rPr>
            </w:r>
            <w:r>
              <w:rPr>
                <w:rFonts w:ascii="Arial" w:hAnsi="Arial" w:cs="Arial"/>
                <w:color w:val="000000"/>
                <w:sz w:val="18"/>
                <w:szCs w:val="18"/>
              </w:rPr>
            </w:r>
          </w:p>
        </w:tc>
        <w:tc>
          <w:tcPr>
            <w:tcBorders/>
            <w:tcW w:w="640"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分值</w:t>
            </w:r>
            <w:r>
              <w:rPr>
                <w:rFonts w:ascii="Arial" w:hAnsi="Arial" w:cs="Arial"/>
                <w:color w:val="000000"/>
                <w:sz w:val="18"/>
                <w:szCs w:val="18"/>
              </w:rPr>
            </w:r>
            <w:r>
              <w:rPr>
                <w:rFonts w:ascii="Arial" w:hAnsi="Arial" w:cs="Arial"/>
                <w:color w:val="000000"/>
                <w:sz w:val="18"/>
                <w:szCs w:val="18"/>
              </w:rPr>
            </w:r>
          </w:p>
        </w:tc>
        <w:tc>
          <w:tcPr>
            <w:tcBorders/>
            <w:tcW w:w="716"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三级指标</w:t>
            </w:r>
            <w:r>
              <w:rPr>
                <w:rFonts w:ascii="Arial" w:hAnsi="Arial" w:cs="Arial"/>
                <w:color w:val="000000"/>
                <w:sz w:val="18"/>
                <w:szCs w:val="18"/>
              </w:rPr>
            </w:r>
            <w:r>
              <w:rPr>
                <w:rFonts w:ascii="Arial" w:hAnsi="Arial" w:cs="Arial"/>
                <w:color w:val="000000"/>
                <w:sz w:val="18"/>
                <w:szCs w:val="18"/>
              </w:rPr>
            </w:r>
          </w:p>
        </w:tc>
        <w:tc>
          <w:tcPr>
            <w:tcBorders/>
            <w:tcW w:w="425"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分值</w:t>
            </w:r>
            <w:r>
              <w:rPr>
                <w:rFonts w:ascii="Arial" w:hAnsi="Arial" w:cs="Arial"/>
                <w:color w:val="000000"/>
                <w:sz w:val="18"/>
                <w:szCs w:val="18"/>
              </w:rPr>
            </w:r>
            <w:r>
              <w:rPr>
                <w:rFonts w:ascii="Arial" w:hAnsi="Arial" w:cs="Arial"/>
                <w:color w:val="000000"/>
                <w:sz w:val="18"/>
                <w:szCs w:val="18"/>
              </w:rPr>
            </w:r>
          </w:p>
        </w:tc>
        <w:tc>
          <w:tcPr>
            <w:tcBorders/>
            <w:tcW w:w="2126"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评价标准</w:t>
            </w:r>
            <w:r>
              <w:rPr>
                <w:rFonts w:ascii="Arial" w:hAnsi="Arial" w:cs="Arial"/>
                <w:color w:val="000000"/>
                <w:sz w:val="18"/>
                <w:szCs w:val="18"/>
              </w:rPr>
            </w:r>
            <w:r>
              <w:rPr>
                <w:rFonts w:ascii="Arial" w:hAnsi="Arial" w:cs="Arial"/>
                <w:color w:val="000000"/>
                <w:sz w:val="18"/>
                <w:szCs w:val="18"/>
              </w:rPr>
            </w:r>
          </w:p>
        </w:tc>
        <w:tc>
          <w:tcPr>
            <w:tcBorders/>
            <w:tcW w:w="1843"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指标说明</w:t>
            </w:r>
            <w:r>
              <w:rPr>
                <w:rFonts w:ascii="Arial" w:hAnsi="Arial" w:cs="Arial"/>
                <w:color w:val="000000"/>
                <w:sz w:val="18"/>
                <w:szCs w:val="18"/>
              </w:rPr>
            </w:r>
            <w:r>
              <w:rPr>
                <w:rFonts w:ascii="Arial" w:hAnsi="Arial" w:cs="Arial"/>
                <w:color w:val="000000"/>
                <w:sz w:val="18"/>
                <w:szCs w:val="18"/>
              </w:rPr>
            </w:r>
          </w:p>
        </w:tc>
        <w:tc>
          <w:tcPr>
            <w:tcBorders/>
            <w:tcW w:w="567"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得分</w:t>
            </w:r>
            <w:r>
              <w:rPr>
                <w:rFonts w:ascii="Arial" w:hAnsi="Arial" w:cs="Arial"/>
                <w:color w:val="000000"/>
                <w:sz w:val="18"/>
                <w:szCs w:val="18"/>
              </w:rPr>
            </w:r>
            <w:r>
              <w:rPr>
                <w:rFonts w:ascii="Arial" w:hAnsi="Arial" w:cs="Arial"/>
                <w:color w:val="000000"/>
                <w:sz w:val="18"/>
                <w:szCs w:val="18"/>
              </w:rPr>
            </w:r>
          </w:p>
        </w:tc>
      </w:tr>
      <w:tr>
        <w:trPr>
          <w:trHeight w:val="1365"/>
        </w:trPr>
        <w:tc>
          <w:tcPr>
            <w:tcBorders/>
            <w:tcW w:w="760"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产出及  效率</w:t>
            </w:r>
            <w:r>
              <w:rPr>
                <w:rFonts w:ascii="Arial" w:hAnsi="Arial" w:cs="Arial"/>
                <w:color w:val="000000"/>
                <w:sz w:val="18"/>
                <w:szCs w:val="18"/>
              </w:rPr>
            </w:r>
            <w:r>
              <w:rPr>
                <w:rFonts w:ascii="Arial" w:hAnsi="Arial" w:cs="Arial"/>
                <w:color w:val="000000"/>
                <w:sz w:val="18"/>
                <w:szCs w:val="18"/>
              </w:rPr>
            </w:r>
          </w:p>
        </w:tc>
        <w:tc>
          <w:tcPr>
            <w:tcBorders/>
            <w:tcW w:w="560"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32</w:t>
            </w:r>
            <w:r>
              <w:rPr>
                <w:rFonts w:ascii="Arial" w:hAnsi="Arial" w:cs="Arial"/>
                <w:color w:val="000000"/>
                <w:sz w:val="18"/>
                <w:szCs w:val="18"/>
              </w:rPr>
            </w:r>
            <w:r>
              <w:rPr>
                <w:rFonts w:ascii="Arial" w:hAnsi="Arial" w:cs="Arial"/>
                <w:color w:val="000000"/>
                <w:sz w:val="18"/>
                <w:szCs w:val="18"/>
              </w:rPr>
            </w:r>
          </w:p>
        </w:tc>
        <w:tc>
          <w:tcPr>
            <w:tcBorders/>
            <w:tcW w:w="600"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职责履行</w:t>
            </w:r>
            <w:r>
              <w:rPr>
                <w:rFonts w:ascii="Arial" w:hAnsi="Arial" w:cs="Arial"/>
                <w:color w:val="000000"/>
                <w:sz w:val="18"/>
                <w:szCs w:val="18"/>
              </w:rPr>
            </w:r>
            <w:r>
              <w:rPr>
                <w:rFonts w:ascii="Arial" w:hAnsi="Arial" w:cs="Arial"/>
                <w:color w:val="000000"/>
                <w:sz w:val="18"/>
                <w:szCs w:val="18"/>
              </w:rPr>
            </w:r>
          </w:p>
        </w:tc>
        <w:tc>
          <w:tcPr>
            <w:tcBorders/>
            <w:tcW w:w="640"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10</w:t>
            </w:r>
            <w:r>
              <w:rPr>
                <w:rFonts w:ascii="Arial" w:hAnsi="Arial" w:cs="Arial"/>
                <w:color w:val="000000"/>
                <w:sz w:val="18"/>
                <w:szCs w:val="18"/>
              </w:rPr>
            </w:r>
            <w:r>
              <w:rPr>
                <w:rFonts w:ascii="Arial" w:hAnsi="Arial" w:cs="Arial"/>
                <w:color w:val="000000"/>
                <w:sz w:val="18"/>
                <w:szCs w:val="18"/>
              </w:rPr>
            </w:r>
          </w:p>
        </w:tc>
        <w:tc>
          <w:tcPr>
            <w:tcBorders/>
            <w:tcW w:w="716"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重点工作实际完成率</w:t>
            </w:r>
            <w:r>
              <w:rPr>
                <w:rFonts w:ascii="Arial" w:hAnsi="Arial" w:cs="Arial"/>
                <w:color w:val="000000"/>
                <w:sz w:val="18"/>
                <w:szCs w:val="18"/>
              </w:rPr>
            </w:r>
            <w:r>
              <w:rPr>
                <w:rFonts w:ascii="Arial" w:hAnsi="Arial" w:cs="Arial"/>
                <w:color w:val="000000"/>
                <w:sz w:val="18"/>
                <w:szCs w:val="18"/>
              </w:rPr>
            </w:r>
          </w:p>
        </w:tc>
        <w:tc>
          <w:tcPr>
            <w:tcBorders/>
            <w:tcW w:w="425"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8</w:t>
            </w:r>
            <w:r>
              <w:rPr>
                <w:rFonts w:ascii="Arial" w:hAnsi="Arial" w:cs="Arial"/>
                <w:color w:val="000000"/>
                <w:sz w:val="18"/>
                <w:szCs w:val="18"/>
              </w:rPr>
            </w:r>
            <w:r>
              <w:rPr>
                <w:rFonts w:ascii="Arial" w:hAnsi="Arial" w:cs="Arial"/>
                <w:color w:val="000000"/>
                <w:sz w:val="18"/>
                <w:szCs w:val="18"/>
              </w:rPr>
            </w:r>
          </w:p>
        </w:tc>
        <w:tc>
          <w:tcPr>
            <w:tcBorders/>
            <w:tcW w:w="2126"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1、实际完成率大于等于95%的得满分；2、实际完成率小于80%的得0分；3、实际完成率在80%-95%之间的，在0分和满分之间计算确定</w:t>
            </w:r>
            <w:r>
              <w:rPr>
                <w:rFonts w:ascii="Arial" w:hAnsi="Arial" w:cs="Arial"/>
                <w:color w:val="000000"/>
                <w:sz w:val="18"/>
                <w:szCs w:val="18"/>
              </w:rPr>
            </w:r>
            <w:r>
              <w:rPr>
                <w:rFonts w:ascii="Arial" w:hAnsi="Arial" w:cs="Arial"/>
                <w:color w:val="000000"/>
                <w:sz w:val="18"/>
                <w:szCs w:val="18"/>
              </w:rPr>
            </w:r>
          </w:p>
        </w:tc>
        <w:tc>
          <w:tcPr>
            <w:tcBorders/>
            <w:tcW w:w="1843"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部门履行职责而实际完成项目数与计划完成的项目数</w:t>
            </w:r>
            <w:r>
              <w:rPr>
                <w:rFonts w:ascii="Arial" w:hAnsi="Arial" w:cs="Arial"/>
                <w:color w:val="000000"/>
                <w:sz w:val="18"/>
                <w:szCs w:val="18"/>
              </w:rPr>
            </w:r>
            <w:r>
              <w:rPr>
                <w:rFonts w:ascii="Arial" w:hAnsi="Arial" w:cs="Arial"/>
                <w:color w:val="000000"/>
                <w:sz w:val="18"/>
                <w:szCs w:val="18"/>
              </w:rPr>
            </w:r>
          </w:p>
        </w:tc>
        <w:tc>
          <w:tcPr>
            <w:tcBorders/>
            <w:tcW w:w="567"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8</w:t>
            </w:r>
            <w:r>
              <w:rPr>
                <w:rFonts w:ascii="Arial" w:hAnsi="Arial" w:cs="Arial"/>
                <w:color w:val="000000"/>
                <w:sz w:val="18"/>
                <w:szCs w:val="18"/>
              </w:rPr>
            </w:r>
            <w:r>
              <w:rPr>
                <w:rFonts w:ascii="Arial" w:hAnsi="Arial" w:cs="Arial"/>
                <w:color w:val="000000"/>
                <w:sz w:val="18"/>
                <w:szCs w:val="18"/>
              </w:rPr>
            </w:r>
          </w:p>
        </w:tc>
      </w:tr>
      <w:tr>
        <w:trPr>
          <w:trHeight w:val="1515"/>
        </w:trPr>
        <w:tc>
          <w:tcPr>
            <w:tcBorders/>
            <w:tcW w:w="760" w:type="dxa"/>
            <w:vAlign w:val="center"/>
            <w:vMerge w:val="continue"/>
            <w:textDirection w:val="lrTb"/>
            <w:noWrap w:val="false"/>
          </w:tcPr>
          <w:p>
            <w:pPr>
              <w:pStyle w:val="856"/>
              <w:pBdr/>
              <w:spacing/>
              <w:ind/>
              <w:rPr/>
            </w:pPr>
            <w:r/>
            <w:r/>
          </w:p>
        </w:tc>
        <w:tc>
          <w:tcPr>
            <w:tcBorders/>
            <w:tcW w:w="560" w:type="dxa"/>
            <w:vAlign w:val="center"/>
            <w:vMerge w:val="continue"/>
            <w:textDirection w:val="lrTb"/>
            <w:noWrap w:val="false"/>
          </w:tcPr>
          <w:p>
            <w:pPr>
              <w:pStyle w:val="856"/>
              <w:pBdr/>
              <w:spacing/>
              <w:ind/>
              <w:rPr/>
            </w:pPr>
            <w:r/>
            <w:r/>
          </w:p>
        </w:tc>
        <w:tc>
          <w:tcPr>
            <w:tcBorders/>
            <w:tcW w:w="600" w:type="dxa"/>
            <w:vAlign w:val="center"/>
            <w:vMerge w:val="continue"/>
            <w:textDirection w:val="lrTb"/>
            <w:noWrap w:val="false"/>
          </w:tcPr>
          <w:p>
            <w:pPr>
              <w:pStyle w:val="856"/>
              <w:pBdr/>
              <w:spacing/>
              <w:ind/>
              <w:rPr/>
            </w:pPr>
            <w:r/>
            <w:r/>
          </w:p>
        </w:tc>
        <w:tc>
          <w:tcPr>
            <w:tcBorders/>
            <w:tcW w:w="640" w:type="dxa"/>
            <w:vAlign w:val="center"/>
            <w:vMerge w:val="continue"/>
            <w:textDirection w:val="lrTb"/>
            <w:noWrap w:val="false"/>
          </w:tcPr>
          <w:p>
            <w:pPr>
              <w:pStyle w:val="856"/>
              <w:pBdr/>
              <w:spacing/>
              <w:ind/>
              <w:rPr/>
            </w:pPr>
            <w:r/>
            <w:r/>
          </w:p>
        </w:tc>
        <w:tc>
          <w:tcPr>
            <w:tcBorders/>
            <w:tcW w:w="716"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完成及时率</w:t>
            </w:r>
            <w:r>
              <w:rPr>
                <w:rFonts w:ascii="Arial" w:hAnsi="Arial" w:cs="Arial"/>
                <w:color w:val="000000"/>
                <w:sz w:val="18"/>
                <w:szCs w:val="18"/>
              </w:rPr>
            </w:r>
            <w:r>
              <w:rPr>
                <w:rFonts w:ascii="Arial" w:hAnsi="Arial" w:cs="Arial"/>
                <w:color w:val="000000"/>
                <w:sz w:val="18"/>
                <w:szCs w:val="18"/>
              </w:rPr>
            </w:r>
          </w:p>
        </w:tc>
        <w:tc>
          <w:tcPr>
            <w:tcBorders/>
            <w:tcW w:w="425" w:type="dxa"/>
            <w:vAlign w:val="center"/>
            <w:textDirection w:val="lrTb"/>
            <w:noWrap w:val="false"/>
          </w:tcPr>
          <w:p>
            <w:pPr>
              <w:pStyle w:val="856"/>
              <w:widowControl w:val="true"/>
              <w:pBdr/>
              <w:spacing/>
              <w:ind/>
              <w:jc w:val="center"/>
              <w:rPr>
                <w:rFonts w:ascii="Arial" w:hAnsi="Arial" w:eastAsia="仿宋_GB2312" w:cs="Arial"/>
                <w:color w:val="000000"/>
                <w:sz w:val="18"/>
                <w:szCs w:val="18"/>
              </w:rPr>
            </w:pPr>
            <w:r>
              <w:rPr>
                <w:rFonts w:ascii="Arial" w:hAnsi="Arial" w:eastAsia="仿宋_GB2312" w:cs="Arial"/>
                <w:color w:val="000000"/>
                <w:sz w:val="18"/>
                <w:szCs w:val="18"/>
              </w:rPr>
              <w:t xml:space="preserve">2</w:t>
            </w:r>
            <w:r>
              <w:rPr>
                <w:rFonts w:ascii="Arial" w:hAnsi="Arial" w:eastAsia="仿宋_GB2312" w:cs="Arial"/>
                <w:color w:val="000000"/>
                <w:sz w:val="18"/>
                <w:szCs w:val="18"/>
              </w:rPr>
            </w:r>
            <w:r>
              <w:rPr>
                <w:rFonts w:ascii="Arial" w:hAnsi="Arial" w:eastAsia="仿宋_GB2312" w:cs="Arial"/>
                <w:color w:val="000000"/>
                <w:sz w:val="18"/>
                <w:szCs w:val="18"/>
              </w:rPr>
            </w:r>
          </w:p>
        </w:tc>
        <w:tc>
          <w:tcPr>
            <w:tcBorders/>
            <w:tcW w:w="2126"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1、完成及时率等于100%得满分；2、完成及时率小于100%得0分</w:t>
            </w:r>
            <w:r>
              <w:rPr>
                <w:rFonts w:ascii="Arial" w:hAnsi="Arial" w:cs="Arial"/>
                <w:color w:val="000000"/>
                <w:sz w:val="18"/>
                <w:szCs w:val="18"/>
              </w:rPr>
            </w:r>
            <w:r>
              <w:rPr>
                <w:rFonts w:ascii="Arial" w:hAnsi="Arial" w:cs="Arial"/>
                <w:color w:val="000000"/>
                <w:sz w:val="18"/>
                <w:szCs w:val="18"/>
              </w:rPr>
            </w:r>
          </w:p>
        </w:tc>
        <w:tc>
          <w:tcPr>
            <w:tcBorders/>
            <w:tcW w:w="1843"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部门已完成项目中按项目个数占已完成项目个数的经率，用以反映和评价部门完成任务的工作效率</w:t>
            </w:r>
            <w:r>
              <w:rPr>
                <w:rFonts w:ascii="Arial" w:hAnsi="Arial" w:cs="Arial"/>
                <w:color w:val="000000"/>
                <w:sz w:val="18"/>
                <w:szCs w:val="18"/>
              </w:rPr>
            </w:r>
            <w:r>
              <w:rPr>
                <w:rFonts w:ascii="Arial" w:hAnsi="Arial" w:cs="Arial"/>
                <w:color w:val="000000"/>
                <w:sz w:val="18"/>
                <w:szCs w:val="18"/>
              </w:rPr>
            </w:r>
          </w:p>
        </w:tc>
        <w:tc>
          <w:tcPr>
            <w:tcBorders/>
            <w:tcW w:w="567" w:type="dxa"/>
            <w:vAlign w:val="center"/>
            <w:textDirection w:val="lrTb"/>
            <w:noWrap w:val="false"/>
          </w:tcPr>
          <w:p>
            <w:pPr>
              <w:pStyle w:val="856"/>
              <w:widowControl w:val="true"/>
              <w:pBdr/>
              <w:spacing/>
              <w:ind/>
              <w:jc w:val="center"/>
              <w:rPr>
                <w:rFonts w:ascii="Arial" w:hAnsi="Arial" w:eastAsia="仿宋_GB2312" w:cs="Arial"/>
                <w:color w:val="000000"/>
                <w:sz w:val="18"/>
                <w:szCs w:val="18"/>
              </w:rPr>
            </w:pPr>
            <w:r>
              <w:rPr>
                <w:rFonts w:ascii="Arial" w:hAnsi="Arial" w:eastAsia="仿宋_GB2312" w:cs="Arial"/>
                <w:color w:val="000000"/>
                <w:sz w:val="18"/>
                <w:szCs w:val="18"/>
              </w:rPr>
              <w:t xml:space="preserve">2</w:t>
            </w:r>
            <w:r>
              <w:rPr>
                <w:rFonts w:ascii="Arial" w:hAnsi="Arial" w:eastAsia="仿宋_GB2312" w:cs="Arial"/>
                <w:color w:val="000000"/>
                <w:sz w:val="18"/>
                <w:szCs w:val="18"/>
              </w:rPr>
            </w:r>
            <w:r>
              <w:rPr>
                <w:rFonts w:ascii="Arial" w:hAnsi="Arial" w:eastAsia="仿宋_GB2312" w:cs="Arial"/>
                <w:color w:val="000000"/>
                <w:sz w:val="18"/>
                <w:szCs w:val="18"/>
              </w:rPr>
            </w:r>
          </w:p>
        </w:tc>
      </w:tr>
      <w:tr>
        <w:trPr>
          <w:trHeight w:val="1365"/>
        </w:trPr>
        <w:tc>
          <w:tcPr>
            <w:tcBorders/>
            <w:tcW w:w="760" w:type="dxa"/>
            <w:vAlign w:val="center"/>
            <w:vMerge w:val="continue"/>
            <w:textDirection w:val="lrTb"/>
            <w:noWrap w:val="false"/>
          </w:tcPr>
          <w:p>
            <w:pPr>
              <w:pStyle w:val="856"/>
              <w:pBdr/>
              <w:spacing/>
              <w:ind/>
              <w:rPr/>
            </w:pPr>
            <w:r/>
            <w:r/>
          </w:p>
        </w:tc>
        <w:tc>
          <w:tcPr>
            <w:tcBorders/>
            <w:tcW w:w="560" w:type="dxa"/>
            <w:vAlign w:val="center"/>
            <w:vMerge w:val="continue"/>
            <w:textDirection w:val="lrTb"/>
            <w:noWrap w:val="false"/>
          </w:tcPr>
          <w:p>
            <w:pPr>
              <w:pStyle w:val="856"/>
              <w:pBdr/>
              <w:spacing/>
              <w:ind/>
              <w:rPr/>
            </w:pPr>
            <w:r/>
            <w:r/>
          </w:p>
        </w:tc>
        <w:tc>
          <w:tcPr>
            <w:tcBorders/>
            <w:tcW w:w="600"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履职效益</w:t>
            </w:r>
            <w:r>
              <w:rPr>
                <w:rFonts w:ascii="Arial" w:hAnsi="Arial" w:cs="Arial"/>
                <w:color w:val="000000"/>
                <w:sz w:val="18"/>
                <w:szCs w:val="18"/>
              </w:rPr>
            </w:r>
            <w:r>
              <w:rPr>
                <w:rFonts w:ascii="Arial" w:hAnsi="Arial" w:cs="Arial"/>
                <w:color w:val="000000"/>
                <w:sz w:val="18"/>
                <w:szCs w:val="18"/>
              </w:rPr>
            </w:r>
          </w:p>
        </w:tc>
        <w:tc>
          <w:tcPr>
            <w:tcBorders/>
            <w:tcW w:w="640" w:type="dxa"/>
            <w:vAlign w:val="center"/>
            <w:vMerge w:val="restart"/>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22</w:t>
            </w:r>
            <w:r>
              <w:rPr>
                <w:rFonts w:ascii="Arial" w:hAnsi="Arial" w:cs="Arial"/>
                <w:color w:val="000000"/>
                <w:sz w:val="18"/>
                <w:szCs w:val="18"/>
              </w:rPr>
            </w:r>
            <w:r>
              <w:rPr>
                <w:rFonts w:ascii="Arial" w:hAnsi="Arial" w:cs="Arial"/>
                <w:color w:val="000000"/>
                <w:sz w:val="18"/>
                <w:szCs w:val="18"/>
              </w:rPr>
            </w:r>
          </w:p>
        </w:tc>
        <w:tc>
          <w:tcPr>
            <w:tcBorders/>
            <w:tcW w:w="716"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经济性</w:t>
            </w:r>
            <w:r>
              <w:rPr>
                <w:rFonts w:ascii="Arial" w:hAnsi="Arial" w:cs="Arial"/>
                <w:color w:val="000000"/>
                <w:sz w:val="18"/>
                <w:szCs w:val="18"/>
              </w:rPr>
            </w:r>
            <w:r>
              <w:rPr>
                <w:rFonts w:ascii="Arial" w:hAnsi="Arial" w:cs="Arial"/>
                <w:color w:val="000000"/>
                <w:sz w:val="18"/>
                <w:szCs w:val="18"/>
              </w:rPr>
            </w:r>
          </w:p>
        </w:tc>
        <w:tc>
          <w:tcPr>
            <w:tcBorders/>
            <w:tcW w:w="425"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6</w:t>
            </w:r>
            <w:r>
              <w:rPr>
                <w:rFonts w:ascii="Arial" w:hAnsi="Arial" w:cs="Arial"/>
                <w:color w:val="000000"/>
                <w:sz w:val="18"/>
                <w:szCs w:val="18"/>
              </w:rPr>
            </w:r>
            <w:r>
              <w:rPr>
                <w:rFonts w:ascii="Arial" w:hAnsi="Arial" w:cs="Arial"/>
                <w:color w:val="000000"/>
                <w:sz w:val="18"/>
                <w:szCs w:val="18"/>
              </w:rPr>
            </w:r>
          </w:p>
        </w:tc>
        <w:tc>
          <w:tcPr>
            <w:tcBorders/>
            <w:tcW w:w="2126"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1、现行行政运行经费支出预算编制方法可使行政运行成本最经济为6分；2、使行政运行成本较合理为4分；3、一般为3分；4、不合理为0分</w:t>
            </w:r>
            <w:r>
              <w:rPr>
                <w:rFonts w:ascii="Arial" w:hAnsi="Arial" w:cs="Arial"/>
                <w:color w:val="000000"/>
                <w:sz w:val="18"/>
                <w:szCs w:val="18"/>
              </w:rPr>
            </w:r>
            <w:r>
              <w:rPr>
                <w:rFonts w:ascii="Arial" w:hAnsi="Arial" w:cs="Arial"/>
                <w:color w:val="000000"/>
                <w:sz w:val="18"/>
                <w:szCs w:val="18"/>
              </w:rPr>
            </w:r>
          </w:p>
        </w:tc>
        <w:tc>
          <w:tcPr>
            <w:tcBorders/>
            <w:tcW w:w="1843"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现行行政运行经费支出预算编制方法是否可使行政成本最经济</w:t>
            </w:r>
            <w:r>
              <w:rPr>
                <w:rFonts w:ascii="Arial" w:hAnsi="Arial" w:cs="Arial"/>
                <w:color w:val="000000"/>
                <w:sz w:val="18"/>
                <w:szCs w:val="18"/>
              </w:rPr>
            </w:r>
            <w:r>
              <w:rPr>
                <w:rFonts w:ascii="Arial" w:hAnsi="Arial" w:cs="Arial"/>
                <w:color w:val="000000"/>
                <w:sz w:val="18"/>
                <w:szCs w:val="18"/>
              </w:rPr>
            </w:r>
          </w:p>
        </w:tc>
        <w:tc>
          <w:tcPr>
            <w:tcBorders/>
            <w:tcW w:w="567"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6</w:t>
            </w:r>
            <w:r>
              <w:rPr>
                <w:rFonts w:ascii="Arial" w:hAnsi="Arial" w:cs="Arial"/>
                <w:color w:val="000000"/>
                <w:sz w:val="18"/>
                <w:szCs w:val="18"/>
              </w:rPr>
            </w:r>
            <w:r>
              <w:rPr>
                <w:rFonts w:ascii="Arial" w:hAnsi="Arial" w:cs="Arial"/>
                <w:color w:val="000000"/>
                <w:sz w:val="18"/>
                <w:szCs w:val="18"/>
              </w:rPr>
            </w:r>
          </w:p>
        </w:tc>
      </w:tr>
      <w:tr>
        <w:trPr>
          <w:trHeight w:val="1200"/>
        </w:trPr>
        <w:tc>
          <w:tcPr>
            <w:tcBorders/>
            <w:tcW w:w="760" w:type="dxa"/>
            <w:vAlign w:val="center"/>
            <w:vMerge w:val="continue"/>
            <w:textDirection w:val="lrTb"/>
            <w:noWrap w:val="false"/>
          </w:tcPr>
          <w:p>
            <w:pPr>
              <w:pStyle w:val="856"/>
              <w:pBdr/>
              <w:spacing/>
              <w:ind/>
              <w:rPr/>
            </w:pPr>
            <w:r/>
            <w:r/>
          </w:p>
        </w:tc>
        <w:tc>
          <w:tcPr>
            <w:tcBorders/>
            <w:tcW w:w="560" w:type="dxa"/>
            <w:vAlign w:val="center"/>
            <w:vMerge w:val="continue"/>
            <w:textDirection w:val="lrTb"/>
            <w:noWrap w:val="false"/>
          </w:tcPr>
          <w:p>
            <w:pPr>
              <w:pStyle w:val="856"/>
              <w:pBdr/>
              <w:spacing/>
              <w:ind/>
              <w:rPr/>
            </w:pPr>
            <w:r/>
            <w:r/>
          </w:p>
        </w:tc>
        <w:tc>
          <w:tcPr>
            <w:tcBorders/>
            <w:tcW w:w="600" w:type="dxa"/>
            <w:vAlign w:val="center"/>
            <w:vMerge w:val="continue"/>
            <w:textDirection w:val="lrTb"/>
            <w:noWrap w:val="false"/>
          </w:tcPr>
          <w:p>
            <w:pPr>
              <w:pStyle w:val="856"/>
              <w:pBdr/>
              <w:spacing/>
              <w:ind/>
              <w:rPr/>
            </w:pPr>
            <w:r/>
            <w:r/>
          </w:p>
        </w:tc>
        <w:tc>
          <w:tcPr>
            <w:tcBorders/>
            <w:tcW w:w="640" w:type="dxa"/>
            <w:vAlign w:val="center"/>
            <w:vMerge w:val="continue"/>
            <w:textDirection w:val="lrTb"/>
            <w:noWrap w:val="false"/>
          </w:tcPr>
          <w:p>
            <w:pPr>
              <w:pStyle w:val="856"/>
              <w:pBdr/>
              <w:spacing/>
              <w:ind/>
              <w:rPr/>
            </w:pPr>
            <w:r/>
            <w:r/>
          </w:p>
        </w:tc>
        <w:tc>
          <w:tcPr>
            <w:tcBorders/>
            <w:tcW w:w="716"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有效性</w:t>
            </w:r>
            <w:r>
              <w:rPr>
                <w:rFonts w:ascii="Arial" w:hAnsi="Arial" w:cs="Arial"/>
                <w:color w:val="000000"/>
                <w:sz w:val="18"/>
                <w:szCs w:val="18"/>
              </w:rPr>
            </w:r>
            <w:r>
              <w:rPr>
                <w:rFonts w:ascii="Arial" w:hAnsi="Arial" w:cs="Arial"/>
                <w:color w:val="000000"/>
                <w:sz w:val="18"/>
                <w:szCs w:val="18"/>
              </w:rPr>
            </w:r>
          </w:p>
        </w:tc>
        <w:tc>
          <w:tcPr>
            <w:tcBorders/>
            <w:tcW w:w="425"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6</w:t>
            </w:r>
            <w:r>
              <w:rPr>
                <w:rFonts w:ascii="Arial" w:hAnsi="Arial" w:cs="Arial"/>
                <w:color w:val="000000"/>
                <w:sz w:val="18"/>
                <w:szCs w:val="18"/>
              </w:rPr>
            </w:r>
            <w:r>
              <w:rPr>
                <w:rFonts w:ascii="Arial" w:hAnsi="Arial" w:cs="Arial"/>
                <w:color w:val="000000"/>
                <w:sz w:val="18"/>
                <w:szCs w:val="18"/>
              </w:rPr>
            </w:r>
          </w:p>
        </w:tc>
        <w:tc>
          <w:tcPr>
            <w:tcBorders/>
            <w:tcW w:w="2126"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1、行政运行经费的支出保障了部门正常运行的6分；2、基本正常得4分；3、不能正常运行的不得分</w:t>
            </w:r>
            <w:r>
              <w:rPr>
                <w:rFonts w:ascii="Arial" w:hAnsi="Arial" w:cs="Arial"/>
                <w:color w:val="000000"/>
                <w:sz w:val="18"/>
                <w:szCs w:val="18"/>
              </w:rPr>
            </w:r>
            <w:r>
              <w:rPr>
                <w:rFonts w:ascii="Arial" w:hAnsi="Arial" w:cs="Arial"/>
                <w:color w:val="000000"/>
                <w:sz w:val="18"/>
                <w:szCs w:val="18"/>
              </w:rPr>
            </w:r>
          </w:p>
        </w:tc>
        <w:tc>
          <w:tcPr>
            <w:tcBorders/>
            <w:tcW w:w="1843"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行政运行经费的支出是否能够保障了部门支出</w:t>
            </w:r>
            <w:r>
              <w:rPr>
                <w:rFonts w:ascii="Arial" w:hAnsi="Arial" w:cs="Arial"/>
                <w:color w:val="000000"/>
                <w:sz w:val="18"/>
                <w:szCs w:val="18"/>
              </w:rPr>
            </w:r>
            <w:r>
              <w:rPr>
                <w:rFonts w:ascii="Arial" w:hAnsi="Arial" w:cs="Arial"/>
                <w:color w:val="000000"/>
                <w:sz w:val="18"/>
                <w:szCs w:val="18"/>
              </w:rPr>
            </w:r>
          </w:p>
        </w:tc>
        <w:tc>
          <w:tcPr>
            <w:tcBorders/>
            <w:tcW w:w="567"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6</w:t>
            </w:r>
            <w:r>
              <w:rPr>
                <w:rFonts w:ascii="Arial" w:hAnsi="Arial" w:cs="Arial"/>
                <w:color w:val="000000"/>
                <w:sz w:val="18"/>
                <w:szCs w:val="18"/>
              </w:rPr>
            </w:r>
            <w:r>
              <w:rPr>
                <w:rFonts w:ascii="Arial" w:hAnsi="Arial" w:cs="Arial"/>
                <w:color w:val="000000"/>
                <w:sz w:val="18"/>
                <w:szCs w:val="18"/>
              </w:rPr>
            </w:r>
          </w:p>
        </w:tc>
      </w:tr>
      <w:tr>
        <w:trPr>
          <w:trHeight w:val="1890"/>
        </w:trPr>
        <w:tc>
          <w:tcPr>
            <w:tcBorders/>
            <w:tcW w:w="760" w:type="dxa"/>
            <w:vAlign w:val="center"/>
            <w:vMerge w:val="continue"/>
            <w:textDirection w:val="lrTb"/>
            <w:noWrap w:val="false"/>
          </w:tcPr>
          <w:p>
            <w:pPr>
              <w:pStyle w:val="856"/>
              <w:pBdr/>
              <w:spacing/>
              <w:ind/>
              <w:rPr/>
            </w:pPr>
            <w:r/>
            <w:r/>
          </w:p>
        </w:tc>
        <w:tc>
          <w:tcPr>
            <w:tcBorders/>
            <w:tcW w:w="560" w:type="dxa"/>
            <w:vAlign w:val="center"/>
            <w:vMerge w:val="continue"/>
            <w:textDirection w:val="lrTb"/>
            <w:noWrap w:val="false"/>
          </w:tcPr>
          <w:p>
            <w:pPr>
              <w:pStyle w:val="856"/>
              <w:pBdr/>
              <w:spacing/>
              <w:ind/>
              <w:rPr/>
            </w:pPr>
            <w:r/>
            <w:r/>
          </w:p>
        </w:tc>
        <w:tc>
          <w:tcPr>
            <w:tcBorders/>
            <w:tcW w:w="600" w:type="dxa"/>
            <w:vAlign w:val="center"/>
            <w:vMerge w:val="continue"/>
            <w:textDirection w:val="lrTb"/>
            <w:noWrap w:val="false"/>
          </w:tcPr>
          <w:p>
            <w:pPr>
              <w:pStyle w:val="856"/>
              <w:pBdr/>
              <w:spacing/>
              <w:ind/>
              <w:rPr/>
            </w:pPr>
            <w:r/>
            <w:r/>
          </w:p>
        </w:tc>
        <w:tc>
          <w:tcPr>
            <w:tcBorders/>
            <w:tcW w:w="640" w:type="dxa"/>
            <w:vAlign w:val="center"/>
            <w:vMerge w:val="continue"/>
            <w:textDirection w:val="lrTb"/>
            <w:noWrap w:val="false"/>
          </w:tcPr>
          <w:p>
            <w:pPr>
              <w:pStyle w:val="856"/>
              <w:pBdr/>
              <w:spacing/>
              <w:ind/>
              <w:rPr/>
            </w:pPr>
            <w:r/>
            <w:r/>
          </w:p>
        </w:tc>
        <w:tc>
          <w:tcPr>
            <w:tcBorders/>
            <w:tcW w:w="716"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社会公众或服务对象满意度</w:t>
            </w:r>
            <w:r>
              <w:rPr>
                <w:rFonts w:ascii="Arial" w:hAnsi="Arial" w:cs="Arial"/>
                <w:color w:val="000000"/>
                <w:sz w:val="18"/>
                <w:szCs w:val="18"/>
              </w:rPr>
            </w:r>
            <w:r>
              <w:rPr>
                <w:rFonts w:ascii="Arial" w:hAnsi="Arial" w:cs="Arial"/>
                <w:color w:val="000000"/>
                <w:sz w:val="18"/>
                <w:szCs w:val="18"/>
              </w:rPr>
            </w:r>
          </w:p>
        </w:tc>
        <w:tc>
          <w:tcPr>
            <w:tcBorders/>
            <w:tcW w:w="425"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10</w:t>
            </w:r>
            <w:r>
              <w:rPr>
                <w:rFonts w:ascii="Arial" w:hAnsi="Arial" w:cs="Arial"/>
                <w:color w:val="000000"/>
                <w:sz w:val="18"/>
                <w:szCs w:val="18"/>
              </w:rPr>
            </w:r>
            <w:r>
              <w:rPr>
                <w:rFonts w:ascii="Arial" w:hAnsi="Arial" w:cs="Arial"/>
                <w:color w:val="000000"/>
                <w:sz w:val="18"/>
                <w:szCs w:val="18"/>
              </w:rPr>
            </w:r>
          </w:p>
        </w:tc>
        <w:tc>
          <w:tcPr>
            <w:tcBorders/>
            <w:tcW w:w="2126"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按照满意度调查的优秀（90-100分）、良好（70-89分）、合格（60-69）分、不合格（60分以下）给予该项指标打分：优秀10分、良好8分、合格5分、不合格0分</w:t>
            </w:r>
            <w:r>
              <w:rPr>
                <w:rFonts w:ascii="Arial" w:hAnsi="Arial" w:cs="Arial"/>
                <w:color w:val="000000"/>
                <w:sz w:val="18"/>
                <w:szCs w:val="18"/>
              </w:rPr>
            </w:r>
            <w:r>
              <w:rPr>
                <w:rFonts w:ascii="Arial" w:hAnsi="Arial" w:cs="Arial"/>
                <w:color w:val="000000"/>
                <w:sz w:val="18"/>
                <w:szCs w:val="18"/>
              </w:rPr>
            </w:r>
          </w:p>
        </w:tc>
        <w:tc>
          <w:tcPr>
            <w:tcBorders/>
            <w:tcW w:w="1843"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通过问卷调查了解社会公众对国有资产监督管理局履职效果、解决民众关心的热点问题、厉行节约等方面的满意程度，反映和评价部门支出所带来的社会效益。</w:t>
            </w:r>
            <w:r>
              <w:rPr>
                <w:rFonts w:ascii="Arial" w:hAnsi="Arial" w:cs="Arial"/>
                <w:color w:val="000000"/>
                <w:sz w:val="18"/>
                <w:szCs w:val="18"/>
              </w:rPr>
            </w:r>
            <w:r>
              <w:rPr>
                <w:rFonts w:ascii="Arial" w:hAnsi="Arial" w:cs="Arial"/>
                <w:color w:val="000000"/>
                <w:sz w:val="18"/>
                <w:szCs w:val="18"/>
              </w:rPr>
            </w:r>
          </w:p>
        </w:tc>
        <w:tc>
          <w:tcPr>
            <w:tcBorders/>
            <w:tcW w:w="567" w:type="dxa"/>
            <w:vAlign w:val="center"/>
            <w:textDirection w:val="lrTb"/>
            <w:noWrap w:val="false"/>
          </w:tcPr>
          <w:p>
            <w:pPr>
              <w:pStyle w:val="856"/>
              <w:widowControl w:val="true"/>
              <w:pBdr/>
              <w:spacing/>
              <w:ind/>
              <w:jc w:val="center"/>
              <w:rPr>
                <w:rFonts w:ascii="Arial" w:hAnsi="Arial" w:cs="Arial"/>
                <w:color w:val="000000"/>
                <w:sz w:val="18"/>
                <w:szCs w:val="18"/>
              </w:rPr>
            </w:pPr>
            <w:r>
              <w:rPr>
                <w:rFonts w:ascii="Arial" w:hAnsi="Arial" w:cs="Arial"/>
                <w:color w:val="000000"/>
                <w:sz w:val="18"/>
                <w:szCs w:val="18"/>
              </w:rPr>
              <w:t xml:space="preserve">8</w:t>
            </w:r>
            <w:r>
              <w:rPr>
                <w:rFonts w:ascii="Arial" w:hAnsi="Arial" w:cs="Arial"/>
                <w:color w:val="000000"/>
                <w:sz w:val="18"/>
                <w:szCs w:val="18"/>
              </w:rPr>
            </w:r>
            <w:r>
              <w:rPr>
                <w:rFonts w:ascii="Arial" w:hAnsi="Arial" w:cs="Arial"/>
                <w:color w:val="000000"/>
                <w:sz w:val="18"/>
                <w:szCs w:val="18"/>
              </w:rPr>
            </w:r>
          </w:p>
        </w:tc>
      </w:tr>
    </w:tbl>
    <w:p>
      <w:pPr>
        <w:pStyle w:val="856"/>
        <w:widowControl w:val="true"/>
        <w:pBdr/>
        <w:spacing w:line="500" w:lineRule="exact"/>
        <w:ind w:firstLine="360"/>
        <w:rPr>
          <w:rFonts w:ascii="Arial" w:hAnsi="Arial" w:cs="Arial"/>
          <w:color w:val="000000"/>
          <w:sz w:val="24"/>
          <w:szCs w:val="24"/>
        </w:rPr>
      </w:pPr>
      <w:r>
        <w:rPr>
          <w:rFonts w:ascii="Arial" w:hAnsi="Arial" w:cs="Arial"/>
          <w:color w:val="000000"/>
          <w:sz w:val="24"/>
          <w:szCs w:val="24"/>
        </w:rPr>
        <w:t xml:space="preserve">（1）职责履行</w:t>
      </w:r>
      <w:r>
        <w:rPr>
          <w:rFonts w:ascii="Arial" w:hAnsi="Arial" w:cs="Arial"/>
          <w:color w:val="000000"/>
          <w:sz w:val="24"/>
          <w:szCs w:val="24"/>
        </w:rPr>
      </w:r>
      <w:r>
        <w:rPr>
          <w:rFonts w:ascii="Arial" w:hAnsi="Arial" w:cs="Arial"/>
          <w:color w:val="000000"/>
          <w:sz w:val="24"/>
          <w:szCs w:val="24"/>
        </w:rPr>
      </w:r>
    </w:p>
    <w:p>
      <w:pPr>
        <w:pStyle w:val="856"/>
        <w:widowControl w:val="true"/>
        <w:pBdr/>
        <w:spacing w:line="500" w:lineRule="exact"/>
        <w:ind w:firstLine="480" w:left="-141"/>
        <w:rPr>
          <w:rFonts w:ascii="Arial" w:hAnsi="Arial" w:cs="Arial"/>
          <w:color w:val="000000"/>
          <w:sz w:val="24"/>
          <w:szCs w:val="24"/>
        </w:rPr>
      </w:pPr>
      <w:r>
        <w:rPr>
          <w:rFonts w:ascii="Arial" w:hAnsi="Arial" w:cs="Arial"/>
          <w:color w:val="000000"/>
          <w:sz w:val="24"/>
          <w:szCs w:val="24"/>
        </w:rPr>
        <w:t xml:space="preserve">根据评价原则，项目产出及效率中职责履行综合分值10分，评价得分为10分。</w:t>
      </w:r>
      <w:r>
        <w:rPr>
          <w:rFonts w:ascii="Arial" w:hAnsi="Arial" w:cs="Arial"/>
          <w:color w:val="000000"/>
          <w:sz w:val="24"/>
          <w:szCs w:val="24"/>
        </w:rPr>
      </w:r>
      <w:r>
        <w:rPr>
          <w:rFonts w:ascii="Arial" w:hAnsi="Arial" w:cs="Arial"/>
          <w:color w:val="000000"/>
          <w:sz w:val="24"/>
          <w:szCs w:val="24"/>
        </w:rPr>
      </w:r>
    </w:p>
    <w:p>
      <w:pPr>
        <w:pStyle w:val="856"/>
        <w:pBdr/>
        <w:spacing/>
        <w:ind w:firstLine="480"/>
        <w:rPr>
          <w:rFonts w:ascii="Arial" w:hAnsi="Arial" w:cs="Arial"/>
          <w:sz w:val="24"/>
          <w:szCs w:val="24"/>
        </w:rPr>
      </w:pPr>
      <w:r>
        <w:rPr>
          <w:rFonts w:ascii="Arial" w:hAnsi="Arial" w:cs="Arial"/>
          <w:sz w:val="24"/>
          <w:szCs w:val="24"/>
        </w:rPr>
        <mc:AlternateContent>
          <mc:Choice Requires="wpg">
            <w:drawing>
              <wp:inline xmlns:wp="http://schemas.openxmlformats.org/drawingml/2006/wordprocessingDrawing" distT="0" distB="0" distL="0" distR="0">
                <wp:extent cx="4570095" cy="2510155"/>
                <wp:effectExtent l="0" t="0" r="0" b="0"/>
                <wp:docPr id="7" name="_x0000_i103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
                        <a:srcRect l="-1531" t="-5642" r="-2498" b="-4644"/>
                        <a:stretch/>
                      </pic:blipFill>
                      <pic:spPr bwMode="auto">
                        <a:xfrm>
                          <a:off x="0" y="0"/>
                          <a:ext cx="4570095" cy="251015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359.85pt;height:197.65pt;mso-wrap-distance-left:0.00pt;mso-wrap-distance-top:0.00pt;mso-wrap-distance-right:0.00pt;mso-wrap-distance-bottom:0.00pt;z-index:1;" stroked="f">
                <v:imagedata r:id="rId16" o:title=""/>
                <o:lock v:ext="edit" rotation="t"/>
              </v:shape>
            </w:pict>
          </mc:Fallback>
        </mc:AlternateContent>
      </w:r>
      <w:r>
        <w:rPr>
          <w:rFonts w:ascii="Arial" w:hAnsi="Arial" w:cs="Arial"/>
          <w:sz w:val="24"/>
          <w:szCs w:val="24"/>
        </w:rPr>
      </w:r>
      <w:r>
        <w:rPr>
          <w:rFonts w:ascii="Arial" w:hAnsi="Arial" w:cs="Arial"/>
          <w:sz w:val="24"/>
          <w:szCs w:val="24"/>
        </w:rPr>
      </w:r>
    </w:p>
    <w:p>
      <w:pPr>
        <w:pStyle w:val="856"/>
        <w:pBdr/>
        <w:spacing w:line="500" w:lineRule="exact"/>
        <w:ind w:firstLine="480"/>
        <w:rPr>
          <w:rFonts w:ascii="Arial" w:hAnsi="Arial" w:cs="Arial"/>
          <w:color w:val="000000"/>
          <w:sz w:val="24"/>
          <w:szCs w:val="24"/>
        </w:rPr>
      </w:pPr>
      <w:r>
        <w:rPr>
          <w:rFonts w:ascii="Arial" w:hAnsi="Arial" w:cs="Arial"/>
          <w:color w:val="000000"/>
          <w:sz w:val="24"/>
          <w:szCs w:val="24"/>
        </w:rPr>
        <w:fldChar w:fldCharType="begin"/>
      </w:r>
      <w:r>
        <w:rPr>
          <w:rFonts w:ascii="Arial" w:hAnsi="Arial" w:cs="Arial"/>
          <w:color w:val="000000"/>
          <w:sz w:val="24"/>
          <w:szCs w:val="24"/>
        </w:rPr>
        <w:instrText xml:space="preserve"> = 1 \* GB3 </w:instrText>
      </w:r>
      <w:r>
        <w:rPr>
          <w:rFonts w:ascii="Arial" w:hAnsi="Arial" w:cs="Arial"/>
          <w:color w:val="000000"/>
          <w:sz w:val="24"/>
          <w:szCs w:val="24"/>
        </w:rPr>
        <w:fldChar w:fldCharType="separate"/>
      </w:r>
      <w:r>
        <w:rPr>
          <w:rFonts w:hint="eastAsia" w:ascii="宋体" w:cs="Arial"/>
          <w:color w:val="000000"/>
          <w:sz w:val="24"/>
          <w:szCs w:val="24"/>
        </w:rPr>
        <w:t xml:space="preserve">①</w:t>
      </w:r>
      <w:r>
        <w:rPr>
          <w:rFonts w:ascii="Arial" w:hAnsi="Arial" w:cs="Arial"/>
          <w:color w:val="000000"/>
          <w:sz w:val="24"/>
          <w:szCs w:val="24"/>
        </w:rPr>
        <w:fldChar w:fldCharType="end"/>
      </w:r>
      <w:r>
        <w:rPr>
          <w:rFonts w:ascii="Arial" w:hAnsi="Arial" w:cs="Arial"/>
          <w:color w:val="000000"/>
          <w:sz w:val="24"/>
          <w:szCs w:val="24"/>
        </w:rPr>
        <w:t xml:space="preserve">实际完成率（满分8分）</w:t>
      </w:r>
      <w:r>
        <w:rPr>
          <w:rFonts w:ascii="Arial" w:hAnsi="Arial" w:cs="Arial"/>
          <w:color w:val="000000"/>
          <w:sz w:val="24"/>
          <w:szCs w:val="24"/>
        </w:rPr>
      </w:r>
      <w:r>
        <w:rPr>
          <w:rFonts w:ascii="Arial" w:hAnsi="Arial" w:cs="Arial"/>
          <w:color w:val="000000"/>
          <w:sz w:val="24"/>
          <w:szCs w:val="24"/>
        </w:rPr>
      </w:r>
    </w:p>
    <w:p>
      <w:pPr>
        <w:pStyle w:val="856"/>
        <w:widowControl w:val="true"/>
        <w:pBdr/>
        <w:spacing w:line="500" w:lineRule="exact"/>
        <w:ind w:firstLine="480" w:left="-141"/>
        <w:rPr>
          <w:rFonts w:ascii="Arial" w:hAnsi="Arial" w:cs="Arial"/>
          <w:color w:val="000000"/>
          <w:sz w:val="24"/>
          <w:szCs w:val="24"/>
        </w:rPr>
      </w:pPr>
      <w:r>
        <w:rPr>
          <w:rFonts w:ascii="Arial" w:hAnsi="Arial" w:cs="Arial"/>
          <w:color w:val="000000"/>
          <w:sz w:val="24"/>
          <w:szCs w:val="24"/>
        </w:rPr>
        <w:t xml:space="preserve">根据随州市水利局工作总结和2017年度履职尽责目标任务，水利局</w:t>
      </w:r>
      <w:r>
        <w:rPr>
          <w:rFonts w:ascii="Arial" w:hAnsi="Arial" w:cs="Arial"/>
          <w:color w:val="000000"/>
          <w:sz w:val="24"/>
          <w:szCs w:val="24"/>
        </w:rPr>
        <w:t xml:space="preserve">在防汛抗旱、重点工程项目、水行政执法、水资源管理、河长制实施、水利安全、政府交办的其他工作任务等7个方面的20项重点工作 。</w:t>
      </w:r>
      <w:r>
        <w:rPr>
          <w:rFonts w:ascii="Arial" w:hAnsi="Arial" w:cs="Arial"/>
          <w:color w:val="000000"/>
          <w:sz w:val="24"/>
          <w:szCs w:val="24"/>
        </w:rPr>
        <w:t xml:space="preserve">    </w:t>
      </w:r>
      <w:r>
        <w:rPr>
          <w:rFonts w:ascii="Arial" w:hAnsi="Arial" w:cs="Arial"/>
          <w:color w:val="000000"/>
          <w:sz w:val="24"/>
          <w:szCs w:val="24"/>
        </w:rPr>
      </w:r>
      <w:r>
        <w:rPr>
          <w:rFonts w:ascii="Arial" w:hAnsi="Arial" w:cs="Arial"/>
          <w:color w:val="000000"/>
          <w:sz w:val="24"/>
          <w:szCs w:val="24"/>
        </w:rPr>
      </w:r>
    </w:p>
    <w:p>
      <w:pPr>
        <w:pStyle w:val="856"/>
        <w:widowControl w:val="true"/>
        <w:pBdr/>
        <w:spacing w:line="500" w:lineRule="exact"/>
        <w:ind w:firstLine="240"/>
        <w:rPr>
          <w:rFonts w:ascii="Arial" w:hAnsi="Arial" w:cs="Arial"/>
          <w:color w:val="000000"/>
          <w:sz w:val="24"/>
          <w:szCs w:val="24"/>
        </w:rPr>
      </w:pPr>
      <w:r>
        <w:rPr>
          <w:rFonts w:ascii="Arial" w:hAnsi="Arial" w:cs="Arial"/>
          <w:color w:val="000000"/>
          <w:sz w:val="24"/>
          <w:szCs w:val="24"/>
        </w:rPr>
        <w:t xml:space="preserve">实际完成率=项目实际完成率*该指标分值</w:t>
      </w:r>
      <w:r>
        <w:rPr>
          <w:rFonts w:ascii="Arial" w:hAnsi="Arial" w:cs="Arial"/>
          <w:color w:val="000000"/>
          <w:sz w:val="24"/>
          <w:szCs w:val="24"/>
        </w:rPr>
      </w:r>
      <w:r>
        <w:rPr>
          <w:rFonts w:ascii="Arial" w:hAnsi="Arial" w:cs="Arial"/>
          <w:color w:val="000000"/>
          <w:sz w:val="24"/>
          <w:szCs w:val="24"/>
        </w:rPr>
      </w:r>
    </w:p>
    <w:p>
      <w:pPr>
        <w:pStyle w:val="856"/>
        <w:pBdr/>
        <w:spacing w:line="500" w:lineRule="exact"/>
        <w:ind w:firstLine="240"/>
        <w:rPr>
          <w:rFonts w:ascii="Arial" w:hAnsi="Arial" w:cs="Arial"/>
          <w:color w:val="000000"/>
          <w:sz w:val="24"/>
          <w:szCs w:val="24"/>
        </w:rPr>
      </w:pPr>
      <w:r>
        <w:rPr>
          <w:rFonts w:ascii="Arial" w:hAnsi="Arial" w:cs="Arial"/>
          <w:color w:val="000000"/>
          <w:sz w:val="24"/>
          <w:szCs w:val="24"/>
        </w:rPr>
        <w:t xml:space="preserve">           =（实际完成项目数/计划完成项目数）*100%*8分</w:t>
      </w:r>
      <w:r>
        <w:rPr>
          <w:rFonts w:ascii="Arial" w:hAnsi="Arial" w:cs="Arial"/>
          <w:color w:val="000000"/>
          <w:sz w:val="24"/>
          <w:szCs w:val="24"/>
        </w:rPr>
      </w:r>
      <w:r>
        <w:rPr>
          <w:rFonts w:ascii="Arial" w:hAnsi="Arial" w:cs="Arial"/>
          <w:color w:val="000000"/>
          <w:sz w:val="24"/>
          <w:szCs w:val="24"/>
        </w:rPr>
      </w:r>
    </w:p>
    <w:p>
      <w:pPr>
        <w:pStyle w:val="856"/>
        <w:pBdr/>
        <w:spacing w:line="500" w:lineRule="exact"/>
        <w:ind w:firstLine="240"/>
        <w:rPr>
          <w:rFonts w:ascii="Arial" w:hAnsi="Arial" w:cs="Arial"/>
          <w:color w:val="000000"/>
          <w:sz w:val="24"/>
          <w:szCs w:val="24"/>
        </w:rPr>
      </w:pPr>
      <w:r>
        <w:rPr>
          <w:rFonts w:ascii="Arial" w:hAnsi="Arial" w:cs="Arial"/>
          <w:color w:val="000000"/>
          <w:sz w:val="24"/>
          <w:szCs w:val="24"/>
        </w:rPr>
        <w:t xml:space="preserve">           =20个/20个*100%</w:t>
      </w:r>
      <w:r>
        <w:rPr>
          <w:rFonts w:ascii="Arial" w:hAnsi="Arial" w:cs="Arial"/>
          <w:color w:val="000000"/>
          <w:sz w:val="24"/>
          <w:szCs w:val="24"/>
        </w:rPr>
      </w:r>
      <w:r>
        <w:rPr>
          <w:rFonts w:ascii="Arial" w:hAnsi="Arial" w:cs="Arial"/>
          <w:color w:val="000000"/>
          <w:sz w:val="24"/>
          <w:szCs w:val="24"/>
        </w:rPr>
      </w:r>
    </w:p>
    <w:p>
      <w:pPr>
        <w:pStyle w:val="856"/>
        <w:pBdr/>
        <w:spacing w:line="500" w:lineRule="exact"/>
        <w:ind w:firstLine="240"/>
        <w:rPr>
          <w:rFonts w:ascii="Arial" w:hAnsi="Arial" w:cs="Arial"/>
          <w:color w:val="000000"/>
          <w:sz w:val="24"/>
          <w:szCs w:val="24"/>
        </w:rPr>
      </w:pPr>
      <w:r>
        <w:rPr>
          <w:rFonts w:ascii="Arial" w:hAnsi="Arial" w:cs="Arial"/>
          <w:color w:val="000000"/>
          <w:sz w:val="24"/>
          <w:szCs w:val="24"/>
        </w:rPr>
        <w:t xml:space="preserve">           =100%</w:t>
      </w:r>
      <w:r>
        <w:rPr>
          <w:rFonts w:ascii="Arial" w:hAnsi="Arial" w:cs="Arial"/>
          <w:color w:val="000000"/>
          <w:sz w:val="24"/>
          <w:szCs w:val="24"/>
        </w:rPr>
      </w:r>
      <w:r>
        <w:rPr>
          <w:rFonts w:ascii="Arial" w:hAnsi="Arial" w:cs="Arial"/>
          <w:color w:val="000000"/>
          <w:sz w:val="24"/>
          <w:szCs w:val="24"/>
        </w:rPr>
      </w:r>
    </w:p>
    <w:p>
      <w:pPr>
        <w:pStyle w:val="856"/>
        <w:pBdr/>
        <w:spacing w:line="500" w:lineRule="exact"/>
        <w:ind w:firstLine="240"/>
        <w:rPr>
          <w:rFonts w:ascii="Arial" w:hAnsi="Arial" w:cs="Arial"/>
          <w:color w:val="000000"/>
          <w:sz w:val="24"/>
          <w:szCs w:val="24"/>
        </w:rPr>
      </w:pPr>
      <w:r>
        <w:rPr>
          <w:rFonts w:ascii="Arial" w:hAnsi="Arial" w:cs="Arial"/>
          <w:color w:val="000000"/>
          <w:sz w:val="24"/>
          <w:szCs w:val="24"/>
        </w:rPr>
        <w:t xml:space="preserve"> 据计算，项目实际完成率为100%。根据评分标准，得8分。</w:t>
      </w:r>
      <w:r>
        <w:rPr>
          <w:rFonts w:ascii="Arial" w:hAnsi="Arial" w:cs="Arial"/>
          <w:color w:val="000000"/>
          <w:sz w:val="24"/>
          <w:szCs w:val="24"/>
        </w:rPr>
      </w:r>
      <w:r>
        <w:rPr>
          <w:rFonts w:ascii="Arial" w:hAnsi="Arial" w:cs="Arial"/>
          <w:color w:val="000000"/>
          <w:sz w:val="24"/>
          <w:szCs w:val="24"/>
        </w:rPr>
      </w:r>
    </w:p>
    <w:p>
      <w:pPr>
        <w:pStyle w:val="856"/>
        <w:pBdr/>
        <w:spacing w:line="500" w:lineRule="exact"/>
        <w:ind w:firstLine="480"/>
        <w:rPr>
          <w:rFonts w:ascii="Arial" w:hAnsi="Arial" w:cs="Arial"/>
          <w:color w:val="000000"/>
          <w:sz w:val="24"/>
          <w:szCs w:val="24"/>
        </w:rPr>
      </w:pPr>
      <w:r>
        <w:rPr>
          <w:rFonts w:ascii="Arial" w:hAnsi="Arial" w:cs="Arial"/>
          <w:color w:val="000000"/>
          <w:sz w:val="24"/>
          <w:szCs w:val="24"/>
        </w:rPr>
        <w:fldChar w:fldCharType="begin"/>
      </w:r>
      <w:r>
        <w:rPr>
          <w:rFonts w:ascii="Arial" w:hAnsi="Arial" w:cs="Arial"/>
          <w:color w:val="000000"/>
          <w:sz w:val="24"/>
          <w:szCs w:val="24"/>
        </w:rPr>
        <w:instrText xml:space="preserve"> = 2 \* GB3 </w:instrText>
      </w:r>
      <w:r>
        <w:rPr>
          <w:rFonts w:ascii="Arial" w:hAnsi="Arial" w:cs="Arial"/>
          <w:color w:val="000000"/>
          <w:sz w:val="24"/>
          <w:szCs w:val="24"/>
        </w:rPr>
        <w:fldChar w:fldCharType="separate"/>
      </w:r>
      <w:r>
        <w:rPr>
          <w:rFonts w:hint="eastAsia" w:ascii="宋体" w:cs="Arial"/>
          <w:color w:val="000000"/>
          <w:sz w:val="24"/>
          <w:szCs w:val="24"/>
        </w:rPr>
        <w:t xml:space="preserve">②</w:t>
      </w:r>
      <w:r>
        <w:rPr>
          <w:rFonts w:ascii="Arial" w:hAnsi="Arial" w:cs="Arial"/>
          <w:color w:val="000000"/>
          <w:sz w:val="24"/>
          <w:szCs w:val="24"/>
        </w:rPr>
        <w:fldChar w:fldCharType="end"/>
      </w:r>
      <w:r>
        <w:rPr>
          <w:rFonts w:ascii="Arial" w:hAnsi="Arial" w:cs="Arial"/>
          <w:color w:val="000000"/>
          <w:sz w:val="24"/>
          <w:szCs w:val="24"/>
        </w:rPr>
        <w:t xml:space="preserve">完成及时率（满分2分）</w:t>
      </w:r>
      <w:r>
        <w:rPr>
          <w:rFonts w:ascii="Arial" w:hAnsi="Arial" w:cs="Arial"/>
          <w:color w:val="000000"/>
          <w:sz w:val="24"/>
          <w:szCs w:val="24"/>
        </w:rPr>
      </w:r>
      <w:r>
        <w:rPr>
          <w:rFonts w:ascii="Arial" w:hAnsi="Arial" w:cs="Arial"/>
          <w:color w:val="000000"/>
          <w:sz w:val="24"/>
          <w:szCs w:val="24"/>
        </w:rPr>
      </w:r>
    </w:p>
    <w:p>
      <w:pPr>
        <w:pStyle w:val="856"/>
        <w:pBdr/>
        <w:spacing w:line="500" w:lineRule="exact"/>
        <w:ind w:firstLine="240" w:left="-141"/>
        <w:rPr>
          <w:rFonts w:ascii="Arial" w:hAnsi="Arial" w:cs="Arial"/>
          <w:color w:val="000000"/>
          <w:sz w:val="24"/>
          <w:szCs w:val="24"/>
        </w:rPr>
      </w:pPr>
      <w:r>
        <w:rPr>
          <w:rFonts w:ascii="Arial" w:hAnsi="Arial" w:cs="Arial"/>
          <w:color w:val="000000"/>
          <w:sz w:val="24"/>
          <w:szCs w:val="24"/>
        </w:rPr>
        <w:t xml:space="preserve">  根据随州市水利局2017工作总结，2017年度工作项目均及时完成，完成及时率为100%。根据评分标准，得分2分。</w:t>
      </w:r>
      <w:r>
        <w:rPr>
          <w:rFonts w:ascii="Arial" w:hAnsi="Arial" w:cs="Arial"/>
          <w:color w:val="000000"/>
          <w:sz w:val="24"/>
          <w:szCs w:val="24"/>
        </w:rPr>
      </w:r>
      <w:r>
        <w:rPr>
          <w:rFonts w:ascii="Arial" w:hAnsi="Arial" w:cs="Arial"/>
          <w:color w:val="000000"/>
          <w:sz w:val="24"/>
          <w:szCs w:val="24"/>
        </w:rPr>
      </w:r>
    </w:p>
    <w:p>
      <w:pPr>
        <w:pStyle w:val="856"/>
        <w:pBdr/>
        <w:spacing w:line="500" w:lineRule="exact"/>
        <w:ind w:firstLine="360"/>
        <w:rPr>
          <w:rFonts w:ascii="Arial" w:hAnsi="Arial" w:cs="Arial"/>
          <w:color w:val="000000"/>
          <w:sz w:val="24"/>
          <w:szCs w:val="24"/>
        </w:rPr>
      </w:pPr>
      <w:r>
        <w:rPr>
          <w:rFonts w:ascii="Arial" w:hAnsi="Arial" w:cs="Arial"/>
          <w:color w:val="000000"/>
          <w:sz w:val="24"/>
          <w:szCs w:val="24"/>
        </w:rPr>
        <w:t xml:space="preserve">（2）履职效益</w:t>
      </w:r>
      <w:r>
        <w:rPr>
          <w:rFonts w:ascii="Arial" w:hAnsi="Arial" w:cs="Arial"/>
          <w:color w:val="000000"/>
          <w:sz w:val="24"/>
          <w:szCs w:val="24"/>
        </w:rPr>
      </w:r>
      <w:r>
        <w:rPr>
          <w:rFonts w:ascii="Arial" w:hAnsi="Arial" w:cs="Arial"/>
          <w:color w:val="000000"/>
          <w:sz w:val="24"/>
          <w:szCs w:val="24"/>
        </w:rPr>
      </w:r>
    </w:p>
    <w:p>
      <w:pPr>
        <w:pStyle w:val="856"/>
        <w:pBdr/>
        <w:spacing w:line="500" w:lineRule="exact"/>
        <w:ind w:firstLine="360"/>
        <w:rPr>
          <w:rFonts w:ascii="Arial" w:hAnsi="Arial" w:cs="Arial"/>
          <w:color w:val="000000"/>
          <w:sz w:val="24"/>
          <w:szCs w:val="24"/>
        </w:rPr>
      </w:pPr>
      <w:r>
        <w:rPr>
          <w:rFonts w:ascii="Arial" w:hAnsi="Arial" w:cs="Arial"/>
          <w:color w:val="000000"/>
          <w:sz w:val="24"/>
          <w:szCs w:val="24"/>
        </w:rPr>
        <w:t xml:space="preserve">根据评价原则，项目产出及效率综合分值22分，评价得分为20分。</w:t>
      </w:r>
      <w:r>
        <w:rPr>
          <w:rFonts w:ascii="Arial" w:hAnsi="Arial" w:cs="Arial"/>
          <w:color w:val="000000"/>
          <w:sz w:val="24"/>
          <w:szCs w:val="24"/>
        </w:rPr>
      </w:r>
      <w:r>
        <w:rPr>
          <w:rFonts w:ascii="Arial" w:hAnsi="Arial" w:cs="Arial"/>
          <w:color w:val="000000"/>
          <w:sz w:val="24"/>
          <w:szCs w:val="24"/>
        </w:rPr>
      </w:r>
    </w:p>
    <w:p>
      <w:pPr>
        <w:pStyle w:val="856"/>
        <w:pBdr/>
        <w:spacing/>
        <w:ind w:firstLine="240"/>
        <w:rPr>
          <w:rFonts w:ascii="Arial" w:hAnsi="Arial" w:cs="Arial"/>
          <w:color w:val="000000"/>
          <w:sz w:val="24"/>
          <w:szCs w:val="24"/>
        </w:rPr>
      </w:pPr>
      <w:r>
        <w:rPr>
          <w:rFonts w:ascii="Arial" w:hAnsi="Arial" w:cs="Arial"/>
          <w:color w:val="000000"/>
          <w:sz w:val="24"/>
          <w:szCs w:val="24"/>
        </w:rPr>
        <mc:AlternateContent>
          <mc:Choice Requires="wpg">
            <w:drawing>
              <wp:inline xmlns:wp="http://schemas.openxmlformats.org/drawingml/2006/wordprocessingDrawing" distT="0" distB="0" distL="0" distR="0">
                <wp:extent cx="5484495" cy="3166059"/>
                <wp:effectExtent l="0" t="0" r="0" b="0"/>
                <wp:docPr id="8" name="_x0000_i103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7"/>
                        <a:srcRect l="-1375" t="-4336" r="-2069" b="-3747"/>
                        <a:stretch/>
                      </pic:blipFill>
                      <pic:spPr bwMode="auto">
                        <a:xfrm>
                          <a:off x="0" y="0"/>
                          <a:ext cx="5484495" cy="316605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31.85pt;height:249.30pt;mso-wrap-distance-left:0.00pt;mso-wrap-distance-top:0.00pt;mso-wrap-distance-right:0.00pt;mso-wrap-distance-bottom:0.00pt;z-index:1;" stroked="f">
                <v:imagedata r:id="rId17" o:title=""/>
                <o:lock v:ext="edit" rotation="t"/>
              </v:shape>
            </w:pict>
          </mc:Fallback>
        </mc:AlternateContent>
      </w:r>
      <w:r>
        <w:rPr>
          <w:rFonts w:ascii="Arial" w:hAnsi="Arial" w:cs="Arial"/>
          <w:color w:val="000000"/>
          <w:sz w:val="24"/>
          <w:szCs w:val="24"/>
        </w:rPr>
      </w:r>
      <w:r>
        <w:rPr>
          <w:rFonts w:ascii="Arial" w:hAnsi="Arial" w:cs="Arial"/>
          <w:color w:val="000000"/>
          <w:sz w:val="24"/>
          <w:szCs w:val="24"/>
        </w:rPr>
      </w:r>
    </w:p>
    <w:p>
      <w:pPr>
        <w:pStyle w:val="856"/>
        <w:pBdr/>
        <w:spacing w:line="500" w:lineRule="exact"/>
        <w:ind w:firstLine="480"/>
        <w:rPr>
          <w:rFonts w:ascii="Arial" w:hAnsi="Arial" w:cs="Arial"/>
          <w:color w:val="000000"/>
          <w:sz w:val="24"/>
          <w:szCs w:val="24"/>
        </w:rPr>
      </w:pPr>
      <w:r>
        <w:rPr>
          <w:rFonts w:ascii="Arial" w:hAnsi="Arial" w:cs="Arial"/>
          <w:color w:val="000000"/>
          <w:sz w:val="24"/>
          <w:szCs w:val="24"/>
        </w:rPr>
        <w:t xml:space="preserve"> </w:t>
      </w:r>
      <w:r>
        <w:rPr>
          <w:rFonts w:ascii="Arial" w:hAnsi="Arial" w:cs="Arial"/>
          <w:color w:val="000000"/>
          <w:sz w:val="24"/>
          <w:szCs w:val="24"/>
        </w:rPr>
        <w:fldChar w:fldCharType="begin"/>
      </w:r>
      <w:r>
        <w:rPr>
          <w:rFonts w:ascii="Arial" w:hAnsi="Arial" w:cs="Arial"/>
          <w:color w:val="000000"/>
          <w:sz w:val="24"/>
          <w:szCs w:val="24"/>
        </w:rPr>
        <w:instrText xml:space="preserve"> = 1 \* GB3 </w:instrText>
      </w:r>
      <w:r>
        <w:rPr>
          <w:rFonts w:ascii="Arial" w:hAnsi="Arial" w:cs="Arial"/>
          <w:color w:val="000000"/>
          <w:sz w:val="24"/>
          <w:szCs w:val="24"/>
        </w:rPr>
        <w:fldChar w:fldCharType="separate"/>
      </w:r>
      <w:r>
        <w:rPr>
          <w:rFonts w:hint="eastAsia" w:ascii="宋体" w:cs="Arial"/>
          <w:color w:val="000000"/>
          <w:sz w:val="24"/>
          <w:szCs w:val="24"/>
        </w:rPr>
        <w:t xml:space="preserve">①</w:t>
      </w:r>
      <w:r>
        <w:rPr>
          <w:rFonts w:ascii="Arial" w:hAnsi="Arial" w:cs="Arial"/>
          <w:color w:val="000000"/>
          <w:sz w:val="24"/>
          <w:szCs w:val="24"/>
        </w:rPr>
        <w:fldChar w:fldCharType="end"/>
      </w:r>
      <w:r>
        <w:rPr>
          <w:rFonts w:ascii="Arial" w:hAnsi="Arial" w:cs="Arial"/>
          <w:color w:val="000000"/>
          <w:sz w:val="24"/>
          <w:szCs w:val="24"/>
        </w:rPr>
        <w:t xml:space="preserve"> 经济性（满分6分）</w:t>
      </w:r>
      <w:r>
        <w:rPr>
          <w:rFonts w:ascii="Arial" w:hAnsi="Arial" w:cs="Arial"/>
          <w:color w:val="000000"/>
          <w:sz w:val="24"/>
          <w:szCs w:val="24"/>
        </w:rPr>
      </w:r>
      <w:r>
        <w:rPr>
          <w:rFonts w:ascii="Arial" w:hAnsi="Arial" w:cs="Arial"/>
          <w:color w:val="000000"/>
          <w:sz w:val="24"/>
          <w:szCs w:val="24"/>
        </w:rPr>
      </w:r>
    </w:p>
    <w:p>
      <w:pPr>
        <w:pStyle w:val="856"/>
        <w:pBdr/>
        <w:spacing w:line="500" w:lineRule="exact"/>
        <w:ind w:firstLine="480"/>
        <w:rPr>
          <w:rFonts w:ascii="Arial" w:hAnsi="Arial" w:cs="Arial"/>
          <w:color w:val="000000"/>
          <w:sz w:val="24"/>
          <w:szCs w:val="24"/>
        </w:rPr>
      </w:pPr>
      <w:r>
        <w:rPr>
          <w:rFonts w:ascii="Arial" w:hAnsi="Arial" w:cs="Arial"/>
          <w:color w:val="000000"/>
          <w:sz w:val="24"/>
          <w:szCs w:val="24"/>
        </w:rPr>
        <w:t xml:space="preserve">根据2017年度财务报表，随州市水利局2017年行政运行经费支出预算编制方法客观、科学、合理，能够有效控制降低行政运行成本。按照评分标准，得6分。</w:t>
      </w:r>
      <w:r>
        <w:rPr>
          <w:rFonts w:ascii="Arial" w:hAnsi="Arial" w:cs="Arial"/>
          <w:color w:val="000000"/>
          <w:sz w:val="24"/>
          <w:szCs w:val="24"/>
        </w:rPr>
      </w:r>
      <w:r>
        <w:rPr>
          <w:rFonts w:ascii="Arial" w:hAnsi="Arial" w:cs="Arial"/>
          <w:color w:val="000000"/>
          <w:sz w:val="24"/>
          <w:szCs w:val="24"/>
        </w:rPr>
      </w:r>
    </w:p>
    <w:p>
      <w:pPr>
        <w:pStyle w:val="856"/>
        <w:pBdr/>
        <w:spacing w:line="500" w:lineRule="exact"/>
        <w:ind w:firstLine="480"/>
        <w:rPr>
          <w:rFonts w:ascii="Arial" w:hAnsi="Arial" w:cs="Arial"/>
          <w:color w:val="000000"/>
          <w:sz w:val="24"/>
          <w:szCs w:val="24"/>
        </w:rPr>
      </w:pPr>
      <w:r>
        <w:rPr>
          <w:rFonts w:ascii="Arial" w:hAnsi="Arial" w:cs="Arial"/>
          <w:color w:val="000000"/>
          <w:sz w:val="24"/>
          <w:szCs w:val="24"/>
        </w:rPr>
        <w:fldChar w:fldCharType="begin"/>
      </w:r>
      <w:r>
        <w:rPr>
          <w:rFonts w:ascii="Arial" w:hAnsi="Arial" w:cs="Arial"/>
          <w:color w:val="000000"/>
          <w:sz w:val="24"/>
          <w:szCs w:val="24"/>
        </w:rPr>
        <w:instrText xml:space="preserve"> = 2 \* GB3 </w:instrText>
      </w:r>
      <w:r>
        <w:rPr>
          <w:rFonts w:ascii="Arial" w:hAnsi="Arial" w:cs="Arial"/>
          <w:color w:val="000000"/>
          <w:sz w:val="24"/>
          <w:szCs w:val="24"/>
        </w:rPr>
        <w:fldChar w:fldCharType="separate"/>
      </w:r>
      <w:r>
        <w:rPr>
          <w:rFonts w:hint="eastAsia" w:ascii="宋体" w:cs="Arial"/>
          <w:color w:val="000000"/>
          <w:sz w:val="24"/>
          <w:szCs w:val="24"/>
        </w:rPr>
        <w:t xml:space="preserve">②</w:t>
      </w:r>
      <w:r>
        <w:rPr>
          <w:rFonts w:ascii="Arial" w:hAnsi="Arial" w:cs="Arial"/>
          <w:color w:val="000000"/>
          <w:sz w:val="24"/>
          <w:szCs w:val="24"/>
        </w:rPr>
        <w:fldChar w:fldCharType="end"/>
      </w:r>
      <w:r>
        <w:rPr>
          <w:rFonts w:ascii="Arial" w:hAnsi="Arial" w:cs="Arial"/>
          <w:color w:val="000000"/>
          <w:sz w:val="24"/>
          <w:szCs w:val="24"/>
        </w:rPr>
        <w:t xml:space="preserve">有效性（满分6分）</w:t>
      </w:r>
      <w:r>
        <w:rPr>
          <w:rFonts w:ascii="Arial" w:hAnsi="Arial" w:cs="Arial"/>
          <w:color w:val="000000"/>
          <w:sz w:val="24"/>
          <w:szCs w:val="24"/>
        </w:rPr>
      </w:r>
      <w:r>
        <w:rPr>
          <w:rFonts w:ascii="Arial" w:hAnsi="Arial" w:cs="Arial"/>
          <w:color w:val="000000"/>
          <w:sz w:val="24"/>
          <w:szCs w:val="24"/>
        </w:rPr>
      </w:r>
    </w:p>
    <w:p>
      <w:pPr>
        <w:pStyle w:val="856"/>
        <w:pBdr/>
        <w:spacing w:line="500" w:lineRule="exact"/>
        <w:ind w:firstLine="480"/>
        <w:rPr>
          <w:rFonts w:ascii="Arial" w:hAnsi="Arial" w:cs="Arial"/>
          <w:color w:val="000000"/>
          <w:sz w:val="24"/>
          <w:szCs w:val="24"/>
        </w:rPr>
      </w:pPr>
      <w:r>
        <w:rPr>
          <w:rFonts w:ascii="Arial" w:hAnsi="Arial" w:cs="Arial"/>
          <w:color w:val="000000"/>
          <w:sz w:val="24"/>
          <w:szCs w:val="24"/>
        </w:rPr>
        <w:t xml:space="preserve">根据《2017年度部门财政收支总表》，随州市水利局2017年行政运行经费的支出能够充分保障部门正常运行。按照评分标准，得6分。</w:t>
      </w:r>
      <w:r>
        <w:rPr>
          <w:rFonts w:ascii="Arial" w:hAnsi="Arial" w:cs="Arial"/>
          <w:color w:val="000000"/>
          <w:sz w:val="24"/>
          <w:szCs w:val="24"/>
        </w:rPr>
      </w:r>
      <w:r>
        <w:rPr>
          <w:rFonts w:ascii="Arial" w:hAnsi="Arial" w:cs="Arial"/>
          <w:color w:val="000000"/>
          <w:sz w:val="24"/>
          <w:szCs w:val="24"/>
        </w:rPr>
      </w:r>
    </w:p>
    <w:p>
      <w:pPr>
        <w:pStyle w:val="856"/>
        <w:pBdr/>
        <w:spacing w:line="500" w:lineRule="exact"/>
        <w:ind w:firstLine="480"/>
        <w:rPr>
          <w:rFonts w:ascii="Arial" w:hAnsi="Arial" w:cs="Arial"/>
          <w:color w:val="000000"/>
          <w:sz w:val="24"/>
          <w:szCs w:val="24"/>
        </w:rPr>
      </w:pPr>
      <w:r>
        <w:rPr>
          <w:rFonts w:ascii="Arial" w:hAnsi="Arial" w:cs="Arial"/>
          <w:color w:val="000000"/>
          <w:sz w:val="24"/>
          <w:szCs w:val="24"/>
        </w:rPr>
        <w:fldChar w:fldCharType="begin"/>
      </w:r>
      <w:r>
        <w:rPr>
          <w:rFonts w:ascii="Arial" w:hAnsi="Arial" w:cs="Arial"/>
          <w:color w:val="000000"/>
          <w:sz w:val="24"/>
          <w:szCs w:val="24"/>
        </w:rPr>
        <w:instrText xml:space="preserve"> = 3 \* GB3 </w:instrText>
      </w:r>
      <w:r>
        <w:rPr>
          <w:rFonts w:ascii="Arial" w:hAnsi="Arial" w:cs="Arial"/>
          <w:color w:val="000000"/>
          <w:sz w:val="24"/>
          <w:szCs w:val="24"/>
        </w:rPr>
        <w:fldChar w:fldCharType="separate"/>
      </w:r>
      <w:r>
        <w:rPr>
          <w:rFonts w:hint="eastAsia" w:ascii="宋体" w:cs="Arial"/>
          <w:color w:val="000000"/>
          <w:sz w:val="24"/>
          <w:szCs w:val="24"/>
        </w:rPr>
        <w:t xml:space="preserve">③</w:t>
      </w:r>
      <w:r>
        <w:rPr>
          <w:rFonts w:ascii="Arial" w:hAnsi="Arial" w:cs="Arial"/>
          <w:color w:val="000000"/>
          <w:sz w:val="24"/>
          <w:szCs w:val="24"/>
        </w:rPr>
        <w:fldChar w:fldCharType="end"/>
      </w:r>
      <w:r>
        <w:rPr>
          <w:rFonts w:ascii="Arial" w:hAnsi="Arial" w:cs="Arial"/>
          <w:color w:val="000000"/>
          <w:sz w:val="24"/>
          <w:szCs w:val="24"/>
        </w:rPr>
        <w:t xml:space="preserve">社会公众或服务对象满意度（满分10分）</w:t>
      </w:r>
      <w:r>
        <w:rPr>
          <w:rFonts w:ascii="Arial" w:hAnsi="Arial" w:cs="Arial"/>
          <w:color w:val="000000"/>
          <w:sz w:val="24"/>
          <w:szCs w:val="24"/>
        </w:rPr>
      </w:r>
      <w:r>
        <w:rPr>
          <w:rFonts w:ascii="Arial" w:hAnsi="Arial" w:cs="Arial"/>
          <w:color w:val="000000"/>
          <w:sz w:val="24"/>
          <w:szCs w:val="24"/>
        </w:rPr>
      </w:r>
    </w:p>
    <w:p>
      <w:pPr>
        <w:pStyle w:val="856"/>
        <w:pBdr/>
        <w:spacing w:line="500" w:lineRule="exact"/>
        <w:ind w:firstLine="480"/>
        <w:rPr>
          <w:rFonts w:ascii="Arial" w:hAnsi="Arial" w:cs="Arial"/>
          <w:color w:val="000000"/>
          <w:sz w:val="24"/>
          <w:szCs w:val="24"/>
        </w:rPr>
      </w:pPr>
      <w:r>
        <w:rPr>
          <w:rFonts w:ascii="Arial" w:hAnsi="Arial" w:cs="Arial"/>
          <w:color w:val="000000"/>
          <w:sz w:val="24"/>
          <w:szCs w:val="24"/>
        </w:rPr>
        <w:t xml:space="preserve">通过问卷调查了解社会公众对部门履职效果、解决民众关心的热点问题、厉行节约等方面的满意程度，反映和评价部门支出所带来的社会效益。按照满意度调查的优秀、良好、合格、不合格给予该项指标打分：优秀（10分）；良好（8分）；合格（5分）；不合格（0分）本次问卷发放的对象为社会群众</w:t>
      </w:r>
      <w:r>
        <w:rPr>
          <w:rFonts w:hint="eastAsia" w:ascii="Arial" w:hAnsi="Arial" w:cs="Arial"/>
          <w:color w:val="000000"/>
          <w:sz w:val="24"/>
          <w:szCs w:val="24"/>
        </w:rPr>
        <w:t xml:space="preserve">，</w:t>
      </w:r>
      <w:r>
        <w:rPr>
          <w:rFonts w:ascii="Arial" w:hAnsi="Arial" w:cs="Arial"/>
          <w:color w:val="000000"/>
          <w:sz w:val="24"/>
          <w:szCs w:val="24"/>
          <w:shd w:val="clear" w:color="auto" w:fill="ffffff"/>
        </w:rPr>
        <w:t xml:space="preserve">最终得分87.3分</w:t>
      </w:r>
      <w:r>
        <w:rPr>
          <w:rFonts w:hint="eastAsia" w:ascii="Arial" w:hAnsi="Arial" w:cs="Arial"/>
          <w:color w:val="000000"/>
          <w:sz w:val="24"/>
          <w:szCs w:val="24"/>
          <w:shd w:val="clear" w:color="auto" w:fill="ffffff"/>
        </w:rPr>
        <w:t xml:space="preserve">。</w:t>
      </w:r>
      <w:r>
        <w:rPr>
          <w:rFonts w:ascii="Arial" w:hAnsi="Arial" w:cs="Arial"/>
          <w:color w:val="000000"/>
          <w:sz w:val="24"/>
          <w:szCs w:val="24"/>
        </w:rPr>
      </w:r>
      <w:r>
        <w:rPr>
          <w:rFonts w:ascii="Arial" w:hAnsi="Arial" w:cs="Arial"/>
          <w:color w:val="000000"/>
          <w:sz w:val="24"/>
          <w:szCs w:val="24"/>
        </w:rPr>
      </w:r>
    </w:p>
    <w:p>
      <w:pPr>
        <w:pStyle w:val="865"/>
        <w:pBdr/>
        <w:shd w:val="clear" w:color="auto" w:fill="ffffff"/>
        <w:spacing w:after="0" w:afterAutospacing="0" w:before="0" w:beforeAutospacing="0" w:line="500" w:lineRule="exact"/>
        <w:ind w:firstLine="480"/>
        <w:rPr>
          <w:rFonts w:ascii="Arial" w:hAnsi="Arial" w:cs="Arial"/>
          <w:color w:val="000000"/>
        </w:rPr>
      </w:pPr>
      <w:r>
        <w:rPr>
          <w:rFonts w:ascii="Arial" w:hAnsi="Arial" w:cs="Arial"/>
          <w:color w:val="000000"/>
        </w:rPr>
        <w:t xml:space="preserve">2017</w:t>
      </w:r>
      <w:r>
        <w:rPr>
          <w:rFonts w:ascii="Arial" w:hAnsi="Arial" w:cs="Arial"/>
          <w:color w:val="000000"/>
        </w:rPr>
        <w:t xml:space="preserve">年随州市水利局满意度调查问卷共计30份，收回30份。</w:t>
      </w:r>
      <w:r>
        <w:rPr>
          <w:rFonts w:ascii="Arial" w:hAnsi="Arial" w:cs="Arial"/>
          <w:color w:val="000000"/>
        </w:rPr>
        <w:t xml:space="preserve">社会公众或服务对象满意度调查问卷最终得分87.3分，在70-89分之间为良好。根据评分标准，扣2分，得8分。</w:t>
      </w:r>
      <w:r>
        <w:rPr>
          <w:rFonts w:ascii="Arial" w:hAnsi="Arial" w:cs="Arial"/>
          <w:color w:val="000000"/>
        </w:rPr>
      </w:r>
      <w:r>
        <w:rPr>
          <w:rFonts w:ascii="Arial" w:hAnsi="Arial" w:cs="Arial"/>
          <w:color w:val="000000"/>
        </w:rPr>
      </w:r>
    </w:p>
    <w:p>
      <w:pPr>
        <w:pStyle w:val="856"/>
        <w:pBdr/>
        <w:spacing w:line="500" w:lineRule="exact"/>
        <w:ind w:firstLine="361"/>
        <w:rPr>
          <w:rFonts w:ascii="Arial" w:hAnsi="Arial" w:cs="Arial"/>
          <w:b/>
          <w:color w:val="000000"/>
          <w:sz w:val="24"/>
          <w:szCs w:val="24"/>
        </w:rPr>
      </w:pPr>
      <w:r>
        <w:rPr>
          <w:rFonts w:ascii="Arial" w:hAnsi="Arial" w:cs="Arial"/>
          <w:b/>
          <w:color w:val="000000"/>
          <w:sz w:val="24"/>
          <w:szCs w:val="24"/>
        </w:rPr>
        <w:t xml:space="preserve">（二）评分结论</w:t>
      </w:r>
      <w:r>
        <w:rPr>
          <w:rFonts w:ascii="Arial" w:hAnsi="Arial" w:cs="Arial"/>
          <w:b/>
          <w:color w:val="000000"/>
          <w:sz w:val="24"/>
          <w:szCs w:val="24"/>
        </w:rPr>
      </w:r>
      <w:r>
        <w:rPr>
          <w:rFonts w:ascii="Arial" w:hAnsi="Arial" w:cs="Arial"/>
          <w:b/>
          <w:color w:val="000000"/>
          <w:sz w:val="24"/>
          <w:szCs w:val="24"/>
        </w:rPr>
      </w:r>
    </w:p>
    <w:p>
      <w:pPr>
        <w:pStyle w:val="856"/>
        <w:pBdr/>
        <w:spacing w:line="500" w:lineRule="exact"/>
        <w:ind w:firstLine="482"/>
        <w:rPr>
          <w:rFonts w:ascii="Arial" w:hAnsi="Arial" w:cs="Arial"/>
          <w:b/>
          <w:color w:val="000000"/>
          <w:sz w:val="24"/>
          <w:szCs w:val="24"/>
        </w:rPr>
      </w:pPr>
      <w:r>
        <w:rPr>
          <w:rFonts w:ascii="Arial" w:hAnsi="Arial" w:cs="Arial"/>
          <w:b/>
          <w:color w:val="000000"/>
          <w:sz w:val="24"/>
          <w:szCs w:val="24"/>
        </w:rPr>
        <w:t xml:space="preserve">1、评分结果</w:t>
      </w:r>
      <w:r>
        <w:rPr>
          <w:rFonts w:ascii="Arial" w:hAnsi="Arial" w:cs="Arial"/>
          <w:b/>
          <w:color w:val="000000"/>
          <w:sz w:val="24"/>
          <w:szCs w:val="24"/>
        </w:rPr>
      </w:r>
      <w:r>
        <w:rPr>
          <w:rFonts w:ascii="Arial" w:hAnsi="Arial" w:cs="Arial"/>
          <w:b/>
          <w:color w:val="000000"/>
          <w:sz w:val="24"/>
          <w:szCs w:val="24"/>
        </w:rPr>
      </w:r>
    </w:p>
    <w:p>
      <w:pPr>
        <w:pStyle w:val="856"/>
        <w:pBdr/>
        <w:spacing/>
        <w:ind w:hanging="372" w:left="-2"/>
        <w:rPr>
          <w:rFonts w:hint="eastAsia" w:ascii="Arial" w:hAnsi="Arial" w:cs="Arial"/>
          <w:color w:val="000000"/>
          <w:sz w:val="24"/>
          <w:szCs w:val="24"/>
        </w:rPr>
      </w:pPr>
      <w:r>
        <w:rPr>
          <w:rFonts w:ascii="Arial" w:hAnsi="Arial" w:cs="Arial"/>
          <w:color w:val="000000"/>
          <w:sz w:val="24"/>
          <w:szCs w:val="24"/>
        </w:rPr>
        <w:object w:dxaOrig="0" w:dyaOrig="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38.86pt;height:224.05pt;mso-wrap-distance-left:0.00pt;mso-wrap-distance-top:0.00pt;mso-wrap-distance-right:0.00pt;mso-wrap-distance-bottom:0.00pt;z-index:1;" filled="f" stroked="f">
            <v:imagedata r:id="rId18" o:title=""/>
            <o:lock v:ext="edit" rotation="t"/>
          </v:shape>
          <o:OLEObject DrawAspect="Content" r:id="rId19" ObjectID="_1525048" ProgID="Word.Document" ShapeID="_x0000_i8" Type="Embed"/>
        </w:object>
      </w:r>
      <w:r>
        <w:rPr>
          <w:rFonts w:hint="eastAsia" w:ascii="Arial" w:hAnsi="Arial" w:cs="Arial"/>
          <w:color w:val="000000"/>
          <w:sz w:val="24"/>
          <w:szCs w:val="24"/>
        </w:rPr>
      </w:r>
      <w:r>
        <w:rPr>
          <w:rFonts w:hint="eastAsia" w:ascii="Arial" w:hAnsi="Arial" w:cs="Arial"/>
          <w:color w:val="000000"/>
          <w:sz w:val="24"/>
          <w:szCs w:val="24"/>
        </w:rPr>
      </w:r>
    </w:p>
    <w:p>
      <w:pPr>
        <w:pStyle w:val="856"/>
        <w:pBdr/>
        <w:spacing w:line="500" w:lineRule="exact"/>
        <w:ind w:firstLine="480" w:left="-59"/>
        <w:rPr>
          <w:rFonts w:hint="eastAsia" w:ascii="Arial" w:hAnsi="Arial" w:cs="Arial"/>
          <w:color w:val="000000"/>
          <w:sz w:val="24"/>
          <w:szCs w:val="24"/>
        </w:rPr>
      </w:pPr>
      <w:r>
        <w:rPr>
          <w:rFonts w:ascii="Arial" w:hAnsi="Arial" w:cs="Arial"/>
          <w:color w:val="000000"/>
          <w:sz w:val="24"/>
          <w:szCs w:val="24"/>
        </w:rPr>
        <w:t xml:space="preserve">本次绩效评价采取案卷研究、资料收集、现场勘查、座谈、发放调查问卷的形式，按照财政部制定的《预算绩效评价共性指标体系框架》中的《部门整体支出绩效评价共性指标体系框架》评价标准，通过对随州市水利局2017年度部门整体支出进行绩效评价，经评价，随州市水利局2017年度部门整体支出绩效评价总分为</w:t>
      </w:r>
      <w:r>
        <w:rPr>
          <w:rFonts w:hint="eastAsia" w:ascii="Arial" w:hAnsi="Arial" w:cs="Arial"/>
          <w:color w:val="000000"/>
          <w:sz w:val="24"/>
          <w:szCs w:val="24"/>
        </w:rPr>
        <w:t xml:space="preserve">91</w:t>
      </w:r>
      <w:r>
        <w:rPr>
          <w:rFonts w:ascii="Arial" w:hAnsi="Arial" w:cs="Arial"/>
          <w:color w:val="000000"/>
          <w:sz w:val="24"/>
          <w:szCs w:val="24"/>
        </w:rPr>
        <w:t xml:space="preserve">.45分，评价结果类型为A</w:t>
      </w:r>
      <w:r>
        <w:rPr>
          <w:rFonts w:hint="eastAsia" w:ascii="Arial" w:hAnsi="Arial" w:cs="Arial"/>
          <w:color w:val="000000"/>
          <w:sz w:val="24"/>
          <w:szCs w:val="24"/>
        </w:rPr>
        <w:t xml:space="preserve">+</w:t>
      </w:r>
      <w:r>
        <w:rPr>
          <w:rFonts w:ascii="Arial" w:hAnsi="Arial" w:cs="Arial"/>
          <w:color w:val="000000"/>
          <w:sz w:val="24"/>
          <w:szCs w:val="24"/>
        </w:rPr>
        <w:t xml:space="preserve">，绩效评价结果级别为优。具体情况如下表：</w:t>
      </w:r>
      <w:r>
        <w:rPr>
          <w:rFonts w:hint="eastAsia" w:ascii="Arial" w:hAnsi="Arial" w:cs="Arial"/>
          <w:color w:val="000000"/>
          <w:sz w:val="24"/>
          <w:szCs w:val="24"/>
        </w:rPr>
      </w:r>
      <w:r>
        <w:rPr>
          <w:rFonts w:hint="eastAsia" w:ascii="Arial" w:hAnsi="Arial" w:cs="Arial"/>
          <w:color w:val="000000"/>
          <w:sz w:val="24"/>
          <w:szCs w:val="24"/>
        </w:rPr>
      </w:r>
    </w:p>
    <w:p>
      <w:pPr>
        <w:pStyle w:val="856"/>
        <w:pBdr/>
        <w:spacing w:line="500" w:lineRule="exact"/>
        <w:ind w:firstLine="480" w:left="-59"/>
        <w:rPr>
          <w:rFonts w:hint="eastAsia" w:ascii="Arial" w:hAnsi="Arial" w:cs="Arial"/>
          <w:color w:val="000000"/>
          <w:sz w:val="24"/>
          <w:szCs w:val="24"/>
        </w:rPr>
      </w:pPr>
      <w:r>
        <w:rPr>
          <w:rFonts w:hint="eastAsia" w:ascii="Arial" w:hAnsi="Arial" w:cs="Arial"/>
          <w:color w:val="000000"/>
          <w:sz w:val="24"/>
          <w:szCs w:val="24"/>
        </w:rPr>
      </w:r>
      <w:r>
        <w:rPr>
          <w:rFonts w:hint="eastAsia" w:ascii="Arial" w:hAnsi="Arial" w:cs="Arial"/>
          <w:color w:val="000000"/>
          <w:sz w:val="24"/>
          <w:szCs w:val="24"/>
        </w:rPr>
      </w:r>
      <w:r>
        <w:rPr>
          <w:rFonts w:hint="eastAsia" w:ascii="Arial" w:hAnsi="Arial" w:cs="Arial"/>
          <w:color w:val="000000"/>
          <w:sz w:val="24"/>
          <w:szCs w:val="24"/>
        </w:rPr>
      </w:r>
    </w:p>
    <w:p>
      <w:pPr>
        <w:pStyle w:val="856"/>
        <w:pBdr/>
        <w:spacing w:line="500" w:lineRule="exact"/>
        <w:ind w:firstLine="480" w:left="-59"/>
        <w:rPr>
          <w:rFonts w:hint="eastAsia" w:ascii="Arial" w:hAnsi="Arial" w:cs="Arial"/>
          <w:color w:val="000000"/>
          <w:sz w:val="24"/>
          <w:szCs w:val="24"/>
        </w:rPr>
      </w:pPr>
      <w:r>
        <w:rPr>
          <w:rFonts w:hint="eastAsia" w:ascii="Arial" w:hAnsi="Arial" w:cs="Arial"/>
          <w:color w:val="000000"/>
          <w:sz w:val="24"/>
          <w:szCs w:val="24"/>
        </w:rPr>
      </w:r>
      <w:r>
        <w:rPr>
          <w:rFonts w:hint="eastAsia" w:ascii="Arial" w:hAnsi="Arial" w:cs="Arial"/>
          <w:color w:val="000000"/>
          <w:sz w:val="24"/>
          <w:szCs w:val="24"/>
        </w:rPr>
      </w:r>
      <w:r>
        <w:rPr>
          <w:rFonts w:hint="eastAsia" w:ascii="Arial" w:hAnsi="Arial" w:cs="Arial"/>
          <w:color w:val="000000"/>
          <w:sz w:val="24"/>
          <w:szCs w:val="24"/>
        </w:rPr>
      </w:r>
    </w:p>
    <w:p>
      <w:pPr>
        <w:pStyle w:val="856"/>
        <w:pBdr/>
        <w:spacing w:line="500" w:lineRule="exact"/>
        <w:ind w:firstLine="480" w:left="-59"/>
        <w:rPr>
          <w:rFonts w:hint="eastAsia" w:ascii="Arial" w:hAnsi="Arial" w:cs="Arial"/>
          <w:color w:val="000000"/>
          <w:sz w:val="24"/>
          <w:szCs w:val="24"/>
        </w:rPr>
      </w:pPr>
      <w:r>
        <w:rPr>
          <w:rFonts w:hint="eastAsia" w:ascii="Arial" w:hAnsi="Arial" w:cs="Arial"/>
          <w:color w:val="000000"/>
          <w:sz w:val="24"/>
          <w:szCs w:val="24"/>
        </w:rPr>
      </w:r>
      <w:r>
        <w:rPr>
          <w:rFonts w:hint="eastAsia" w:ascii="Arial" w:hAnsi="Arial" w:cs="Arial"/>
          <w:color w:val="000000"/>
          <w:sz w:val="24"/>
          <w:szCs w:val="24"/>
        </w:rPr>
      </w:r>
      <w:r>
        <w:rPr>
          <w:rFonts w:hint="eastAsia" w:ascii="Arial" w:hAnsi="Arial" w:cs="Arial"/>
          <w:color w:val="000000"/>
          <w:sz w:val="24"/>
          <w:szCs w:val="24"/>
        </w:rPr>
      </w:r>
    </w:p>
    <w:p>
      <w:pPr>
        <w:pStyle w:val="856"/>
        <w:pBdr/>
        <w:spacing w:line="500" w:lineRule="exact"/>
        <w:ind w:firstLine="480" w:left="-59"/>
        <w:rPr>
          <w:rFonts w:ascii="Arial" w:hAnsi="Arial" w:cs="Arial"/>
          <w:color w:val="000000"/>
          <w:sz w:val="24"/>
          <w:szCs w:val="24"/>
        </w:rPr>
      </w:pPr>
      <w:r>
        <w:rPr>
          <w:rFonts w:ascii="Arial" w:hAnsi="Arial" w:cs="Arial"/>
          <w:color w:val="000000"/>
          <w:sz w:val="24"/>
          <w:szCs w:val="24"/>
        </w:rPr>
      </w:r>
      <w:r>
        <w:rPr>
          <w:rFonts w:ascii="Arial" w:hAnsi="Arial" w:cs="Arial"/>
          <w:color w:val="000000"/>
          <w:sz w:val="24"/>
          <w:szCs w:val="24"/>
        </w:rPr>
      </w:r>
      <w:r>
        <w:rPr>
          <w:rFonts w:ascii="Arial" w:hAnsi="Arial" w:cs="Arial"/>
          <w:color w:val="000000"/>
          <w:sz w:val="24"/>
          <w:szCs w:val="24"/>
        </w:rPr>
      </w:r>
    </w:p>
    <w:tbl>
      <w:tblPr>
        <w:tblpPr w:horzAnchor="page" w:tblpX="1705" w:vertAnchor="text" w:tblpY="377" w:leftFromText="180" w:topFromText="0" w:rightFromText="180" w:bottomFromText="0"/>
        <w:tblW w:w="8505" w:type="dxa"/>
        <w:tblInd w:w="-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2897"/>
        <w:gridCol w:w="2804"/>
        <w:gridCol w:w="2804"/>
      </w:tblGrid>
      <w:tr>
        <w:trPr>
          <w:trHeight w:val="311"/>
        </w:trPr>
        <w:tc>
          <w:tcPr>
            <w:tcBorders/>
            <w:tcW w:w="2897" w:type="dxa"/>
            <w:vAlign w:val="center"/>
            <w:textDirection w:val="lrTb"/>
            <w:noWrap w:val="false"/>
          </w:tcPr>
          <w:p>
            <w:pPr>
              <w:pStyle w:val="856"/>
              <w:framePr w:hAnchor="page" w:hSpace="180" w:vAnchor="text" w:wrap="around" w:x="1705" w:y="377"/>
              <w:pBdr/>
              <w:spacing w:line="500" w:lineRule="exact"/>
              <w:ind w:hanging="182" w:left="182"/>
              <w:jc w:val="center"/>
              <w:rPr>
                <w:rFonts w:ascii="Arial" w:hAnsi="Arial" w:cs="Arial"/>
                <w:color w:val="000000"/>
                <w:sz w:val="24"/>
                <w:szCs w:val="24"/>
              </w:rPr>
            </w:pPr>
            <w:r>
              <w:rPr>
                <w:rFonts w:ascii="Arial" w:hAnsi="Arial" w:cs="Arial"/>
                <w:color w:val="000000"/>
                <w:sz w:val="24"/>
                <w:szCs w:val="24"/>
              </w:rPr>
              <w:t xml:space="preserve"> 评价内容</w:t>
            </w:r>
            <w:r>
              <w:rPr>
                <w:rFonts w:ascii="Arial" w:hAnsi="Arial" w:cs="Arial"/>
                <w:color w:val="000000"/>
                <w:sz w:val="24"/>
                <w:szCs w:val="24"/>
              </w:rPr>
            </w:r>
            <w:r>
              <w:rPr>
                <w:rFonts w:ascii="Arial" w:hAnsi="Arial" w:cs="Arial"/>
                <w:color w:val="000000"/>
                <w:sz w:val="24"/>
                <w:szCs w:val="24"/>
              </w:rPr>
            </w:r>
          </w:p>
        </w:tc>
        <w:tc>
          <w:tcPr>
            <w:tcBorders/>
            <w:tcW w:w="2804" w:type="dxa"/>
            <w:vAlign w:val="center"/>
            <w:textDirection w:val="lrTb"/>
            <w:noWrap w:val="false"/>
          </w:tcPr>
          <w:p>
            <w:pPr>
              <w:pStyle w:val="856"/>
              <w:framePr w:hAnchor="page" w:hSpace="180" w:vAnchor="text" w:wrap="around" w:x="1705" w:y="377"/>
              <w:pBdr/>
              <w:spacing w:line="500" w:lineRule="exact"/>
              <w:ind w:hanging="182" w:left="182"/>
              <w:jc w:val="center"/>
              <w:rPr>
                <w:rFonts w:ascii="Arial" w:hAnsi="Arial" w:cs="Arial"/>
                <w:color w:val="000000"/>
                <w:sz w:val="24"/>
                <w:szCs w:val="24"/>
              </w:rPr>
            </w:pPr>
            <w:r>
              <w:rPr>
                <w:rFonts w:ascii="Arial" w:hAnsi="Arial" w:cs="Arial"/>
                <w:color w:val="000000"/>
                <w:sz w:val="24"/>
                <w:szCs w:val="24"/>
              </w:rPr>
              <w:t xml:space="preserve">标准分值</w:t>
            </w:r>
            <w:r>
              <w:rPr>
                <w:rFonts w:ascii="Arial" w:hAnsi="Arial" w:cs="Arial"/>
                <w:color w:val="000000"/>
                <w:sz w:val="24"/>
                <w:szCs w:val="24"/>
              </w:rPr>
            </w:r>
            <w:r>
              <w:rPr>
                <w:rFonts w:ascii="Arial" w:hAnsi="Arial" w:cs="Arial"/>
                <w:color w:val="000000"/>
                <w:sz w:val="24"/>
                <w:szCs w:val="24"/>
              </w:rPr>
            </w:r>
          </w:p>
        </w:tc>
        <w:tc>
          <w:tcPr>
            <w:tcBorders/>
            <w:tcW w:w="2804" w:type="dxa"/>
            <w:vAlign w:val="center"/>
            <w:textDirection w:val="lrTb"/>
            <w:noWrap w:val="false"/>
          </w:tcPr>
          <w:p>
            <w:pPr>
              <w:pStyle w:val="856"/>
              <w:framePr w:hAnchor="page" w:hSpace="180" w:vAnchor="text" w:wrap="around" w:x="1705" w:y="377"/>
              <w:pBdr/>
              <w:spacing w:line="500" w:lineRule="exact"/>
              <w:ind w:hanging="182" w:left="182"/>
              <w:jc w:val="center"/>
              <w:rPr>
                <w:rFonts w:ascii="Arial" w:hAnsi="Arial" w:cs="Arial"/>
                <w:color w:val="000000"/>
                <w:sz w:val="24"/>
                <w:szCs w:val="24"/>
              </w:rPr>
            </w:pPr>
            <w:r>
              <w:rPr>
                <w:rFonts w:ascii="Arial" w:hAnsi="Arial" w:cs="Arial"/>
                <w:color w:val="000000"/>
                <w:sz w:val="24"/>
                <w:szCs w:val="24"/>
              </w:rPr>
              <w:t xml:space="preserve">评价得分</w:t>
            </w:r>
            <w:r>
              <w:rPr>
                <w:rFonts w:ascii="Arial" w:hAnsi="Arial" w:cs="Arial"/>
                <w:color w:val="000000"/>
                <w:sz w:val="24"/>
                <w:szCs w:val="24"/>
              </w:rPr>
            </w:r>
            <w:r>
              <w:rPr>
                <w:rFonts w:ascii="Arial" w:hAnsi="Arial" w:cs="Arial"/>
                <w:color w:val="000000"/>
                <w:sz w:val="24"/>
                <w:szCs w:val="24"/>
              </w:rPr>
            </w:r>
          </w:p>
        </w:tc>
      </w:tr>
      <w:tr>
        <w:trPr>
          <w:trHeight w:val="311"/>
        </w:trPr>
        <w:tc>
          <w:tcPr>
            <w:tcBorders/>
            <w:tcW w:w="2897" w:type="dxa"/>
            <w:vAlign w:val="center"/>
            <w:textDirection w:val="lrTb"/>
            <w:noWrap w:val="false"/>
          </w:tcPr>
          <w:p>
            <w:pPr>
              <w:pStyle w:val="856"/>
              <w:framePr w:hAnchor="page" w:hSpace="180" w:vAnchor="text" w:wrap="around" w:x="1705" w:y="377"/>
              <w:pBdr/>
              <w:spacing w:line="500" w:lineRule="exact"/>
              <w:ind w:hanging="182" w:left="182"/>
              <w:jc w:val="center"/>
              <w:rPr>
                <w:rFonts w:ascii="Arial" w:hAnsi="Arial" w:cs="Arial"/>
                <w:color w:val="000000"/>
                <w:sz w:val="24"/>
                <w:szCs w:val="24"/>
              </w:rPr>
            </w:pPr>
            <w:r>
              <w:rPr>
                <w:rFonts w:ascii="Arial" w:hAnsi="Arial" w:cs="Arial"/>
                <w:color w:val="000000"/>
                <w:sz w:val="24"/>
                <w:szCs w:val="24"/>
              </w:rPr>
              <w:t xml:space="preserve">投 入</w:t>
            </w:r>
            <w:r>
              <w:rPr>
                <w:rFonts w:ascii="Arial" w:hAnsi="Arial" w:cs="Arial"/>
                <w:color w:val="000000"/>
                <w:sz w:val="24"/>
                <w:szCs w:val="24"/>
              </w:rPr>
            </w:r>
            <w:r>
              <w:rPr>
                <w:rFonts w:ascii="Arial" w:hAnsi="Arial" w:cs="Arial"/>
                <w:color w:val="000000"/>
                <w:sz w:val="24"/>
                <w:szCs w:val="24"/>
              </w:rPr>
            </w:r>
          </w:p>
        </w:tc>
        <w:tc>
          <w:tcPr>
            <w:tcBorders/>
            <w:tcW w:w="2804" w:type="dxa"/>
            <w:vAlign w:val="center"/>
            <w:textDirection w:val="lrTb"/>
            <w:noWrap w:val="false"/>
          </w:tcPr>
          <w:p>
            <w:pPr>
              <w:pStyle w:val="856"/>
              <w:framePr w:hAnchor="page" w:hSpace="180" w:vAnchor="text" w:wrap="around" w:x="1705" w:y="377"/>
              <w:pBdr/>
              <w:spacing w:line="500" w:lineRule="exact"/>
              <w:ind w:hanging="182" w:left="182"/>
              <w:jc w:val="center"/>
              <w:rPr>
                <w:rFonts w:ascii="Arial" w:hAnsi="Arial" w:cs="Arial"/>
                <w:color w:val="000000"/>
                <w:sz w:val="24"/>
                <w:szCs w:val="24"/>
              </w:rPr>
            </w:pPr>
            <w:r>
              <w:rPr>
                <w:rFonts w:ascii="Arial" w:hAnsi="Arial" w:cs="Arial"/>
                <w:color w:val="000000"/>
                <w:sz w:val="24"/>
                <w:szCs w:val="24"/>
              </w:rPr>
              <w:t xml:space="preserve">15</w:t>
            </w:r>
            <w:r>
              <w:rPr>
                <w:rFonts w:ascii="Arial" w:hAnsi="Arial" w:cs="Arial"/>
                <w:color w:val="000000"/>
                <w:sz w:val="24"/>
                <w:szCs w:val="24"/>
              </w:rPr>
            </w:r>
            <w:r>
              <w:rPr>
                <w:rFonts w:ascii="Arial" w:hAnsi="Arial" w:cs="Arial"/>
                <w:color w:val="000000"/>
                <w:sz w:val="24"/>
                <w:szCs w:val="24"/>
              </w:rPr>
            </w:r>
          </w:p>
        </w:tc>
        <w:tc>
          <w:tcPr>
            <w:tcBorders/>
            <w:tcW w:w="2804" w:type="dxa"/>
            <w:vAlign w:val="center"/>
            <w:textDirection w:val="lrTb"/>
            <w:noWrap w:val="false"/>
          </w:tcPr>
          <w:p>
            <w:pPr>
              <w:pStyle w:val="856"/>
              <w:framePr w:hAnchor="page" w:hSpace="180" w:vAnchor="text" w:wrap="around" w:x="1705" w:y="377"/>
              <w:pBdr/>
              <w:spacing w:line="500" w:lineRule="exact"/>
              <w:ind w:hanging="182" w:left="182"/>
              <w:jc w:val="center"/>
              <w:rPr>
                <w:rFonts w:ascii="Arial" w:hAnsi="Arial" w:cs="Arial"/>
                <w:color w:val="000000"/>
                <w:sz w:val="24"/>
                <w:szCs w:val="24"/>
              </w:rPr>
            </w:pPr>
            <w:r>
              <w:rPr>
                <w:rFonts w:ascii="Arial" w:hAnsi="Arial" w:cs="Arial"/>
                <w:color w:val="000000"/>
                <w:sz w:val="24"/>
                <w:szCs w:val="24"/>
              </w:rPr>
              <w:t xml:space="preserve">13</w:t>
            </w:r>
            <w:r>
              <w:rPr>
                <w:rFonts w:ascii="Arial" w:hAnsi="Arial" w:cs="Arial"/>
                <w:color w:val="000000"/>
                <w:sz w:val="24"/>
                <w:szCs w:val="24"/>
              </w:rPr>
            </w:r>
            <w:r>
              <w:rPr>
                <w:rFonts w:ascii="Arial" w:hAnsi="Arial" w:cs="Arial"/>
                <w:color w:val="000000"/>
                <w:sz w:val="24"/>
                <w:szCs w:val="24"/>
              </w:rPr>
            </w:r>
          </w:p>
        </w:tc>
      </w:tr>
      <w:tr>
        <w:trPr>
          <w:trHeight w:val="311"/>
        </w:trPr>
        <w:tc>
          <w:tcPr>
            <w:tcBorders/>
            <w:tcW w:w="2897" w:type="dxa"/>
            <w:vAlign w:val="center"/>
            <w:textDirection w:val="lrTb"/>
            <w:noWrap w:val="false"/>
          </w:tcPr>
          <w:p>
            <w:pPr>
              <w:pStyle w:val="856"/>
              <w:framePr w:hAnchor="page" w:hSpace="180" w:vAnchor="text" w:wrap="around" w:x="1705" w:y="377"/>
              <w:pBdr/>
              <w:spacing w:line="500" w:lineRule="exact"/>
              <w:ind w:hanging="182" w:left="182"/>
              <w:jc w:val="center"/>
              <w:rPr>
                <w:rFonts w:ascii="Arial" w:hAnsi="Arial" w:cs="Arial"/>
                <w:color w:val="000000"/>
                <w:sz w:val="24"/>
                <w:szCs w:val="24"/>
              </w:rPr>
            </w:pPr>
            <w:r>
              <w:rPr>
                <w:rFonts w:ascii="Arial" w:hAnsi="Arial" w:cs="Arial"/>
                <w:color w:val="000000"/>
                <w:sz w:val="24"/>
                <w:szCs w:val="24"/>
              </w:rPr>
              <w:t xml:space="preserve">过 程</w:t>
            </w:r>
            <w:r>
              <w:rPr>
                <w:rFonts w:ascii="Arial" w:hAnsi="Arial" w:cs="Arial"/>
                <w:color w:val="000000"/>
                <w:sz w:val="24"/>
                <w:szCs w:val="24"/>
              </w:rPr>
            </w:r>
            <w:r>
              <w:rPr>
                <w:rFonts w:ascii="Arial" w:hAnsi="Arial" w:cs="Arial"/>
                <w:color w:val="000000"/>
                <w:sz w:val="24"/>
                <w:szCs w:val="24"/>
              </w:rPr>
            </w:r>
          </w:p>
        </w:tc>
        <w:tc>
          <w:tcPr>
            <w:tcBorders/>
            <w:tcW w:w="2804" w:type="dxa"/>
            <w:vAlign w:val="center"/>
            <w:textDirection w:val="lrTb"/>
            <w:noWrap w:val="false"/>
          </w:tcPr>
          <w:p>
            <w:pPr>
              <w:pStyle w:val="856"/>
              <w:framePr w:hAnchor="page" w:hSpace="180" w:vAnchor="text" w:wrap="around" w:x="1705" w:y="377"/>
              <w:pBdr/>
              <w:spacing w:line="500" w:lineRule="exact"/>
              <w:ind w:hanging="182" w:left="182"/>
              <w:jc w:val="center"/>
              <w:rPr>
                <w:rFonts w:ascii="Arial" w:hAnsi="Arial" w:cs="Arial"/>
                <w:color w:val="000000"/>
                <w:sz w:val="24"/>
                <w:szCs w:val="24"/>
              </w:rPr>
            </w:pPr>
            <w:r>
              <w:rPr>
                <w:rFonts w:ascii="Arial" w:hAnsi="Arial" w:cs="Arial"/>
                <w:color w:val="000000"/>
                <w:sz w:val="24"/>
                <w:szCs w:val="24"/>
              </w:rPr>
              <w:t xml:space="preserve">53</w:t>
            </w:r>
            <w:r>
              <w:rPr>
                <w:rFonts w:ascii="Arial" w:hAnsi="Arial" w:cs="Arial"/>
                <w:color w:val="000000"/>
                <w:sz w:val="24"/>
                <w:szCs w:val="24"/>
              </w:rPr>
            </w:r>
            <w:r>
              <w:rPr>
                <w:rFonts w:ascii="Arial" w:hAnsi="Arial" w:cs="Arial"/>
                <w:color w:val="000000"/>
                <w:sz w:val="24"/>
                <w:szCs w:val="24"/>
              </w:rPr>
            </w:r>
          </w:p>
        </w:tc>
        <w:tc>
          <w:tcPr>
            <w:tcBorders/>
            <w:tcW w:w="2804" w:type="dxa"/>
            <w:vAlign w:val="center"/>
            <w:textDirection w:val="lrTb"/>
            <w:noWrap w:val="false"/>
          </w:tcPr>
          <w:p>
            <w:pPr>
              <w:pStyle w:val="856"/>
              <w:framePr w:hAnchor="page" w:hSpace="180" w:vAnchor="text" w:wrap="around" w:x="1705" w:y="377"/>
              <w:pBdr/>
              <w:spacing w:line="500" w:lineRule="exact"/>
              <w:ind w:hanging="182" w:left="182"/>
              <w:jc w:val="center"/>
              <w:rPr>
                <w:rFonts w:ascii="Arial" w:hAnsi="Arial" w:cs="Arial"/>
                <w:color w:val="000000"/>
                <w:sz w:val="24"/>
                <w:szCs w:val="24"/>
              </w:rPr>
            </w:pPr>
            <w:r>
              <w:rPr>
                <w:rFonts w:ascii="Arial" w:hAnsi="Arial" w:cs="Arial"/>
                <w:color w:val="000000"/>
                <w:sz w:val="24"/>
                <w:szCs w:val="24"/>
              </w:rPr>
              <w:t xml:space="preserve">46.45</w:t>
            </w:r>
            <w:r>
              <w:rPr>
                <w:rFonts w:ascii="Arial" w:hAnsi="Arial" w:cs="Arial"/>
                <w:color w:val="000000"/>
                <w:sz w:val="24"/>
                <w:szCs w:val="24"/>
              </w:rPr>
            </w:r>
            <w:r>
              <w:rPr>
                <w:rFonts w:ascii="Arial" w:hAnsi="Arial" w:cs="Arial"/>
                <w:color w:val="000000"/>
                <w:sz w:val="24"/>
                <w:szCs w:val="24"/>
              </w:rPr>
            </w:r>
          </w:p>
        </w:tc>
      </w:tr>
      <w:tr>
        <w:trPr>
          <w:trHeight w:val="311"/>
        </w:trPr>
        <w:tc>
          <w:tcPr>
            <w:tcBorders/>
            <w:tcW w:w="2897" w:type="dxa"/>
            <w:vAlign w:val="center"/>
            <w:textDirection w:val="lrTb"/>
            <w:noWrap w:val="false"/>
          </w:tcPr>
          <w:p>
            <w:pPr>
              <w:pStyle w:val="856"/>
              <w:framePr w:hAnchor="page" w:hSpace="180" w:vAnchor="text" w:wrap="around" w:x="1705" w:y="377"/>
              <w:pBdr/>
              <w:spacing w:line="500" w:lineRule="exact"/>
              <w:ind w:hanging="182" w:left="182"/>
              <w:jc w:val="center"/>
              <w:rPr>
                <w:rFonts w:ascii="Arial" w:hAnsi="Arial" w:cs="Arial"/>
                <w:color w:val="000000"/>
                <w:sz w:val="24"/>
                <w:szCs w:val="24"/>
              </w:rPr>
            </w:pPr>
            <w:r>
              <w:rPr>
                <w:rFonts w:ascii="Arial" w:hAnsi="Arial" w:cs="Arial"/>
                <w:color w:val="000000"/>
                <w:sz w:val="24"/>
                <w:szCs w:val="24"/>
              </w:rPr>
              <w:t xml:space="preserve">产出及效果</w:t>
            </w:r>
            <w:r>
              <w:rPr>
                <w:rFonts w:ascii="Arial" w:hAnsi="Arial" w:cs="Arial"/>
                <w:color w:val="000000"/>
                <w:sz w:val="24"/>
                <w:szCs w:val="24"/>
              </w:rPr>
            </w:r>
            <w:r>
              <w:rPr>
                <w:rFonts w:ascii="Arial" w:hAnsi="Arial" w:cs="Arial"/>
                <w:color w:val="000000"/>
                <w:sz w:val="24"/>
                <w:szCs w:val="24"/>
              </w:rPr>
            </w:r>
          </w:p>
        </w:tc>
        <w:tc>
          <w:tcPr>
            <w:tcBorders/>
            <w:tcW w:w="2804" w:type="dxa"/>
            <w:vAlign w:val="center"/>
            <w:textDirection w:val="lrTb"/>
            <w:noWrap w:val="false"/>
          </w:tcPr>
          <w:p>
            <w:pPr>
              <w:pStyle w:val="856"/>
              <w:framePr w:hAnchor="page" w:hSpace="180" w:vAnchor="text" w:wrap="around" w:x="1705" w:y="377"/>
              <w:pBdr/>
              <w:spacing w:line="500" w:lineRule="exact"/>
              <w:ind w:hanging="182" w:left="182"/>
              <w:jc w:val="center"/>
              <w:rPr>
                <w:rFonts w:ascii="Arial" w:hAnsi="Arial" w:cs="Arial"/>
                <w:color w:val="000000"/>
                <w:sz w:val="24"/>
                <w:szCs w:val="24"/>
              </w:rPr>
            </w:pPr>
            <w:r>
              <w:rPr>
                <w:rFonts w:ascii="Arial" w:hAnsi="Arial" w:cs="Arial"/>
                <w:color w:val="000000"/>
                <w:sz w:val="24"/>
                <w:szCs w:val="24"/>
              </w:rPr>
              <w:t xml:space="preserve">32</w:t>
            </w:r>
            <w:r>
              <w:rPr>
                <w:rFonts w:ascii="Arial" w:hAnsi="Arial" w:cs="Arial"/>
                <w:color w:val="000000"/>
                <w:sz w:val="24"/>
                <w:szCs w:val="24"/>
              </w:rPr>
            </w:r>
            <w:r>
              <w:rPr>
                <w:rFonts w:ascii="Arial" w:hAnsi="Arial" w:cs="Arial"/>
                <w:color w:val="000000"/>
                <w:sz w:val="24"/>
                <w:szCs w:val="24"/>
              </w:rPr>
            </w:r>
          </w:p>
        </w:tc>
        <w:tc>
          <w:tcPr>
            <w:tcBorders/>
            <w:tcW w:w="2804" w:type="dxa"/>
            <w:vAlign w:val="center"/>
            <w:textDirection w:val="lrTb"/>
            <w:noWrap w:val="false"/>
          </w:tcPr>
          <w:p>
            <w:pPr>
              <w:pStyle w:val="856"/>
              <w:framePr w:hAnchor="page" w:hSpace="180" w:vAnchor="text" w:wrap="around" w:x="1705" w:y="377"/>
              <w:pBdr/>
              <w:spacing w:line="500" w:lineRule="exact"/>
              <w:ind w:hanging="182" w:left="182"/>
              <w:jc w:val="center"/>
              <w:rPr>
                <w:rFonts w:ascii="Arial" w:hAnsi="Arial" w:cs="Arial"/>
                <w:color w:val="000000"/>
                <w:sz w:val="24"/>
                <w:szCs w:val="24"/>
              </w:rPr>
            </w:pPr>
            <w:r>
              <w:rPr>
                <w:rFonts w:ascii="Arial" w:hAnsi="Arial" w:cs="Arial"/>
                <w:color w:val="000000"/>
                <w:sz w:val="24"/>
                <w:szCs w:val="24"/>
              </w:rPr>
              <w:t xml:space="preserve">30</w:t>
            </w:r>
            <w:r>
              <w:rPr>
                <w:rFonts w:ascii="Arial" w:hAnsi="Arial" w:cs="Arial"/>
                <w:color w:val="000000"/>
                <w:sz w:val="24"/>
                <w:szCs w:val="24"/>
              </w:rPr>
            </w:r>
            <w:r>
              <w:rPr>
                <w:rFonts w:ascii="Arial" w:hAnsi="Arial" w:cs="Arial"/>
                <w:color w:val="000000"/>
                <w:sz w:val="24"/>
                <w:szCs w:val="24"/>
              </w:rPr>
            </w:r>
          </w:p>
        </w:tc>
      </w:tr>
      <w:tr>
        <w:trPr>
          <w:trHeight w:val="311"/>
        </w:trPr>
        <w:tc>
          <w:tcPr>
            <w:tcBorders/>
            <w:tcW w:w="2897" w:type="dxa"/>
            <w:vAlign w:val="center"/>
            <w:textDirection w:val="lrTb"/>
            <w:noWrap w:val="false"/>
          </w:tcPr>
          <w:p>
            <w:pPr>
              <w:pStyle w:val="856"/>
              <w:framePr w:hAnchor="page" w:hSpace="180" w:vAnchor="text" w:wrap="around" w:x="1705" w:y="377"/>
              <w:pBdr/>
              <w:spacing w:line="500" w:lineRule="exact"/>
              <w:ind w:hanging="182" w:left="182"/>
              <w:jc w:val="center"/>
              <w:rPr>
                <w:rFonts w:ascii="Arial" w:hAnsi="Arial" w:cs="Arial"/>
                <w:color w:val="000000"/>
                <w:sz w:val="24"/>
                <w:szCs w:val="24"/>
              </w:rPr>
            </w:pPr>
            <w:r>
              <w:rPr>
                <w:rFonts w:ascii="Arial" w:hAnsi="Arial" w:cs="Arial"/>
                <w:color w:val="000000"/>
                <w:sz w:val="24"/>
                <w:szCs w:val="24"/>
              </w:rPr>
              <w:t xml:space="preserve">总 分</w:t>
            </w:r>
            <w:r>
              <w:rPr>
                <w:rFonts w:ascii="Arial" w:hAnsi="Arial" w:cs="Arial"/>
                <w:color w:val="000000"/>
                <w:sz w:val="24"/>
                <w:szCs w:val="24"/>
              </w:rPr>
            </w:r>
            <w:r>
              <w:rPr>
                <w:rFonts w:ascii="Arial" w:hAnsi="Arial" w:cs="Arial"/>
                <w:color w:val="000000"/>
                <w:sz w:val="24"/>
                <w:szCs w:val="24"/>
              </w:rPr>
            </w:r>
          </w:p>
        </w:tc>
        <w:tc>
          <w:tcPr>
            <w:tcBorders/>
            <w:tcW w:w="2804" w:type="dxa"/>
            <w:vAlign w:val="center"/>
            <w:textDirection w:val="lrTb"/>
            <w:noWrap w:val="false"/>
          </w:tcPr>
          <w:p>
            <w:pPr>
              <w:pStyle w:val="856"/>
              <w:framePr w:hAnchor="page" w:hSpace="180" w:vAnchor="text" w:wrap="around" w:x="1705" w:y="377"/>
              <w:pBdr/>
              <w:spacing w:line="500" w:lineRule="exact"/>
              <w:ind w:hanging="182" w:left="182"/>
              <w:jc w:val="center"/>
              <w:rPr>
                <w:rFonts w:ascii="Arial" w:hAnsi="Arial" w:cs="Arial"/>
                <w:color w:val="000000"/>
                <w:sz w:val="24"/>
                <w:szCs w:val="24"/>
              </w:rPr>
            </w:pPr>
            <w:r>
              <w:rPr>
                <w:rFonts w:ascii="Arial" w:hAnsi="Arial" w:cs="Arial"/>
                <w:color w:val="000000"/>
                <w:sz w:val="24"/>
                <w:szCs w:val="24"/>
              </w:rPr>
              <w:t xml:space="preserve">100</w:t>
            </w:r>
            <w:r>
              <w:rPr>
                <w:rFonts w:ascii="Arial" w:hAnsi="Arial" w:cs="Arial"/>
                <w:color w:val="000000"/>
                <w:sz w:val="24"/>
                <w:szCs w:val="24"/>
              </w:rPr>
            </w:r>
            <w:r>
              <w:rPr>
                <w:rFonts w:ascii="Arial" w:hAnsi="Arial" w:cs="Arial"/>
                <w:color w:val="000000"/>
                <w:sz w:val="24"/>
                <w:szCs w:val="24"/>
              </w:rPr>
            </w:r>
          </w:p>
        </w:tc>
        <w:tc>
          <w:tcPr>
            <w:tcBorders/>
            <w:tcW w:w="2804" w:type="dxa"/>
            <w:vAlign w:val="center"/>
            <w:textDirection w:val="lrTb"/>
            <w:noWrap w:val="false"/>
          </w:tcPr>
          <w:p>
            <w:pPr>
              <w:pStyle w:val="856"/>
              <w:framePr w:hAnchor="page" w:hSpace="180" w:vAnchor="text" w:wrap="around" w:x="1705" w:y="377"/>
              <w:pBdr/>
              <w:spacing w:line="500" w:lineRule="exact"/>
              <w:ind w:hanging="182" w:left="182"/>
              <w:jc w:val="center"/>
              <w:rPr>
                <w:rFonts w:ascii="Arial" w:hAnsi="Arial" w:cs="Arial"/>
                <w:color w:val="000000"/>
                <w:sz w:val="24"/>
                <w:szCs w:val="24"/>
              </w:rPr>
            </w:pPr>
            <w:r>
              <w:rPr>
                <w:rFonts w:hint="eastAsia" w:ascii="Arial" w:hAnsi="Arial" w:cs="Arial"/>
                <w:color w:val="000000"/>
                <w:sz w:val="24"/>
                <w:szCs w:val="24"/>
              </w:rPr>
              <w:t xml:space="preserve">91</w:t>
            </w:r>
            <w:r>
              <w:rPr>
                <w:rFonts w:ascii="Arial" w:hAnsi="Arial" w:cs="Arial"/>
                <w:color w:val="000000"/>
                <w:sz w:val="24"/>
                <w:szCs w:val="24"/>
              </w:rPr>
              <w:t xml:space="preserve">.45</w:t>
            </w:r>
            <w:r>
              <w:rPr>
                <w:rFonts w:ascii="Arial" w:hAnsi="Arial" w:cs="Arial"/>
                <w:color w:val="000000"/>
                <w:sz w:val="24"/>
                <w:szCs w:val="24"/>
              </w:rPr>
            </w:r>
            <w:r>
              <w:rPr>
                <w:rFonts w:ascii="Arial" w:hAnsi="Arial" w:cs="Arial"/>
                <w:color w:val="000000"/>
                <w:sz w:val="24"/>
                <w:szCs w:val="24"/>
              </w:rPr>
            </w:r>
          </w:p>
        </w:tc>
      </w:tr>
    </w:tbl>
    <w:p>
      <w:pPr>
        <w:pStyle w:val="856"/>
        <w:pBdr/>
        <w:spacing w:line="500" w:lineRule="exact"/>
        <w:ind w:firstLine="480" w:left="-141"/>
        <w:rPr>
          <w:rFonts w:ascii="Arial" w:hAnsi="Arial" w:cs="Arial"/>
          <w:color w:val="000000"/>
          <w:sz w:val="24"/>
          <w:szCs w:val="24"/>
        </w:rPr>
      </w:pPr>
      <w:r>
        <w:rPr>
          <w:rFonts w:ascii="Arial" w:hAnsi="Arial" w:cs="Arial"/>
          <w:color w:val="000000"/>
          <w:sz w:val="24"/>
          <w:szCs w:val="24"/>
        </w:rPr>
        <w:t xml:space="preserve">注：根据《湖北省财政项目资金绩效评价操作指南》中第三十八条的绩效评价结果级别判定，评价结果级别判定是根据综合评分方法取得的积分结果确定所属等级。通常评价结果类型包括A+、A、B+、B、C、D六种，相对应评价结果级别为优、良、中、差。具体参照下表：</w:t>
      </w:r>
      <w:r>
        <w:rPr>
          <w:rFonts w:ascii="Arial" w:hAnsi="Arial" w:cs="Arial"/>
          <w:color w:val="000000"/>
          <w:sz w:val="24"/>
          <w:szCs w:val="24"/>
        </w:rPr>
      </w:r>
      <w:r>
        <w:rPr>
          <w:rFonts w:ascii="Arial" w:hAnsi="Arial" w:cs="Arial"/>
          <w:color w:val="000000"/>
          <w:sz w:val="24"/>
          <w:szCs w:val="24"/>
        </w:rPr>
      </w:r>
    </w:p>
    <w:tbl>
      <w:tblP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2841"/>
        <w:gridCol w:w="2841"/>
        <w:gridCol w:w="2841"/>
      </w:tblGrid>
      <w:tr>
        <w:trPr>
          <w:trHeight w:val="284"/>
        </w:trPr>
        <w:tc>
          <w:tcPr>
            <w:tcBorders>
              <w:top w:val="single" w:color="000000" w:sz="4" w:space="0"/>
              <w:left w:val="single" w:color="000000" w:sz="4" w:space="0"/>
            </w:tcBorders>
            <w:tcW w:w="2841" w:type="dxa"/>
            <w:vAlign w:val="center"/>
            <w:textDirection w:val="lrTb"/>
            <w:noWrap w:val="false"/>
          </w:tcPr>
          <w:p>
            <w:pPr>
              <w:pStyle w:val="856"/>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评价评分结果</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c>
          <w:tcPr>
            <w:tcBorders>
              <w:top w:val="single" w:color="000000" w:sz="4" w:space="0"/>
            </w:tcBorders>
            <w:tcW w:w="2841" w:type="dxa"/>
            <w:vAlign w:val="center"/>
            <w:textDirection w:val="lrTb"/>
            <w:noWrap w:val="false"/>
          </w:tcPr>
          <w:p>
            <w:pPr>
              <w:pStyle w:val="856"/>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评价结果类型</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c>
          <w:tcPr>
            <w:tcBorders>
              <w:top w:val="single" w:color="000000" w:sz="4" w:space="0"/>
              <w:right w:val="single" w:color="000000" w:sz="4" w:space="0"/>
            </w:tcBorders>
            <w:tcW w:w="2841" w:type="dxa"/>
            <w:vAlign w:val="center"/>
            <w:textDirection w:val="lrTb"/>
            <w:noWrap w:val="false"/>
          </w:tcPr>
          <w:p>
            <w:pPr>
              <w:pStyle w:val="856"/>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评价结果类别</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r>
      <w:tr>
        <w:trPr>
          <w:trHeight w:val="284"/>
        </w:trPr>
        <w:tc>
          <w:tcPr>
            <w:tcBorders>
              <w:left w:val="single" w:color="000000" w:sz="4" w:space="0"/>
            </w:tcBorders>
            <w:tcW w:w="2841" w:type="dxa"/>
            <w:vAlign w:val="center"/>
            <w:textDirection w:val="lrTb"/>
            <w:noWrap w:val="false"/>
          </w:tcPr>
          <w:p>
            <w:pPr>
              <w:pStyle w:val="856"/>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90~100分（含90分）</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c>
          <w:tcPr>
            <w:tcBorders/>
            <w:tcW w:w="2841" w:type="dxa"/>
            <w:vAlign w:val="center"/>
            <w:textDirection w:val="lrTb"/>
            <w:noWrap w:val="false"/>
          </w:tcPr>
          <w:p>
            <w:pPr>
              <w:pStyle w:val="856"/>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A+</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c>
          <w:tcPr>
            <w:tcBorders>
              <w:right w:val="single" w:color="000000" w:sz="4" w:space="0"/>
            </w:tcBorders>
            <w:tcW w:w="2841" w:type="dxa"/>
            <w:vAlign w:val="center"/>
            <w:textDirection w:val="lrTb"/>
            <w:noWrap w:val="false"/>
          </w:tcPr>
          <w:p>
            <w:pPr>
              <w:pStyle w:val="856"/>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优</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r>
      <w:tr>
        <w:trPr>
          <w:trHeight w:val="284"/>
        </w:trPr>
        <w:tc>
          <w:tcPr>
            <w:tcBorders>
              <w:left w:val="single" w:color="000000" w:sz="4" w:space="0"/>
            </w:tcBorders>
            <w:tcW w:w="2841" w:type="dxa"/>
            <w:vAlign w:val="center"/>
            <w:textDirection w:val="lrTb"/>
            <w:noWrap w:val="false"/>
          </w:tcPr>
          <w:p>
            <w:pPr>
              <w:pStyle w:val="856"/>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85~90分（含85分）</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c>
          <w:tcPr>
            <w:tcBorders/>
            <w:tcW w:w="2841" w:type="dxa"/>
            <w:vAlign w:val="center"/>
            <w:textDirection w:val="lrTb"/>
            <w:noWrap w:val="false"/>
          </w:tcPr>
          <w:p>
            <w:pPr>
              <w:pStyle w:val="856"/>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A</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c>
          <w:tcPr>
            <w:tcBorders>
              <w:right w:val="single" w:color="000000" w:sz="4" w:space="0"/>
            </w:tcBorders>
            <w:tcW w:w="2841" w:type="dxa"/>
            <w:vAlign w:val="center"/>
            <w:textDirection w:val="lrTb"/>
            <w:noWrap w:val="false"/>
          </w:tcPr>
          <w:p>
            <w:pPr>
              <w:pStyle w:val="856"/>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优</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r>
      <w:tr>
        <w:trPr>
          <w:trHeight w:val="284"/>
        </w:trPr>
        <w:tc>
          <w:tcPr>
            <w:tcBorders>
              <w:left w:val="single" w:color="000000" w:sz="4" w:space="0"/>
            </w:tcBorders>
            <w:tcW w:w="2841" w:type="dxa"/>
            <w:vAlign w:val="center"/>
            <w:textDirection w:val="lrTb"/>
            <w:noWrap w:val="false"/>
          </w:tcPr>
          <w:p>
            <w:pPr>
              <w:pStyle w:val="856"/>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80~85分（含80分）</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c>
          <w:tcPr>
            <w:tcBorders/>
            <w:tcW w:w="2841" w:type="dxa"/>
            <w:vAlign w:val="center"/>
            <w:textDirection w:val="lrTb"/>
            <w:noWrap w:val="false"/>
          </w:tcPr>
          <w:p>
            <w:pPr>
              <w:pStyle w:val="856"/>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B+</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c>
          <w:tcPr>
            <w:tcBorders>
              <w:right w:val="single" w:color="000000" w:sz="4" w:space="0"/>
            </w:tcBorders>
            <w:tcW w:w="2841" w:type="dxa"/>
            <w:vAlign w:val="center"/>
            <w:textDirection w:val="lrTb"/>
            <w:noWrap w:val="false"/>
          </w:tcPr>
          <w:p>
            <w:pPr>
              <w:pStyle w:val="856"/>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良</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r>
      <w:tr>
        <w:trPr>
          <w:trHeight w:val="284"/>
        </w:trPr>
        <w:tc>
          <w:tcPr>
            <w:tcBorders>
              <w:left w:val="single" w:color="000000" w:sz="4" w:space="0"/>
            </w:tcBorders>
            <w:tcW w:w="2841" w:type="dxa"/>
            <w:vAlign w:val="center"/>
            <w:textDirection w:val="lrTb"/>
            <w:noWrap w:val="false"/>
          </w:tcPr>
          <w:p>
            <w:pPr>
              <w:pStyle w:val="856"/>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70~80分（含70分）</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c>
          <w:tcPr>
            <w:tcBorders/>
            <w:tcW w:w="2841" w:type="dxa"/>
            <w:vAlign w:val="center"/>
            <w:textDirection w:val="lrTb"/>
            <w:noWrap w:val="false"/>
          </w:tcPr>
          <w:p>
            <w:pPr>
              <w:pStyle w:val="856"/>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B</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c>
          <w:tcPr>
            <w:tcBorders>
              <w:right w:val="single" w:color="000000" w:sz="4" w:space="0"/>
            </w:tcBorders>
            <w:tcW w:w="2841" w:type="dxa"/>
            <w:vAlign w:val="center"/>
            <w:textDirection w:val="lrTb"/>
            <w:noWrap w:val="false"/>
          </w:tcPr>
          <w:p>
            <w:pPr>
              <w:pStyle w:val="856"/>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良</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r>
      <w:tr>
        <w:trPr>
          <w:trHeight w:val="284"/>
        </w:trPr>
        <w:tc>
          <w:tcPr>
            <w:tcBorders>
              <w:left w:val="single" w:color="000000" w:sz="4" w:space="0"/>
            </w:tcBorders>
            <w:tcW w:w="2841" w:type="dxa"/>
            <w:vAlign w:val="center"/>
            <w:textDirection w:val="lrTb"/>
            <w:noWrap w:val="false"/>
          </w:tcPr>
          <w:p>
            <w:pPr>
              <w:pStyle w:val="856"/>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60~70分（含60分）</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c>
          <w:tcPr>
            <w:tcBorders/>
            <w:tcW w:w="2841" w:type="dxa"/>
            <w:vAlign w:val="center"/>
            <w:textDirection w:val="lrTb"/>
            <w:noWrap w:val="false"/>
          </w:tcPr>
          <w:p>
            <w:pPr>
              <w:pStyle w:val="856"/>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C</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c>
          <w:tcPr>
            <w:tcBorders>
              <w:right w:val="single" w:color="000000" w:sz="4" w:space="0"/>
            </w:tcBorders>
            <w:tcW w:w="2841" w:type="dxa"/>
            <w:vAlign w:val="center"/>
            <w:textDirection w:val="lrTb"/>
            <w:noWrap w:val="false"/>
          </w:tcPr>
          <w:p>
            <w:pPr>
              <w:pStyle w:val="856"/>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中</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r>
      <w:tr>
        <w:trPr>
          <w:trHeight w:val="284"/>
        </w:trPr>
        <w:tc>
          <w:tcPr>
            <w:tcBorders>
              <w:left w:val="single" w:color="000000" w:sz="4" w:space="0"/>
              <w:bottom w:val="single" w:color="000000" w:sz="4" w:space="0"/>
            </w:tcBorders>
            <w:tcW w:w="2841" w:type="dxa"/>
            <w:vAlign w:val="center"/>
            <w:textDirection w:val="lrTb"/>
            <w:noWrap w:val="false"/>
          </w:tcPr>
          <w:p>
            <w:pPr>
              <w:pStyle w:val="856"/>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60分以下</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c>
          <w:tcPr>
            <w:tcBorders>
              <w:bottom w:val="single" w:color="000000" w:sz="4" w:space="0"/>
            </w:tcBorders>
            <w:tcW w:w="2841" w:type="dxa"/>
            <w:vAlign w:val="center"/>
            <w:textDirection w:val="lrTb"/>
            <w:noWrap w:val="false"/>
          </w:tcPr>
          <w:p>
            <w:pPr>
              <w:pStyle w:val="856"/>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D</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c>
          <w:tcPr>
            <w:tcBorders>
              <w:bottom w:val="single" w:color="000000" w:sz="4" w:space="0"/>
              <w:right w:val="single" w:color="000000" w:sz="4" w:space="0"/>
            </w:tcBorders>
            <w:tcW w:w="2841" w:type="dxa"/>
            <w:vAlign w:val="center"/>
            <w:textDirection w:val="lrTb"/>
            <w:noWrap w:val="false"/>
          </w:tcPr>
          <w:p>
            <w:pPr>
              <w:pStyle w:val="856"/>
              <w:pBdr/>
              <w:spacing w:line="500" w:lineRule="exact"/>
              <w:ind/>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差</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tc>
      </w:tr>
    </w:tbl>
    <w:p>
      <w:pPr>
        <w:pStyle w:val="856"/>
        <w:pBdr/>
        <w:spacing w:line="560" w:lineRule="exact"/>
        <w:ind w:firstLine="361" w:left="-36"/>
        <w:rPr>
          <w:rFonts w:ascii="Arial" w:hAnsi="Arial" w:cs="Arial"/>
          <w:b/>
          <w:color w:val="000000"/>
          <w:sz w:val="24"/>
          <w:szCs w:val="24"/>
        </w:rPr>
      </w:pPr>
      <w:r>
        <w:rPr>
          <w:rFonts w:ascii="Arial" w:hAnsi="Arial" w:cs="Arial"/>
          <w:b/>
          <w:color w:val="000000"/>
          <w:sz w:val="24"/>
          <w:szCs w:val="24"/>
        </w:rPr>
        <w:t xml:space="preserve">2、主要结论</w:t>
      </w:r>
      <w:r>
        <w:rPr>
          <w:rFonts w:ascii="Arial" w:hAnsi="Arial" w:cs="Arial"/>
          <w:b/>
          <w:color w:val="000000"/>
          <w:sz w:val="24"/>
          <w:szCs w:val="24"/>
        </w:rPr>
      </w:r>
      <w:r>
        <w:rPr>
          <w:rFonts w:ascii="Arial" w:hAnsi="Arial" w:cs="Arial"/>
          <w:b/>
          <w:color w:val="000000"/>
          <w:sz w:val="24"/>
          <w:szCs w:val="24"/>
        </w:rPr>
      </w:r>
    </w:p>
    <w:p>
      <w:pPr>
        <w:pStyle w:val="856"/>
        <w:pBdr/>
        <w:spacing w:line="560" w:lineRule="exact"/>
        <w:ind w:firstLine="480" w:left="-141"/>
        <w:rPr>
          <w:rFonts w:ascii="Arial" w:hAnsi="Arial" w:cs="Arial"/>
          <w:color w:val="000000"/>
          <w:sz w:val="24"/>
          <w:szCs w:val="24"/>
        </w:rPr>
      </w:pPr>
      <w:r>
        <w:rPr>
          <w:rFonts w:ascii="Arial" w:hAnsi="Arial" w:cs="Arial"/>
          <w:color w:val="000000"/>
          <w:sz w:val="24"/>
          <w:szCs w:val="24"/>
        </w:rPr>
        <w:t xml:space="preserve">经过资料收集、现场勘查、座谈、发放调查问卷以及评价分析等评价程序，认为随州市水利局2017年度部门整体支出绩效评价项目是符合《省政府府关于推进预算绩效管理工作暂行办法》（鄂政发【2013】9号）、《市财政局关于开展2018年度市本级财政支出绩效评价工作的通知》等文件要求，设立了明确、细化、量化的绩效目标，在绩效依据及绩效目标安排上符合相关规定。经评价，随州市水利局2017年度部门整体支出绩效评价总分为</w:t>
      </w:r>
      <w:r>
        <w:rPr>
          <w:rFonts w:hint="eastAsia" w:ascii="Arial" w:hAnsi="Arial" w:cs="Arial"/>
          <w:color w:val="000000"/>
          <w:sz w:val="24"/>
          <w:szCs w:val="24"/>
        </w:rPr>
        <w:t xml:space="preserve">91</w:t>
      </w:r>
      <w:r>
        <w:rPr>
          <w:rFonts w:ascii="Arial" w:hAnsi="Arial" w:cs="Arial"/>
          <w:color w:val="000000"/>
          <w:sz w:val="24"/>
          <w:szCs w:val="24"/>
        </w:rPr>
        <w:t xml:space="preserve">.45分，评价结果类型为A</w:t>
      </w:r>
      <w:r>
        <w:rPr>
          <w:rFonts w:hint="eastAsia" w:ascii="Arial" w:hAnsi="Arial" w:cs="Arial"/>
          <w:color w:val="000000"/>
          <w:sz w:val="24"/>
          <w:szCs w:val="24"/>
        </w:rPr>
        <w:t xml:space="preserve">+</w:t>
      </w:r>
      <w:r>
        <w:rPr>
          <w:rFonts w:ascii="Arial" w:hAnsi="Arial" w:cs="Arial"/>
          <w:color w:val="000000"/>
          <w:sz w:val="24"/>
          <w:szCs w:val="24"/>
        </w:rPr>
        <w:t xml:space="preserve">，绩效评价结果级别为优，部门各项管理制度齐全，并得到了有效地实施，社会效益明显，水利服务水平的社会满意度良。</w:t>
      </w:r>
      <w:r>
        <w:rPr>
          <w:rFonts w:ascii="Arial" w:hAnsi="Arial" w:cs="Arial"/>
          <w:color w:val="000000"/>
          <w:sz w:val="24"/>
          <w:szCs w:val="24"/>
        </w:rPr>
      </w:r>
      <w:r>
        <w:rPr>
          <w:rFonts w:ascii="Arial" w:hAnsi="Arial" w:cs="Arial"/>
          <w:color w:val="000000"/>
          <w:sz w:val="24"/>
          <w:szCs w:val="24"/>
        </w:rPr>
      </w:r>
    </w:p>
    <w:p>
      <w:pPr>
        <w:pStyle w:val="856"/>
        <w:pBdr/>
        <w:spacing w:line="560" w:lineRule="exact"/>
        <w:ind w:firstLine="482" w:left="-141"/>
        <w:rPr>
          <w:rFonts w:ascii="Arial" w:hAnsi="Arial" w:cs="Arial"/>
          <w:b/>
          <w:color w:val="000000"/>
          <w:sz w:val="24"/>
          <w:szCs w:val="24"/>
        </w:rPr>
      </w:pPr>
      <w:r>
        <w:rPr>
          <w:rFonts w:ascii="Arial" w:hAnsi="Arial" w:cs="Arial"/>
          <w:b/>
          <w:color w:val="000000"/>
          <w:sz w:val="24"/>
          <w:szCs w:val="24"/>
        </w:rPr>
        <w:t xml:space="preserve">五</w:t>
      </w:r>
      <w:r>
        <w:rPr>
          <w:rFonts w:ascii="Arial" w:hAnsi="Arial" w:cs="Arial"/>
          <w:b/>
          <w:sz w:val="24"/>
          <w:szCs w:val="24"/>
        </w:rPr>
        <w:t xml:space="preserve">、经验教训和建议</w:t>
      </w:r>
      <w:r>
        <w:rPr>
          <w:rFonts w:ascii="Arial" w:hAnsi="Arial" w:cs="Arial"/>
          <w:b/>
          <w:color w:val="000000"/>
          <w:sz w:val="24"/>
          <w:szCs w:val="24"/>
        </w:rPr>
      </w:r>
      <w:r>
        <w:rPr>
          <w:rFonts w:ascii="Arial" w:hAnsi="Arial" w:cs="Arial"/>
          <w:b/>
          <w:color w:val="000000"/>
          <w:sz w:val="24"/>
          <w:szCs w:val="24"/>
        </w:rPr>
      </w:r>
    </w:p>
    <w:p>
      <w:pPr>
        <w:pStyle w:val="856"/>
        <w:pBdr/>
        <w:spacing w:line="560" w:lineRule="exact"/>
        <w:ind w:firstLine="361"/>
        <w:rPr>
          <w:rFonts w:ascii="Arial" w:hAnsi="Arial" w:cs="Arial"/>
          <w:b/>
          <w:color w:val="0c0c0c"/>
          <w:sz w:val="24"/>
          <w:szCs w:val="24"/>
        </w:rPr>
      </w:pPr>
      <w:r>
        <w:rPr>
          <w:rFonts w:ascii="Arial" w:hAnsi="Arial" w:cs="Arial"/>
          <w:b/>
          <w:color w:val="0c0c0c"/>
          <w:sz w:val="24"/>
          <w:szCs w:val="24"/>
        </w:rPr>
        <w:t xml:space="preserve">（一）经验</w:t>
      </w:r>
      <w:r>
        <w:rPr>
          <w:rFonts w:ascii="Arial" w:hAnsi="Arial" w:cs="Arial"/>
          <w:b/>
          <w:color w:val="0c0c0c"/>
          <w:sz w:val="24"/>
          <w:szCs w:val="24"/>
        </w:rPr>
      </w:r>
      <w:r>
        <w:rPr>
          <w:rFonts w:ascii="Arial" w:hAnsi="Arial" w:cs="Arial"/>
          <w:b/>
          <w:color w:val="0c0c0c"/>
          <w:sz w:val="24"/>
          <w:szCs w:val="24"/>
        </w:rPr>
      </w:r>
    </w:p>
    <w:p>
      <w:pPr>
        <w:pStyle w:val="856"/>
        <w:pBdr/>
        <w:spacing w:line="560" w:lineRule="exact"/>
        <w:ind w:firstLine="480" w:left="-141"/>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1、注重加强科学调度，第一时间抢险救援，夺取了防汛抗旱工作的全面胜利。足精细防御，创新工作举措，建立了全市防汛微信群，配备了便携式防汛指挥设备，基本构建了现代化的防汛指挥系统。</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60" w:lineRule="exact"/>
        <w:ind w:firstLine="480" w:left="-141"/>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2、坚持夯实基础，积极争取中央和省对我市无偿水利投资3.06亿元，为我市水利工程建设提供了坚实的资金保障，重点水利工程项目全面提速。</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60" w:lineRule="exact"/>
        <w:ind w:firstLine="48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3、重视水利法治理论宣传工作，通过利用“3.22”世界水日和“中国水周”，通过宣传车、展牌、悬挂横幅等方式以及向群众发放宣传单、法规手册和《随州日报》专版刊发专题等多途径开展水法规宣传。</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60" w:lineRule="exact"/>
        <w:ind w:firstLine="480"/>
        <w:rPr>
          <w:rFonts w:ascii="Arial" w:hAnsi="Arial" w:cs="Arial"/>
          <w:bCs/>
          <w:color w:val="000000"/>
          <w:sz w:val="24"/>
          <w:szCs w:val="24"/>
        </w:rPr>
      </w:pPr>
      <w:r>
        <w:rPr>
          <w:rFonts w:ascii="Arial" w:hAnsi="Arial" w:cs="Arial"/>
          <w:bCs/>
          <w:color w:val="000000"/>
          <w:sz w:val="24"/>
          <w:szCs w:val="24"/>
        </w:rPr>
        <w:t xml:space="preserve">4、全面落实最严格水资源管理制度。</w:t>
      </w:r>
      <w:r>
        <w:rPr>
          <w:rFonts w:ascii="Arial" w:hAnsi="Arial" w:cs="Arial"/>
          <w:color w:val="000000"/>
          <w:sz w:val="24"/>
          <w:szCs w:val="24"/>
        </w:rPr>
        <w:t xml:space="preserve">严格执行水资源论证制度，建立了取水许可台账。开展了三轮排污口核查，顺利通过了省政府对我市最严格水资源管理制度的考核，获得了优良等次。实施生态补水，</w:t>
      </w:r>
      <w:r>
        <w:rPr>
          <w:rFonts w:ascii="Arial" w:hAnsi="Arial" w:cs="Arial"/>
          <w:bCs/>
          <w:color w:val="000000"/>
          <w:sz w:val="24"/>
          <w:szCs w:val="24"/>
        </w:rPr>
        <w:t xml:space="preserve">省考核我市12个水功能区2017年1-12月水质达标率为100%。</w:t>
      </w:r>
      <w:r>
        <w:rPr>
          <w:rFonts w:ascii="Arial" w:hAnsi="Arial" w:cs="Arial"/>
          <w:bCs/>
          <w:color w:val="000000"/>
          <w:sz w:val="24"/>
          <w:szCs w:val="24"/>
        </w:rPr>
      </w:r>
      <w:r>
        <w:rPr>
          <w:rFonts w:ascii="Arial" w:hAnsi="Arial" w:cs="Arial"/>
          <w:bCs/>
          <w:color w:val="000000"/>
          <w:sz w:val="24"/>
          <w:szCs w:val="24"/>
        </w:rPr>
      </w:r>
    </w:p>
    <w:p>
      <w:pPr>
        <w:pStyle w:val="856"/>
        <w:pBdr/>
        <w:spacing w:line="560" w:lineRule="exact"/>
        <w:ind w:firstLine="480"/>
        <w:rPr>
          <w:rFonts w:ascii="Arial" w:hAnsi="Arial" w:cs="Arial"/>
          <w:sz w:val="24"/>
          <w:szCs w:val="24"/>
        </w:rPr>
      </w:pPr>
      <w:r>
        <w:rPr>
          <w:rFonts w:ascii="Arial" w:hAnsi="Arial" w:cs="Arial"/>
          <w:bCs/>
          <w:color w:val="000000"/>
          <w:sz w:val="24"/>
          <w:szCs w:val="24"/>
        </w:rPr>
        <w:t xml:space="preserve">5、强化水利建设管理。</w:t>
      </w:r>
      <w:r>
        <w:rPr>
          <w:rFonts w:ascii="Arial" w:hAnsi="Arial" w:cs="Arial"/>
          <w:color w:val="000000"/>
          <w:sz w:val="24"/>
          <w:szCs w:val="24"/>
        </w:rPr>
        <w:t xml:space="preserve">维护市场公正。规范招标程序，</w:t>
      </w:r>
      <w:r>
        <w:rPr>
          <w:rFonts w:ascii="Arial" w:hAnsi="Arial" w:cs="Arial"/>
          <w:sz w:val="24"/>
          <w:szCs w:val="24"/>
        </w:rPr>
        <w:t xml:space="preserve">全市按规定应公开招标的水利项目，做到了100%进入公共资源交易平台招标。</w:t>
      </w:r>
      <w:r>
        <w:rPr>
          <w:rFonts w:ascii="Arial" w:hAnsi="Arial" w:cs="Arial"/>
          <w:sz w:val="24"/>
          <w:szCs w:val="24"/>
        </w:rPr>
      </w:r>
      <w:r>
        <w:rPr>
          <w:rFonts w:ascii="Arial" w:hAnsi="Arial" w:cs="Arial"/>
          <w:sz w:val="24"/>
          <w:szCs w:val="24"/>
        </w:rPr>
      </w:r>
    </w:p>
    <w:p>
      <w:pPr>
        <w:pStyle w:val="856"/>
        <w:pBdr/>
        <w:spacing w:line="560" w:lineRule="exact"/>
        <w:ind w:firstLine="480"/>
        <w:rPr>
          <w:rFonts w:ascii="Arial" w:hAnsi="Arial" w:cs="Arial"/>
          <w:color w:val="000000"/>
          <w:sz w:val="24"/>
          <w:szCs w:val="24"/>
          <w:shd w:val="clear" w:color="auto" w:fill="ffffff"/>
        </w:rPr>
      </w:pPr>
      <w:r>
        <w:rPr>
          <w:rFonts w:ascii="Arial" w:hAnsi="Arial" w:cs="Arial"/>
          <w:sz w:val="24"/>
          <w:szCs w:val="24"/>
        </w:rPr>
        <w:t xml:space="preserve">6、</w:t>
      </w:r>
      <w:r>
        <w:rPr>
          <w:rFonts w:ascii="Arial" w:hAnsi="Arial" w:cs="Arial"/>
          <w:bCs/>
          <w:color w:val="000000"/>
          <w:sz w:val="24"/>
          <w:szCs w:val="24"/>
        </w:rPr>
        <w:t xml:space="preserve">河长制工作成效显著。</w:t>
      </w:r>
      <w:r>
        <w:rPr>
          <w:rFonts w:ascii="Arial" w:hAnsi="Arial" w:cs="Arial"/>
          <w:color w:val="000000"/>
          <w:sz w:val="24"/>
          <w:szCs w:val="24"/>
        </w:rPr>
        <w:t xml:space="preserve">出台实施方案。全市各级河长制实施方案全部出台，落实工作机构，公布河流名录，明确成员单位职责，初步完成“一河一策”编制工作，建立了河长制工作制度。</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60" w:lineRule="exact"/>
        <w:ind w:firstLine="480"/>
        <w:rPr>
          <w:rFonts w:hint="eastAsia" w:ascii="Arial" w:hAnsi="Arial" w:cs="Arial"/>
          <w:sz w:val="24"/>
          <w:szCs w:val="24"/>
        </w:rPr>
      </w:pPr>
      <w:r>
        <w:rPr>
          <w:rFonts w:ascii="Arial" w:hAnsi="Arial" w:cs="Arial"/>
          <w:sz w:val="24"/>
          <w:szCs w:val="24"/>
        </w:rPr>
        <w:t xml:space="preserve">7、文明创建和文体活动全面开展，精神文明建设蓬勃发展。水利社会治安综合治理坚持“一岗双责”，及时调处化解各类矛盾，确保了水利系统社会稳定。计划生育、安全生产、工会、妇联、共青团、水利新闻宣传等系列工作圆满完成，树立了水利良好形象。</w:t>
      </w:r>
      <w:r>
        <w:rPr>
          <w:rFonts w:hint="eastAsia" w:ascii="Arial" w:hAnsi="Arial" w:cs="Arial"/>
          <w:sz w:val="24"/>
          <w:szCs w:val="24"/>
        </w:rPr>
      </w:r>
      <w:r>
        <w:rPr>
          <w:rFonts w:hint="eastAsia" w:ascii="Arial" w:hAnsi="Arial" w:cs="Arial"/>
          <w:sz w:val="24"/>
          <w:szCs w:val="24"/>
        </w:rPr>
      </w:r>
    </w:p>
    <w:p>
      <w:pPr>
        <w:pStyle w:val="856"/>
        <w:pBdr/>
        <w:spacing w:line="560" w:lineRule="exact"/>
        <w:ind w:firstLine="480"/>
        <w:rPr>
          <w:rFonts w:ascii="Arial" w:hAnsi="Arial" w:cs="Arial"/>
          <w:sz w:val="24"/>
          <w:szCs w:val="24"/>
        </w:rPr>
      </w:pPr>
      <w:r>
        <w:rPr>
          <w:rFonts w:ascii="Arial" w:hAnsi="Arial" w:cs="Arial"/>
          <w:sz w:val="24"/>
          <w:szCs w:val="24"/>
        </w:rPr>
      </w:r>
      <w:r>
        <w:rPr>
          <w:rFonts w:ascii="Arial" w:hAnsi="Arial" w:cs="Arial"/>
          <w:sz w:val="24"/>
          <w:szCs w:val="24"/>
        </w:rPr>
      </w:r>
      <w:r>
        <w:rPr>
          <w:rFonts w:ascii="Arial" w:hAnsi="Arial" w:cs="Arial"/>
          <w:sz w:val="24"/>
          <w:szCs w:val="24"/>
        </w:rPr>
      </w:r>
    </w:p>
    <w:p>
      <w:pPr>
        <w:pStyle w:val="856"/>
        <w:pBdr/>
        <w:spacing w:line="560" w:lineRule="exact"/>
        <w:ind w:firstLine="624" w:left="-141"/>
        <w:rPr>
          <w:rFonts w:ascii="Arial" w:hAnsi="Arial" w:cs="Arial"/>
          <w:b/>
          <w:color w:val="000000"/>
          <w:sz w:val="24"/>
          <w:szCs w:val="24"/>
          <w:shd w:val="clear" w:color="auto" w:fill="ffffff"/>
        </w:rPr>
      </w:pPr>
      <w:r>
        <w:rPr>
          <w:rFonts w:ascii="Arial" w:hAnsi="Arial" w:cs="Arial"/>
          <w:b/>
          <w:color w:val="000000"/>
          <w:sz w:val="24"/>
          <w:szCs w:val="24"/>
          <w:shd w:val="clear" w:color="auto" w:fill="ffffff"/>
        </w:rPr>
        <w:t xml:space="preserve">（二）存在的问题</w:t>
      </w:r>
      <w:r>
        <w:rPr>
          <w:rFonts w:ascii="Arial" w:hAnsi="Arial" w:cs="Arial"/>
          <w:b/>
          <w:color w:val="000000"/>
          <w:sz w:val="24"/>
          <w:szCs w:val="24"/>
          <w:shd w:val="clear" w:color="auto" w:fill="ffffff"/>
        </w:rPr>
      </w:r>
      <w:r>
        <w:rPr>
          <w:rFonts w:ascii="Arial" w:hAnsi="Arial" w:cs="Arial"/>
          <w:b/>
          <w:color w:val="000000"/>
          <w:sz w:val="24"/>
          <w:szCs w:val="24"/>
          <w:shd w:val="clear" w:color="auto" w:fill="ffffff"/>
        </w:rPr>
      </w:r>
    </w:p>
    <w:p>
      <w:pPr>
        <w:pStyle w:val="856"/>
        <w:pBdr/>
        <w:spacing w:line="560" w:lineRule="exact"/>
        <w:ind w:firstLine="382" w:left="-141"/>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随州市水利局2017年部门整体支出绩效评价得分</w:t>
      </w:r>
      <w:r>
        <w:rPr>
          <w:rFonts w:hint="eastAsia" w:ascii="Arial" w:hAnsi="Arial" w:cs="Arial"/>
          <w:color w:val="000000"/>
          <w:sz w:val="24"/>
          <w:szCs w:val="24"/>
          <w:shd w:val="clear" w:color="auto" w:fill="ffffff"/>
        </w:rPr>
        <w:t xml:space="preserve">91.45</w:t>
      </w:r>
      <w:r>
        <w:rPr>
          <w:rFonts w:ascii="Arial" w:hAnsi="Arial" w:cs="Arial"/>
          <w:color w:val="000000"/>
          <w:sz w:val="24"/>
          <w:szCs w:val="24"/>
          <w:shd w:val="clear" w:color="auto" w:fill="ffffff"/>
        </w:rPr>
        <w:t xml:space="preserve">分，扣</w:t>
      </w:r>
      <w:r>
        <w:rPr>
          <w:rFonts w:hint="eastAsia" w:ascii="Arial" w:hAnsi="Arial" w:cs="Arial"/>
          <w:color w:val="000000"/>
          <w:sz w:val="24"/>
          <w:szCs w:val="24"/>
          <w:shd w:val="clear" w:color="auto" w:fill="ffffff"/>
        </w:rPr>
        <w:t xml:space="preserve">8</w:t>
      </w:r>
      <w:r>
        <w:rPr>
          <w:rFonts w:ascii="Arial" w:hAnsi="Arial" w:cs="Arial"/>
          <w:color w:val="000000"/>
          <w:sz w:val="24"/>
          <w:szCs w:val="24"/>
          <w:shd w:val="clear" w:color="auto" w:fill="ffffff"/>
        </w:rPr>
        <w:t xml:space="preserve">.55分。扣分项在随州市水利局预算执行中</w:t>
      </w:r>
      <w:r>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 xml:space="preserve">“三公经费控制率”、“资金结转结余率”和“社会公众或服务对象满意度”等</w:t>
      </w:r>
      <w:r>
        <w:rPr>
          <w:rFonts w:hint="eastAsia" w:ascii="Arial" w:hAnsi="Arial" w:cs="Arial"/>
          <w:color w:val="000000"/>
          <w:sz w:val="24"/>
          <w:szCs w:val="24"/>
          <w:shd w:val="clear" w:color="auto" w:fill="ffffff"/>
        </w:rPr>
        <w:t xml:space="preserve">三</w:t>
      </w:r>
      <w:r>
        <w:rPr>
          <w:rFonts w:ascii="Arial" w:hAnsi="Arial" w:cs="Arial"/>
          <w:color w:val="000000"/>
          <w:sz w:val="24"/>
          <w:szCs w:val="24"/>
          <w:shd w:val="clear" w:color="auto" w:fill="ffffff"/>
        </w:rPr>
        <w:t xml:space="preserve">个指标，主要存在的问题：</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widowControl w:val="true"/>
        <w:pBdr/>
        <w:shd w:val="clear" w:color="auto" w:fill="ffffff"/>
        <w:tabs>
          <w:tab w:val="left" w:leader="none" w:pos="5400"/>
        </w:tabs>
        <w:spacing w:line="560" w:lineRule="exact"/>
        <w:ind w:right="300" w:firstLine="480" w:left="-141"/>
        <w:outlineLvl w:val="2"/>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1、部门整体支出绩效评价体系的建立不够科学，预算编制不够合理，总体支出预算完成率偏低，但人员工资福利费支出和三公经费控制率均超过100%。</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widowControl w:val="true"/>
        <w:pBdr/>
        <w:shd w:val="clear" w:color="auto" w:fill="ffffff"/>
        <w:tabs>
          <w:tab w:val="left" w:leader="none" w:pos="5400"/>
        </w:tabs>
        <w:spacing w:line="560" w:lineRule="exact"/>
        <w:ind w:right="300" w:firstLine="480" w:left="-141"/>
        <w:outlineLvl w:val="2"/>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2、2017年末存在年终结余资金，没有充分发挥财政结余资金的使用效益</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widowControl w:val="true"/>
        <w:pBdr/>
        <w:shd w:val="clear" w:color="auto" w:fill="ffffff"/>
        <w:tabs>
          <w:tab w:val="left" w:leader="none" w:pos="5400"/>
        </w:tabs>
        <w:spacing w:line="560" w:lineRule="exact"/>
        <w:ind w:right="300" w:firstLine="480" w:left="-141"/>
        <w:outlineLvl w:val="2"/>
        <w:rPr>
          <w:rFonts w:ascii="Arial" w:hAnsi="Arial" w:cs="Arial"/>
          <w:color w:val="000000"/>
          <w:sz w:val="24"/>
          <w:szCs w:val="24"/>
          <w:shd w:val="clear" w:color="auto" w:fill="ffffff"/>
        </w:rPr>
      </w:pPr>
      <w:r>
        <w:rPr>
          <w:rFonts w:hint="eastAsia" w:ascii="Arial" w:hAnsi="Arial" w:cs="Arial"/>
          <w:color w:val="000000"/>
          <w:sz w:val="24"/>
          <w:szCs w:val="24"/>
          <w:shd w:val="clear" w:color="auto" w:fill="ffffff"/>
        </w:rPr>
        <w:t xml:space="preserve">3、</w:t>
      </w:r>
      <w:r>
        <w:rPr>
          <w:rFonts w:ascii="Arial" w:hAnsi="Arial" w:cs="Arial"/>
          <w:sz w:val="24"/>
          <w:szCs w:val="24"/>
        </w:rPr>
        <w:t xml:space="preserve">水利建设和水资源管理点多面广、任务繁重，基层管理人员少、技术力量匮乏、长期缺乏必要的投入，导致管理基础薄弱，</w:t>
      </w:r>
      <w:r>
        <w:rPr>
          <w:rFonts w:ascii="Arial" w:hAnsi="Arial" w:cs="Arial"/>
          <w:color w:val="000000"/>
          <w:sz w:val="24"/>
          <w:szCs w:val="24"/>
          <w:shd w:val="clear" w:color="auto" w:fill="ffffff"/>
        </w:rPr>
        <w:t xml:space="preserve">社会公众满意度有待进一步提高，政策服务社会宣传力度不够。</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widowControl w:val="true"/>
        <w:pBdr/>
        <w:shd w:val="clear" w:color="auto" w:fill="ffffff"/>
        <w:tabs>
          <w:tab w:val="left" w:leader="none" w:pos="5400"/>
        </w:tabs>
        <w:spacing w:line="560" w:lineRule="exact"/>
        <w:ind w:right="300" w:firstLine="361"/>
        <w:outlineLvl w:val="2"/>
        <w:rPr>
          <w:rFonts w:ascii="Arial" w:hAnsi="Arial" w:cs="Arial"/>
          <w:b/>
          <w:color w:val="0c0c0c"/>
          <w:sz w:val="24"/>
          <w:szCs w:val="24"/>
        </w:rPr>
      </w:pPr>
      <w:r>
        <w:rPr>
          <w:rFonts w:ascii="Arial" w:hAnsi="Arial" w:cs="Arial"/>
          <w:b/>
          <w:color w:val="0c0c0c"/>
          <w:sz w:val="24"/>
          <w:szCs w:val="24"/>
        </w:rPr>
        <w:t xml:space="preserve">（三）建议和改进举措</w:t>
      </w:r>
      <w:r>
        <w:rPr>
          <w:rFonts w:ascii="Arial" w:hAnsi="Arial" w:cs="Arial"/>
          <w:b/>
          <w:color w:val="0c0c0c"/>
          <w:sz w:val="24"/>
          <w:szCs w:val="24"/>
        </w:rPr>
      </w:r>
      <w:r>
        <w:rPr>
          <w:rFonts w:ascii="Arial" w:hAnsi="Arial" w:cs="Arial"/>
          <w:b/>
          <w:color w:val="0c0c0c"/>
          <w:sz w:val="24"/>
          <w:szCs w:val="24"/>
        </w:rPr>
      </w:r>
    </w:p>
    <w:p>
      <w:pPr>
        <w:pStyle w:val="856"/>
        <w:pBdr/>
        <w:spacing w:line="560" w:lineRule="exact"/>
        <w:ind w:firstLine="480" w:left="-141"/>
        <w:rPr>
          <w:rFonts w:ascii="Arial" w:hAnsi="Arial" w:cs="Arial"/>
          <w:sz w:val="24"/>
          <w:szCs w:val="24"/>
        </w:rPr>
      </w:pPr>
      <w:r>
        <w:rPr>
          <w:rFonts w:ascii="Arial" w:hAnsi="Arial" w:cs="Arial"/>
          <w:color w:val="000000"/>
          <w:sz w:val="24"/>
          <w:szCs w:val="24"/>
          <w:shd w:val="clear" w:color="auto" w:fill="ffffff"/>
        </w:rPr>
        <w:t xml:space="preserve">1、</w:t>
      </w:r>
      <w:r>
        <w:rPr>
          <w:rFonts w:ascii="Arial" w:hAnsi="Arial" w:cs="Arial"/>
          <w:sz w:val="24"/>
          <w:szCs w:val="24"/>
        </w:rPr>
        <w:t xml:space="preserve">科学合理地编制部门预算，严格执行预算管理和财政制度，严格按照规定的范围、用途和标准使用财政资金，</w:t>
      </w:r>
      <w:r>
        <w:rPr>
          <w:rFonts w:ascii="Arial" w:hAnsi="Arial" w:cs="Arial"/>
          <w:color w:val="000000"/>
          <w:sz w:val="24"/>
          <w:szCs w:val="24"/>
          <w:shd w:val="clear" w:color="auto" w:fill="ffffff"/>
        </w:rPr>
        <w:t xml:space="preserve">及时对费用预算执行情况进行通报和预警，</w:t>
      </w:r>
      <w:r>
        <w:rPr>
          <w:rFonts w:ascii="Arial" w:hAnsi="Arial" w:cs="Arial"/>
          <w:sz w:val="24"/>
          <w:szCs w:val="24"/>
        </w:rPr>
        <w:t xml:space="preserve">将支出控制在预算范围内。</w:t>
      </w:r>
      <w:r>
        <w:rPr>
          <w:rFonts w:ascii="Arial" w:hAnsi="Arial" w:cs="Arial"/>
          <w:sz w:val="24"/>
          <w:szCs w:val="24"/>
        </w:rPr>
      </w:r>
      <w:r>
        <w:rPr>
          <w:rFonts w:ascii="Arial" w:hAnsi="Arial" w:cs="Arial"/>
          <w:sz w:val="24"/>
          <w:szCs w:val="24"/>
        </w:rPr>
      </w:r>
    </w:p>
    <w:p>
      <w:pPr>
        <w:pStyle w:val="856"/>
        <w:pBdr/>
        <w:spacing w:line="560" w:lineRule="exact"/>
        <w:ind w:firstLine="480" w:left="-141"/>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2、</w:t>
      </w:r>
      <w:r>
        <w:rPr>
          <w:rFonts w:ascii="Arial" w:hAnsi="Arial" w:cs="Arial"/>
          <w:color w:val="000000"/>
          <w:sz w:val="24"/>
          <w:szCs w:val="24"/>
          <w:shd w:val="clear" w:color="auto" w:fill="ffffff"/>
        </w:rPr>
        <w:t xml:space="preserve">在绩效管理方面，加强部门预算之间的统筹，科学合理制定项目绩效考核指标，定期做好支出预算财务分析，做好部门整体支出预算评价工作；要及时开展和财政的年度结余资金的对账工作，加强和财政的沟通，尽早取得上年结余资金结转的指标批复，以便年初相关工作的开展；要加强监督检查和考核，建立可持续性绩效考核，使财政资金产生更大的经济效益和社会效益。</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60" w:lineRule="exact"/>
        <w:ind w:firstLine="480" w:left="-141"/>
        <w:rPr>
          <w:rFonts w:ascii="Arial" w:hAnsi="Arial" w:cs="Arial"/>
          <w:sz w:val="24"/>
          <w:szCs w:val="24"/>
        </w:rPr>
      </w:pPr>
      <w:r>
        <w:rPr>
          <w:rFonts w:hint="eastAsia" w:ascii="Arial" w:hAnsi="Arial" w:cs="Arial"/>
          <w:color w:val="000000"/>
          <w:sz w:val="24"/>
          <w:szCs w:val="24"/>
          <w:shd w:val="clear" w:color="auto" w:fill="ffffff"/>
        </w:rPr>
        <w:t xml:space="preserve">3</w:t>
      </w:r>
      <w:r>
        <w:rPr>
          <w:rFonts w:ascii="Arial" w:hAnsi="Arial" w:cs="Arial"/>
          <w:color w:val="000000"/>
          <w:sz w:val="24"/>
          <w:szCs w:val="24"/>
          <w:shd w:val="clear" w:color="auto" w:fill="ffffff"/>
        </w:rPr>
        <w:t xml:space="preserve">、加大水利建设和水资源管理的资金投入和人才队伍建设，</w:t>
      </w:r>
      <w:r>
        <w:rPr>
          <w:rFonts w:ascii="Arial" w:hAnsi="Arial" w:cs="Arial"/>
          <w:sz w:val="24"/>
          <w:szCs w:val="24"/>
        </w:rPr>
        <w:t xml:space="preserve">积极适应新形势下最严格水资源管理制度的要求，进一步提升改善全市水生态和水环境的效果；加强水法宣传，水利建设工程信息更加公开透明，进一步提升人民群众对于水资源管理、水利建设、水行政执法等工作的满意度。</w:t>
      </w:r>
      <w:r>
        <w:rPr>
          <w:rFonts w:ascii="Arial" w:hAnsi="Arial" w:cs="Arial"/>
          <w:sz w:val="24"/>
          <w:szCs w:val="24"/>
        </w:rPr>
      </w:r>
      <w:r>
        <w:rPr>
          <w:rFonts w:ascii="Arial" w:hAnsi="Arial" w:cs="Arial"/>
          <w:sz w:val="24"/>
          <w:szCs w:val="24"/>
        </w:rPr>
      </w:r>
    </w:p>
    <w:p>
      <w:pPr>
        <w:pStyle w:val="856"/>
        <w:pBdr/>
        <w:spacing w:line="560" w:lineRule="exact"/>
        <w:ind w:firstLine="482" w:left="-141"/>
        <w:rPr>
          <w:rFonts w:ascii="Arial" w:hAnsi="Arial" w:cs="Arial"/>
          <w:color w:val="000000"/>
          <w:sz w:val="24"/>
          <w:szCs w:val="24"/>
        </w:rPr>
      </w:pPr>
      <w:r>
        <w:rPr>
          <w:rFonts w:ascii="Arial" w:hAnsi="Arial" w:cs="Arial"/>
          <w:b/>
          <w:sz w:val="24"/>
          <w:szCs w:val="24"/>
        </w:rPr>
        <w:t xml:space="preserve">六、其它需要说明的问题</w:t>
      </w:r>
      <w:r>
        <w:rPr>
          <w:rFonts w:ascii="Arial" w:hAnsi="Arial" w:cs="Arial"/>
          <w:color w:val="000000"/>
          <w:sz w:val="24"/>
          <w:szCs w:val="24"/>
        </w:rPr>
      </w:r>
      <w:r>
        <w:rPr>
          <w:rFonts w:ascii="Arial" w:hAnsi="Arial" w:cs="Arial"/>
          <w:color w:val="000000"/>
          <w:sz w:val="24"/>
          <w:szCs w:val="24"/>
        </w:rPr>
      </w:r>
    </w:p>
    <w:p>
      <w:pPr>
        <w:pStyle w:val="856"/>
        <w:pBdr/>
        <w:spacing w:line="560" w:lineRule="exact"/>
        <w:ind w:firstLine="480" w:left="-141"/>
        <w:rPr>
          <w:rFonts w:ascii="Arial" w:hAnsi="Arial" w:cs="Arial"/>
          <w:color w:val="000000"/>
          <w:sz w:val="24"/>
          <w:szCs w:val="24"/>
        </w:rPr>
      </w:pPr>
      <w:r>
        <w:rPr>
          <w:rFonts w:ascii="Arial" w:hAnsi="Arial" w:cs="Arial"/>
          <w:color w:val="000000"/>
          <w:sz w:val="24"/>
          <w:szCs w:val="24"/>
        </w:rPr>
        <w:t xml:space="preserve">本项目评价小组采用抽查的形式，重点查看了相关记录表、会计凭证、审批资料等，因核查内容不全面和评价人员能力有限，评价报告可能存在一定的局限性。</w:t>
      </w:r>
      <w:r>
        <w:rPr>
          <w:rFonts w:ascii="Arial" w:hAnsi="Arial" w:cs="Arial"/>
          <w:color w:val="000000"/>
          <w:sz w:val="24"/>
          <w:szCs w:val="24"/>
        </w:rPr>
      </w:r>
      <w:r>
        <w:rPr>
          <w:rFonts w:ascii="Arial" w:hAnsi="Arial" w:cs="Arial"/>
          <w:color w:val="000000"/>
          <w:sz w:val="24"/>
          <w:szCs w:val="24"/>
        </w:rPr>
      </w:r>
    </w:p>
    <w:p>
      <w:pPr>
        <w:pStyle w:val="856"/>
        <w:pBdr/>
        <w:spacing w:line="560" w:lineRule="exact"/>
        <w:ind w:firstLine="482" w:left="-141"/>
        <w:rPr>
          <w:rFonts w:ascii="Arial" w:hAnsi="Arial" w:cs="Arial"/>
          <w:sz w:val="24"/>
          <w:szCs w:val="24"/>
        </w:rPr>
      </w:pPr>
      <w:r>
        <w:rPr>
          <w:rFonts w:ascii="Arial" w:hAnsi="Arial" w:cs="Arial"/>
          <w:b/>
          <w:color w:val="000000"/>
          <w:sz w:val="24"/>
          <w:szCs w:val="24"/>
          <w:shd w:val="clear" w:color="auto" w:fill="ffffff"/>
        </w:rPr>
        <w:t xml:space="preserve">七、附件</w:t>
      </w:r>
      <w:r>
        <w:rPr>
          <w:rFonts w:ascii="Arial" w:hAnsi="Arial" w:cs="Arial"/>
          <w:sz w:val="24"/>
          <w:szCs w:val="24"/>
        </w:rPr>
      </w:r>
      <w:r>
        <w:rPr>
          <w:rFonts w:ascii="Arial" w:hAnsi="Arial" w:cs="Arial"/>
          <w:sz w:val="24"/>
          <w:szCs w:val="24"/>
        </w:rPr>
      </w:r>
    </w:p>
    <w:p>
      <w:pPr>
        <w:pStyle w:val="856"/>
        <w:pBdr/>
        <w:spacing w:line="560" w:lineRule="exact"/>
        <w:ind w:firstLine="480"/>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1、2017年随州市水利局部门整体支出绩效评价指标表</w:t>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56"/>
        <w:pBdr/>
        <w:spacing w:line="560" w:lineRule="exact"/>
        <w:ind w:firstLine="480"/>
        <w:rPr>
          <w:rFonts w:hint="eastAsia" w:ascii="Arial" w:hAnsi="Arial" w:cs="Arial"/>
          <w:color w:val="000000"/>
          <w:sz w:val="24"/>
          <w:szCs w:val="24"/>
          <w:shd w:val="clear" w:color="auto" w:fill="ffffff"/>
        </w:rPr>
      </w:pPr>
      <w:r>
        <w:rPr>
          <w:rFonts w:ascii="Arial" w:hAnsi="Arial" w:cs="Arial"/>
          <w:color w:val="000000"/>
          <w:sz w:val="24"/>
          <w:szCs w:val="24"/>
          <w:shd w:val="clear" w:color="auto" w:fill="ffffff"/>
        </w:rPr>
        <w:t xml:space="preserve">2、2017年随州市水利局满意度调查问卷</w:t>
      </w:r>
      <w:r>
        <w:rPr>
          <w:rFonts w:hint="eastAsia" w:ascii="Arial" w:hAnsi="Arial" w:cs="Arial"/>
          <w:color w:val="000000"/>
          <w:sz w:val="24"/>
          <w:szCs w:val="24"/>
          <w:shd w:val="clear" w:color="auto" w:fill="ffffff"/>
        </w:rPr>
      </w:r>
      <w:r>
        <w:rPr>
          <w:rFonts w:hint="eastAsia" w:ascii="Arial" w:hAnsi="Arial" w:cs="Arial"/>
          <w:color w:val="000000"/>
          <w:sz w:val="24"/>
          <w:szCs w:val="24"/>
          <w:shd w:val="clear" w:color="auto" w:fill="ffffff"/>
        </w:rPr>
      </w:r>
    </w:p>
    <w:p>
      <w:pPr>
        <w:pStyle w:val="856"/>
        <w:pBdr/>
        <w:spacing w:line="560" w:lineRule="exact"/>
        <w:ind w:firstLine="480"/>
        <w:rPr>
          <w:rFonts w:hint="eastAsia" w:ascii="Arial" w:hAnsi="Arial" w:cs="Arial"/>
          <w:color w:val="000000"/>
          <w:sz w:val="24"/>
          <w:szCs w:val="24"/>
          <w:shd w:val="clear" w:color="auto" w:fill="ffffff"/>
        </w:rPr>
      </w:pPr>
      <w:r>
        <w:rPr>
          <w:rFonts w:hint="eastAsia" w:ascii="Arial" w:hAnsi="Arial" w:cs="Arial"/>
          <w:color w:val="000000"/>
          <w:sz w:val="24"/>
          <w:szCs w:val="24"/>
          <w:shd w:val="clear" w:color="auto" w:fill="ffffff"/>
        </w:rPr>
      </w:r>
      <w:r>
        <w:rPr>
          <w:rFonts w:hint="eastAsia" w:ascii="Arial" w:hAnsi="Arial" w:cs="Arial"/>
          <w:color w:val="000000"/>
          <w:sz w:val="24"/>
          <w:szCs w:val="24"/>
          <w:shd w:val="clear" w:color="auto" w:fill="ffffff"/>
        </w:rPr>
      </w:r>
      <w:r>
        <w:rPr>
          <w:rFonts w:hint="eastAsia" w:ascii="Arial" w:hAnsi="Arial" w:cs="Arial"/>
          <w:color w:val="000000"/>
          <w:sz w:val="24"/>
          <w:szCs w:val="24"/>
          <w:shd w:val="clear" w:color="auto" w:fill="ffffff"/>
        </w:rPr>
      </w:r>
    </w:p>
    <w:p>
      <w:pPr>
        <w:pStyle w:val="856"/>
        <w:pBdr/>
        <w:spacing w:line="560" w:lineRule="exact"/>
        <w:ind w:firstLine="480"/>
        <w:rPr>
          <w:rFonts w:hint="eastAsia" w:ascii="Arial" w:hAnsi="Arial" w:cs="Arial"/>
          <w:color w:val="000000"/>
          <w:sz w:val="24"/>
          <w:szCs w:val="24"/>
          <w:shd w:val="clear" w:color="auto" w:fill="ffffff"/>
        </w:rPr>
      </w:pPr>
      <w:r>
        <w:rPr>
          <w:rFonts w:hint="eastAsia" w:ascii="Arial" w:hAnsi="Arial" w:cs="Arial"/>
          <w:color w:val="000000"/>
          <w:sz w:val="24"/>
          <w:szCs w:val="24"/>
          <w:shd w:val="clear" w:color="auto" w:fill="ffffff"/>
        </w:rPr>
      </w:r>
      <w:r>
        <w:rPr>
          <w:rFonts w:hint="eastAsia" w:ascii="Arial" w:hAnsi="Arial" w:cs="Arial"/>
          <w:color w:val="000000"/>
          <w:sz w:val="24"/>
          <w:szCs w:val="24"/>
          <w:shd w:val="clear" w:color="auto" w:fill="ffffff"/>
        </w:rPr>
      </w:r>
      <w:r>
        <w:rPr>
          <w:rFonts w:hint="eastAsia" w:ascii="Arial" w:hAnsi="Arial" w:cs="Arial"/>
          <w:color w:val="000000"/>
          <w:sz w:val="24"/>
          <w:szCs w:val="24"/>
          <w:shd w:val="clear" w:color="auto" w:fill="ffffff"/>
        </w:rPr>
      </w:r>
    </w:p>
    <w:p>
      <w:pPr>
        <w:pStyle w:val="856"/>
        <w:pBdr/>
        <w:spacing w:line="560" w:lineRule="exact"/>
        <w:ind w:firstLine="480"/>
        <w:rPr>
          <w:rFonts w:hint="eastAsia" w:ascii="Arial" w:hAnsi="Arial" w:cs="Arial"/>
          <w:color w:val="000000"/>
          <w:sz w:val="24"/>
          <w:szCs w:val="24"/>
          <w:shd w:val="clear" w:color="auto" w:fill="ffffff"/>
        </w:rPr>
      </w:pPr>
      <w:r>
        <w:rPr>
          <w:rFonts w:hint="eastAsia" w:ascii="Arial" w:hAnsi="Arial" w:cs="Arial"/>
          <w:color w:val="000000"/>
          <w:sz w:val="24"/>
          <w:szCs w:val="24"/>
          <w:shd w:val="clear" w:color="auto" w:fill="ffffff"/>
        </w:rPr>
      </w:r>
      <w:r>
        <w:rPr>
          <w:rFonts w:hint="eastAsia" w:ascii="Arial" w:hAnsi="Arial" w:cs="Arial"/>
          <w:color w:val="000000"/>
          <w:sz w:val="24"/>
          <w:szCs w:val="24"/>
          <w:shd w:val="clear" w:color="auto" w:fill="ffffff"/>
        </w:rPr>
      </w:r>
      <w:r>
        <w:rPr>
          <w:rFonts w:hint="eastAsia" w:ascii="Arial" w:hAnsi="Arial" w:cs="Arial"/>
          <w:color w:val="000000"/>
          <w:sz w:val="24"/>
          <w:szCs w:val="24"/>
          <w:shd w:val="clear" w:color="auto" w:fill="ffffff"/>
        </w:rPr>
      </w:r>
    </w:p>
    <w:p>
      <w:pPr>
        <w:pStyle w:val="856"/>
        <w:pBdr/>
        <w:spacing w:line="560" w:lineRule="exact"/>
        <w:ind w:firstLine="480"/>
        <w:rPr>
          <w:rFonts w:ascii="Arial" w:hAnsi="Arial" w:cs="Arial"/>
          <w:color w:val="000000"/>
          <w:sz w:val="24"/>
          <w:szCs w:val="24"/>
          <w:shd w:val="clear" w:color="auto" w:fill="ffffff"/>
        </w:rPr>
      </w:pPr>
      <w:r>
        <w:rPr>
          <w:rFonts w:ascii="Arial" w:hAnsi="Arial" w:cs="Arial"/>
          <w:color w:val="000000"/>
          <w:sz w:val="24"/>
          <w:szCs w:val="24"/>
          <w:shd w:val="clear" w:color="auto" w:fill="ffffff"/>
        </w:rPr>
      </w:r>
      <w:r>
        <w:rPr>
          <w:rFonts w:ascii="Arial" w:hAnsi="Arial" w:cs="Arial"/>
          <w:color w:val="000000"/>
          <w:sz w:val="24"/>
          <w:szCs w:val="24"/>
          <w:shd w:val="clear" w:color="auto" w:fill="ffffff"/>
        </w:rPr>
      </w:r>
      <w:r>
        <w:rPr>
          <w:rFonts w:ascii="Arial" w:hAnsi="Arial" w:cs="Arial"/>
          <w:color w:val="000000"/>
          <w:sz w:val="24"/>
          <w:szCs w:val="24"/>
          <w:shd w:val="clear" w:color="auto" w:fill="ffffff"/>
        </w:rPr>
      </w:r>
    </w:p>
    <w:p>
      <w:pPr>
        <w:pStyle w:val="865"/>
        <w:pBdr/>
        <w:shd w:val="clear" w:color="auto" w:fill="ffffff"/>
        <w:spacing w:after="0" w:afterAutospacing="0" w:before="0" w:beforeAutospacing="0" w:line="500" w:lineRule="exact"/>
        <w:ind w:firstLine="4440"/>
        <w:rPr>
          <w:rFonts w:ascii="Arial" w:hAnsi="Arial" w:cs="Arial"/>
          <w:shd w:val="clear" w:color="auto" w:fill="ffffff"/>
        </w:rPr>
      </w:pPr>
      <w:r>
        <w:rPr>
          <w:rFonts w:ascii="Arial" w:hAnsi="Arial" w:cs="Arial"/>
          <w:shd w:val="clear" w:color="auto" w:fill="ffffff"/>
        </w:rPr>
        <w:t xml:space="preserve">湖北佰盛会计师事务所（普通合伙）  </w:t>
      </w:r>
      <w:r>
        <w:rPr>
          <w:rFonts w:ascii="Arial" w:hAnsi="Arial" w:cs="Arial"/>
          <w:shd w:val="clear" w:color="auto" w:fill="ffffff"/>
        </w:rPr>
      </w:r>
      <w:r>
        <w:rPr>
          <w:rFonts w:ascii="Arial" w:hAnsi="Arial" w:cs="Arial"/>
          <w:shd w:val="clear" w:color="auto" w:fill="ffffff"/>
        </w:rPr>
      </w:r>
    </w:p>
    <w:p>
      <w:pPr>
        <w:pStyle w:val="865"/>
        <w:pBdr/>
        <w:shd w:val="clear" w:color="auto" w:fill="ffffff"/>
        <w:spacing w:after="0" w:afterAutospacing="0" w:before="0" w:beforeAutospacing="0" w:line="500" w:lineRule="exact"/>
        <w:ind w:firstLine="5280"/>
        <w:rPr>
          <w:rFonts w:ascii="Arial" w:hAnsi="Arial" w:cs="Arial"/>
          <w:shd w:val="clear" w:color="auto" w:fill="ffffff"/>
        </w:rPr>
      </w:pPr>
      <w:r>
        <w:rPr>
          <w:rFonts w:ascii="Arial" w:hAnsi="Arial" w:cs="Arial"/>
          <w:shd w:val="clear" w:color="auto" w:fill="ffffff"/>
        </w:rPr>
        <w:t xml:space="preserve">2018年10月30日     </w:t>
      </w:r>
      <w:r>
        <w:rPr>
          <w:rFonts w:ascii="Arial" w:hAnsi="Arial" w:cs="Arial"/>
          <w:shd w:val="clear" w:color="auto" w:fill="ffffff"/>
        </w:rPr>
      </w:r>
      <w:r>
        <w:rPr>
          <w:rFonts w:ascii="Arial" w:hAnsi="Arial" w:cs="Arial"/>
          <w:shd w:val="clear" w:color="auto" w:fill="ffffff"/>
        </w:rPr>
      </w:r>
    </w:p>
    <w:sectPr>
      <w:footnotePr/>
      <w:endnotePr/>
      <w:type w:val="nextPage"/>
      <w:pgSz w:h="16839" w:orient="landscape" w:w="11907"/>
      <w:pgMar w:top="1440" w:right="1800" w:bottom="1440" w:left="1701" w:header="851" w:footer="992"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黑体">
    <w:panose1 w:val="02010609060101010101"/>
  </w:font>
  <w:font w:name="Symbol">
    <w:panose1 w:val="05050102010706020507"/>
  </w:font>
  <w:font w:name="Wingdings">
    <w:panose1 w:val="05000000000000000000"/>
  </w:font>
  <w:font w:name="仿宋_GB2312">
    <w:panose1 w:val="02010609060101010101"/>
  </w:font>
  <w:font w:name="Arial">
    <w:panose1 w:val="020B0604020202020204"/>
  </w:font>
  <w:font w:name="等线">
    <w:panose1 w:val="02010600030101010101"/>
  </w:font>
  <w:font w:name="宋体">
    <w:panose1 w:val="02010600030101010101"/>
  </w:font>
  <w:font w:name="Courier New">
    <w:panose1 w:val="02070309020205020404"/>
  </w:font>
  <w:font w:name="Times New Roman">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tabs>
          <w:tab w:val="num" w:leader="none" w:pos="0"/>
        </w:tabs>
        <w:spacing/>
        <w:ind w:hanging="360" w:left="825"/>
      </w:pPr>
      <w:rPr/>
      <w:start w:val="1"/>
      <w:suff w:val="tab"/>
    </w:lvl>
    <w:lvl w:ilvl="1">
      <w:isLgl w:val="false"/>
      <w:lvlJc w:val="left"/>
      <w:lvlText w:val="%2)"/>
      <w:numFmt w:val="lowerLetter"/>
      <w:pPr>
        <w:pBdr/>
        <w:tabs>
          <w:tab w:val="num" w:leader="none" w:pos="0"/>
        </w:tabs>
        <w:spacing/>
        <w:ind w:hanging="420" w:left="1305"/>
      </w:pPr>
      <w:rPr/>
      <w:start w:val="1"/>
      <w:suff w:val="tab"/>
    </w:lvl>
    <w:lvl w:ilvl="2">
      <w:isLgl w:val="false"/>
      <w:lvlJc w:val="right"/>
      <w:lvlText w:val="%3."/>
      <w:numFmt w:val="lowerRoman"/>
      <w:pPr>
        <w:pBdr/>
        <w:tabs>
          <w:tab w:val="num" w:leader="none" w:pos="0"/>
        </w:tabs>
        <w:spacing/>
        <w:ind w:hanging="420" w:left="1725"/>
      </w:pPr>
      <w:rPr/>
      <w:start w:val="1"/>
      <w:suff w:val="tab"/>
    </w:lvl>
    <w:lvl w:ilvl="3">
      <w:isLgl w:val="false"/>
      <w:lvlJc w:val="left"/>
      <w:lvlText w:val="%4."/>
      <w:numFmt w:val="decimal"/>
      <w:pPr>
        <w:pBdr/>
        <w:tabs>
          <w:tab w:val="num" w:leader="none" w:pos="0"/>
        </w:tabs>
        <w:spacing/>
        <w:ind w:hanging="420" w:left="2145"/>
      </w:pPr>
      <w:rPr/>
      <w:start w:val="1"/>
      <w:suff w:val="tab"/>
    </w:lvl>
    <w:lvl w:ilvl="4">
      <w:isLgl w:val="false"/>
      <w:lvlJc w:val="left"/>
      <w:lvlText w:val="%5)"/>
      <w:numFmt w:val="lowerLetter"/>
      <w:pPr>
        <w:pBdr/>
        <w:tabs>
          <w:tab w:val="num" w:leader="none" w:pos="0"/>
        </w:tabs>
        <w:spacing/>
        <w:ind w:hanging="420" w:left="2565"/>
      </w:pPr>
      <w:rPr/>
      <w:start w:val="1"/>
      <w:suff w:val="tab"/>
    </w:lvl>
    <w:lvl w:ilvl="5">
      <w:isLgl w:val="false"/>
      <w:lvlJc w:val="right"/>
      <w:lvlText w:val="%6."/>
      <w:numFmt w:val="lowerRoman"/>
      <w:pPr>
        <w:pBdr/>
        <w:tabs>
          <w:tab w:val="num" w:leader="none" w:pos="0"/>
        </w:tabs>
        <w:spacing/>
        <w:ind w:hanging="420" w:left="2985"/>
      </w:pPr>
      <w:rPr/>
      <w:start w:val="1"/>
      <w:suff w:val="tab"/>
    </w:lvl>
    <w:lvl w:ilvl="6">
      <w:isLgl w:val="false"/>
      <w:lvlJc w:val="left"/>
      <w:lvlText w:val="%7."/>
      <w:numFmt w:val="decimal"/>
      <w:pPr>
        <w:pBdr/>
        <w:tabs>
          <w:tab w:val="num" w:leader="none" w:pos="0"/>
        </w:tabs>
        <w:spacing/>
        <w:ind w:hanging="420" w:left="3405"/>
      </w:pPr>
      <w:rPr/>
      <w:start w:val="1"/>
      <w:suff w:val="tab"/>
    </w:lvl>
    <w:lvl w:ilvl="7">
      <w:isLgl w:val="false"/>
      <w:lvlJc w:val="left"/>
      <w:lvlText w:val="%8)"/>
      <w:numFmt w:val="lowerLetter"/>
      <w:pPr>
        <w:pBdr/>
        <w:tabs>
          <w:tab w:val="num" w:leader="none" w:pos="0"/>
        </w:tabs>
        <w:spacing/>
        <w:ind w:hanging="420" w:left="3825"/>
      </w:pPr>
      <w:rPr/>
      <w:start w:val="1"/>
      <w:suff w:val="tab"/>
    </w:lvl>
    <w:lvl w:ilvl="8">
      <w:isLgl w:val="false"/>
      <w:lvlJc w:val="right"/>
      <w:lvlText w:val="%9."/>
      <w:numFmt w:val="lowerRoman"/>
      <w:pPr>
        <w:pBdr/>
        <w:tabs>
          <w:tab w:val="num" w:leader="none" w:pos="0"/>
        </w:tabs>
        <w:spacing/>
        <w:ind w:hanging="420" w:left="4245"/>
      </w:pPr>
      <w:rPr/>
      <w:start w:val="1"/>
      <w:suff w:val="tab"/>
    </w:lvl>
  </w:abstractNum>
  <w:abstractNum w:abstractNumId="1">
    <w:lvl w:ilvl="0">
      <w:isLgl w:val="false"/>
      <w:lvlJc w:val="left"/>
      <w:lvlText w:val="%1."/>
      <w:numFmt w:val="decimal"/>
      <w:pPr>
        <w:pBdr/>
        <w:tabs>
          <w:tab w:val="num" w:leader="none" w:pos="2040"/>
        </w:tabs>
        <w:spacing/>
        <w:ind w:hanging="360" w:left="2040"/>
      </w:pPr>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2">
    <w:lvl w:ilvl="0">
      <w:isLgl w:val="false"/>
      <w:lvlJc w:val="left"/>
      <w:lvlText w:val="%1."/>
      <w:numFmt w:val="decimal"/>
      <w:pPr>
        <w:pBdr/>
        <w:tabs>
          <w:tab w:val="num" w:leader="none" w:pos="1620"/>
        </w:tabs>
        <w:spacing/>
        <w:ind w:hanging="360" w:left="1620"/>
      </w:pPr>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
    <w:lvl w:ilvl="0">
      <w:isLgl w:val="false"/>
      <w:lvlJc w:val="left"/>
      <w:lvlText w:val="%1."/>
      <w:numFmt w:val="decimal"/>
      <w:pPr>
        <w:pBdr/>
        <w:tabs>
          <w:tab w:val="num" w:leader="none" w:pos="1200"/>
        </w:tabs>
        <w:spacing/>
        <w:ind w:hanging="360" w:left="1200"/>
      </w:pPr>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
    <w:lvl w:ilvl="0">
      <w:isLgl w:val="false"/>
      <w:lvlJc w:val="left"/>
      <w:lvlText w:val="%1."/>
      <w:numFmt w:val="decimal"/>
      <w:pPr>
        <w:pBdr/>
        <w:tabs>
          <w:tab w:val="num" w:leader="none" w:pos="780"/>
        </w:tabs>
        <w:spacing/>
        <w:ind w:hanging="360" w:left="780"/>
      </w:pPr>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5">
    <w:lvl w:ilvl="0">
      <w:isLgl w:val="false"/>
      <w:lvlJc w:val="left"/>
      <w:lvlText w:val=""/>
      <w:numFmt w:val="bullet"/>
      <w:pPr>
        <w:pBdr/>
        <w:tabs>
          <w:tab w:val="num" w:leader="none" w:pos="2040"/>
        </w:tabs>
        <w:spacing/>
        <w:ind w:hanging="360" w:left="2040"/>
      </w:pPr>
      <w:rPr>
        <w:rFonts w:ascii="Wingdings" w:hAnsi="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6">
    <w:lvl w:ilvl="0">
      <w:isLgl w:val="false"/>
      <w:lvlJc w:val="left"/>
      <w:lvlText w:val=""/>
      <w:numFmt w:val="bullet"/>
      <w:pPr>
        <w:pBdr/>
        <w:tabs>
          <w:tab w:val="num" w:leader="none" w:pos="1620"/>
        </w:tabs>
        <w:spacing/>
        <w:ind w:hanging="360" w:left="1620"/>
      </w:pPr>
      <w:rPr>
        <w:rFonts w:ascii="Wingdings" w:hAnsi="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7">
    <w:lvl w:ilvl="0">
      <w:isLgl w:val="false"/>
      <w:lvlJc w:val="left"/>
      <w:lvlText w:val=""/>
      <w:numFmt w:val="bullet"/>
      <w:pPr>
        <w:pBdr/>
        <w:tabs>
          <w:tab w:val="num" w:leader="none" w:pos="1200"/>
        </w:tabs>
        <w:spacing/>
        <w:ind w:hanging="360" w:left="1200"/>
      </w:pPr>
      <w:rPr>
        <w:rFonts w:ascii="Wingdings" w:hAnsi="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8">
    <w:lvl w:ilvl="0">
      <w:isLgl w:val="false"/>
      <w:lvlJc w:val="left"/>
      <w:lvlText w:val=""/>
      <w:numFmt w:val="bullet"/>
      <w:pPr>
        <w:pBdr/>
        <w:tabs>
          <w:tab w:val="num" w:leader="none" w:pos="780"/>
        </w:tabs>
        <w:spacing/>
        <w:ind w:hanging="360" w:left="780"/>
      </w:pPr>
      <w:rPr>
        <w:rFonts w:ascii="Wingdings" w:hAnsi="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9">
    <w:lvl w:ilvl="0">
      <w:isLgl w:val="false"/>
      <w:lvlJc w:val="left"/>
      <w:lvlText w:val="%1."/>
      <w:numFmt w:val="decimal"/>
      <w:pPr>
        <w:pBdr/>
        <w:tabs>
          <w:tab w:val="num" w:leader="none" w:pos="360"/>
        </w:tabs>
        <w:spacing/>
        <w:ind w:hanging="360" w:left="360"/>
      </w:pPr>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0">
    <w:lvl w:ilvl="0">
      <w:isLgl w:val="false"/>
      <w:lvlJc w:val="left"/>
      <w:lvlText w:val=""/>
      <w:numFmt w:val="bullet"/>
      <w:pPr>
        <w:pBdr/>
        <w:tabs>
          <w:tab w:val="num" w:leader="none" w:pos="360"/>
        </w:tabs>
        <w:spacing/>
        <w:ind w:hanging="360" w:left="360"/>
      </w:pPr>
      <w:rPr>
        <w:rFonts w:ascii="Wingdings" w:hAnsi="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1">
    <w:lvl w:ilvl="0">
      <w:isLgl w:val="false"/>
      <w:lvlJc w:val="left"/>
      <w:lvlText w:val="（%1）"/>
      <w:numFmt w:val="chineseCounting"/>
      <w:pPr>
        <w:pBdr/>
        <w:tabs>
          <w:tab w:val="num" w:leader="none" w:pos="0"/>
        </w:tabs>
        <w:spacing/>
        <w:ind w:firstLine="0" w:left="0"/>
      </w:pPr>
      <w:rPr/>
      <w:start w:val="2"/>
      <w:suff w:val="nothing"/>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val="true"/>
  <w:trackRevisions w:val="false"/>
  <w:documentProtection/>
  <w:defaultTabStop w:val="4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doNotExpandShiftReturn w:val="true"/>
    <w:splitPgBreakAndParaMark w:val="tru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宋体" w:cs="Times New Roman"/>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78">
    <w:name w:val="Heading 1"/>
    <w:basedOn w:val="856"/>
    <w:next w:val="856"/>
    <w:link w:val="679"/>
    <w:uiPriority w:val="9"/>
    <w:qFormat/>
    <w:pPr>
      <w:keepNext w:val="true"/>
      <w:keepLines w:val="true"/>
      <w:pBdr/>
      <w:spacing w:after="200" w:before="480"/>
      <w:ind/>
      <w:outlineLvl w:val="0"/>
    </w:pPr>
    <w:rPr>
      <w:rFonts w:ascii="等线" w:hAnsi="等线" w:eastAsia="等线" w:cs="等线"/>
      <w:sz w:val="40"/>
      <w:szCs w:val="40"/>
    </w:rPr>
  </w:style>
  <w:style w:type="character" w:styleId="679">
    <w:name w:val="Heading 1 Char"/>
    <w:link w:val="678"/>
    <w:uiPriority w:val="9"/>
    <w:pPr>
      <w:pBdr/>
      <w:spacing/>
      <w:ind/>
    </w:pPr>
    <w:rPr>
      <w:rFonts w:ascii="等线" w:hAnsi="等线" w:eastAsia="等线" w:cs="等线"/>
      <w:sz w:val="40"/>
      <w:szCs w:val="40"/>
    </w:rPr>
  </w:style>
  <w:style w:type="paragraph" w:styleId="680">
    <w:name w:val="Heading 2"/>
    <w:basedOn w:val="856"/>
    <w:next w:val="856"/>
    <w:link w:val="681"/>
    <w:uiPriority w:val="9"/>
    <w:unhideWhenUsed/>
    <w:qFormat/>
    <w:pPr>
      <w:keepNext w:val="true"/>
      <w:keepLines w:val="true"/>
      <w:pBdr/>
      <w:spacing w:after="200" w:before="360"/>
      <w:ind/>
      <w:outlineLvl w:val="1"/>
    </w:pPr>
    <w:rPr>
      <w:rFonts w:ascii="等线" w:hAnsi="等线" w:eastAsia="等线" w:cs="等线"/>
      <w:sz w:val="34"/>
    </w:rPr>
  </w:style>
  <w:style w:type="character" w:styleId="681">
    <w:name w:val="Heading 2 Char"/>
    <w:link w:val="680"/>
    <w:uiPriority w:val="9"/>
    <w:pPr>
      <w:pBdr/>
      <w:spacing/>
      <w:ind/>
    </w:pPr>
    <w:rPr>
      <w:rFonts w:ascii="等线" w:hAnsi="等线" w:eastAsia="等线" w:cs="等线"/>
      <w:sz w:val="34"/>
    </w:rPr>
  </w:style>
  <w:style w:type="paragraph" w:styleId="682">
    <w:name w:val="Heading 3"/>
    <w:basedOn w:val="856"/>
    <w:next w:val="856"/>
    <w:link w:val="683"/>
    <w:uiPriority w:val="9"/>
    <w:unhideWhenUsed/>
    <w:qFormat/>
    <w:pPr>
      <w:keepNext w:val="true"/>
      <w:keepLines w:val="true"/>
      <w:pBdr/>
      <w:spacing w:after="200" w:before="320"/>
      <w:ind/>
      <w:outlineLvl w:val="2"/>
    </w:pPr>
    <w:rPr>
      <w:rFonts w:ascii="等线" w:hAnsi="等线" w:eastAsia="等线" w:cs="等线"/>
      <w:sz w:val="30"/>
      <w:szCs w:val="30"/>
    </w:rPr>
  </w:style>
  <w:style w:type="character" w:styleId="683">
    <w:name w:val="Heading 3 Char"/>
    <w:link w:val="682"/>
    <w:uiPriority w:val="9"/>
    <w:pPr>
      <w:pBdr/>
      <w:spacing/>
      <w:ind/>
    </w:pPr>
    <w:rPr>
      <w:rFonts w:ascii="等线" w:hAnsi="等线" w:eastAsia="等线" w:cs="等线"/>
      <w:sz w:val="30"/>
      <w:szCs w:val="30"/>
    </w:rPr>
  </w:style>
  <w:style w:type="paragraph" w:styleId="684">
    <w:name w:val="Heading 4"/>
    <w:basedOn w:val="856"/>
    <w:next w:val="856"/>
    <w:link w:val="685"/>
    <w:uiPriority w:val="9"/>
    <w:unhideWhenUsed/>
    <w:qFormat/>
    <w:pPr>
      <w:keepNext w:val="true"/>
      <w:keepLines w:val="true"/>
      <w:pBdr/>
      <w:spacing w:after="200" w:before="320"/>
      <w:ind/>
      <w:outlineLvl w:val="3"/>
    </w:pPr>
    <w:rPr>
      <w:rFonts w:ascii="等线" w:hAnsi="等线" w:eastAsia="等线" w:cs="等线"/>
      <w:b/>
      <w:bCs/>
      <w:sz w:val="26"/>
      <w:szCs w:val="26"/>
    </w:rPr>
  </w:style>
  <w:style w:type="character" w:styleId="685">
    <w:name w:val="Heading 4 Char"/>
    <w:link w:val="684"/>
    <w:uiPriority w:val="9"/>
    <w:pPr>
      <w:pBdr/>
      <w:spacing/>
      <w:ind/>
    </w:pPr>
    <w:rPr>
      <w:rFonts w:ascii="等线" w:hAnsi="等线" w:eastAsia="等线" w:cs="等线"/>
      <w:b/>
      <w:bCs/>
      <w:sz w:val="26"/>
      <w:szCs w:val="26"/>
    </w:rPr>
  </w:style>
  <w:style w:type="paragraph" w:styleId="686">
    <w:name w:val="Heading 5"/>
    <w:basedOn w:val="856"/>
    <w:next w:val="856"/>
    <w:link w:val="687"/>
    <w:uiPriority w:val="9"/>
    <w:unhideWhenUsed/>
    <w:qFormat/>
    <w:pPr>
      <w:keepNext w:val="true"/>
      <w:keepLines w:val="true"/>
      <w:pBdr/>
      <w:spacing w:after="200" w:before="320"/>
      <w:ind/>
      <w:outlineLvl w:val="4"/>
    </w:pPr>
    <w:rPr>
      <w:rFonts w:ascii="等线" w:hAnsi="等线" w:eastAsia="等线" w:cs="等线"/>
      <w:b/>
      <w:bCs/>
      <w:sz w:val="24"/>
      <w:szCs w:val="24"/>
    </w:rPr>
  </w:style>
  <w:style w:type="character" w:styleId="687">
    <w:name w:val="Heading 5 Char"/>
    <w:link w:val="686"/>
    <w:uiPriority w:val="9"/>
    <w:pPr>
      <w:pBdr/>
      <w:spacing/>
      <w:ind/>
    </w:pPr>
    <w:rPr>
      <w:rFonts w:ascii="等线" w:hAnsi="等线" w:eastAsia="等线" w:cs="等线"/>
      <w:b/>
      <w:bCs/>
      <w:sz w:val="24"/>
      <w:szCs w:val="24"/>
    </w:rPr>
  </w:style>
  <w:style w:type="paragraph" w:styleId="688">
    <w:name w:val="Heading 6"/>
    <w:basedOn w:val="856"/>
    <w:next w:val="856"/>
    <w:link w:val="689"/>
    <w:uiPriority w:val="9"/>
    <w:unhideWhenUsed/>
    <w:qFormat/>
    <w:pPr>
      <w:keepNext w:val="true"/>
      <w:keepLines w:val="true"/>
      <w:pBdr/>
      <w:spacing w:after="200" w:before="320"/>
      <w:ind/>
      <w:outlineLvl w:val="5"/>
    </w:pPr>
    <w:rPr>
      <w:rFonts w:ascii="等线" w:hAnsi="等线" w:eastAsia="等线" w:cs="等线"/>
      <w:b/>
      <w:bCs/>
      <w:sz w:val="22"/>
      <w:szCs w:val="22"/>
    </w:rPr>
  </w:style>
  <w:style w:type="character" w:styleId="689">
    <w:name w:val="Heading 6 Char"/>
    <w:link w:val="688"/>
    <w:uiPriority w:val="9"/>
    <w:pPr>
      <w:pBdr/>
      <w:spacing/>
      <w:ind/>
    </w:pPr>
    <w:rPr>
      <w:rFonts w:ascii="等线" w:hAnsi="等线" w:eastAsia="等线" w:cs="等线"/>
      <w:b/>
      <w:bCs/>
      <w:sz w:val="22"/>
      <w:szCs w:val="22"/>
    </w:rPr>
  </w:style>
  <w:style w:type="paragraph" w:styleId="690">
    <w:name w:val="Heading 7"/>
    <w:basedOn w:val="856"/>
    <w:next w:val="856"/>
    <w:link w:val="691"/>
    <w:uiPriority w:val="9"/>
    <w:unhideWhenUsed/>
    <w:qFormat/>
    <w:pPr>
      <w:keepNext w:val="true"/>
      <w:keepLines w:val="true"/>
      <w:pBdr/>
      <w:spacing w:after="200" w:before="320"/>
      <w:ind/>
      <w:outlineLvl w:val="6"/>
    </w:pPr>
    <w:rPr>
      <w:rFonts w:ascii="等线" w:hAnsi="等线" w:eastAsia="等线" w:cs="等线"/>
      <w:b/>
      <w:bCs/>
      <w:i/>
      <w:iCs/>
      <w:sz w:val="22"/>
      <w:szCs w:val="22"/>
    </w:rPr>
  </w:style>
  <w:style w:type="character" w:styleId="691">
    <w:name w:val="Heading 7 Char"/>
    <w:link w:val="690"/>
    <w:uiPriority w:val="9"/>
    <w:pPr>
      <w:pBdr/>
      <w:spacing/>
      <w:ind/>
    </w:pPr>
    <w:rPr>
      <w:rFonts w:ascii="等线" w:hAnsi="等线" w:eastAsia="等线" w:cs="等线"/>
      <w:b/>
      <w:bCs/>
      <w:i/>
      <w:iCs/>
      <w:sz w:val="22"/>
      <w:szCs w:val="22"/>
    </w:rPr>
  </w:style>
  <w:style w:type="paragraph" w:styleId="692">
    <w:name w:val="Heading 8"/>
    <w:basedOn w:val="856"/>
    <w:next w:val="856"/>
    <w:link w:val="693"/>
    <w:uiPriority w:val="9"/>
    <w:unhideWhenUsed/>
    <w:qFormat/>
    <w:pPr>
      <w:keepNext w:val="true"/>
      <w:keepLines w:val="true"/>
      <w:pBdr/>
      <w:spacing w:after="200" w:before="320"/>
      <w:ind/>
      <w:outlineLvl w:val="7"/>
    </w:pPr>
    <w:rPr>
      <w:rFonts w:ascii="等线" w:hAnsi="等线" w:eastAsia="等线" w:cs="等线"/>
      <w:i/>
      <w:iCs/>
      <w:sz w:val="22"/>
      <w:szCs w:val="22"/>
    </w:rPr>
  </w:style>
  <w:style w:type="character" w:styleId="693">
    <w:name w:val="Heading 8 Char"/>
    <w:link w:val="692"/>
    <w:uiPriority w:val="9"/>
    <w:pPr>
      <w:pBdr/>
      <w:spacing/>
      <w:ind/>
    </w:pPr>
    <w:rPr>
      <w:rFonts w:ascii="等线" w:hAnsi="等线" w:eastAsia="等线" w:cs="等线"/>
      <w:i/>
      <w:iCs/>
      <w:sz w:val="22"/>
      <w:szCs w:val="22"/>
    </w:rPr>
  </w:style>
  <w:style w:type="paragraph" w:styleId="694">
    <w:name w:val="Heading 9"/>
    <w:basedOn w:val="856"/>
    <w:next w:val="856"/>
    <w:link w:val="695"/>
    <w:uiPriority w:val="9"/>
    <w:unhideWhenUsed/>
    <w:qFormat/>
    <w:pPr>
      <w:keepNext w:val="true"/>
      <w:keepLines w:val="true"/>
      <w:pBdr/>
      <w:spacing w:after="200" w:before="320"/>
      <w:ind/>
      <w:outlineLvl w:val="8"/>
    </w:pPr>
    <w:rPr>
      <w:rFonts w:ascii="等线" w:hAnsi="等线" w:eastAsia="等线" w:cs="等线"/>
      <w:i/>
      <w:iCs/>
      <w:sz w:val="21"/>
      <w:szCs w:val="21"/>
    </w:rPr>
  </w:style>
  <w:style w:type="character" w:styleId="695">
    <w:name w:val="Heading 9 Char"/>
    <w:link w:val="694"/>
    <w:uiPriority w:val="9"/>
    <w:pPr>
      <w:pBdr/>
      <w:spacing/>
      <w:ind/>
    </w:pPr>
    <w:rPr>
      <w:rFonts w:ascii="等线" w:hAnsi="等线" w:eastAsia="等线" w:cs="等线"/>
      <w:i/>
      <w:iCs/>
      <w:sz w:val="21"/>
      <w:szCs w:val="21"/>
    </w:rPr>
  </w:style>
  <w:style w:type="paragraph" w:styleId="696">
    <w:name w:val="List Paragraph"/>
    <w:basedOn w:val="856"/>
    <w:uiPriority w:val="34"/>
    <w:qFormat/>
    <w:pPr>
      <w:pBdr/>
      <w:spacing/>
      <w:ind w:left="720"/>
      <w:contextualSpacing w:val="true"/>
    </w:pPr>
  </w:style>
  <w:style w:type="paragraph" w:styleId="697">
    <w:name w:val="No Spacing"/>
    <w:uiPriority w:val="1"/>
    <w:qFormat/>
    <w:pPr>
      <w:pBdr/>
      <w:spacing w:after="0" w:before="0" w:line="240" w:lineRule="auto"/>
      <w:ind/>
    </w:pPr>
  </w:style>
  <w:style w:type="paragraph" w:styleId="698">
    <w:name w:val="Title"/>
    <w:basedOn w:val="856"/>
    <w:next w:val="856"/>
    <w:link w:val="699"/>
    <w:uiPriority w:val="10"/>
    <w:qFormat/>
    <w:pPr>
      <w:pBdr/>
      <w:spacing w:after="200" w:before="300"/>
      <w:ind/>
      <w:contextualSpacing w:val="true"/>
    </w:pPr>
    <w:rPr>
      <w:sz w:val="48"/>
      <w:szCs w:val="48"/>
    </w:rPr>
  </w:style>
  <w:style w:type="character" w:styleId="699">
    <w:name w:val="Title Char"/>
    <w:link w:val="698"/>
    <w:uiPriority w:val="10"/>
    <w:pPr>
      <w:pBdr/>
      <w:spacing/>
      <w:ind/>
    </w:pPr>
    <w:rPr>
      <w:sz w:val="48"/>
      <w:szCs w:val="48"/>
    </w:rPr>
  </w:style>
  <w:style w:type="paragraph" w:styleId="700">
    <w:name w:val="Subtitle"/>
    <w:basedOn w:val="856"/>
    <w:next w:val="856"/>
    <w:link w:val="701"/>
    <w:uiPriority w:val="11"/>
    <w:qFormat/>
    <w:pPr>
      <w:pBdr/>
      <w:spacing w:after="200" w:before="200"/>
      <w:ind/>
    </w:pPr>
    <w:rPr>
      <w:sz w:val="24"/>
      <w:szCs w:val="24"/>
    </w:rPr>
  </w:style>
  <w:style w:type="character" w:styleId="701">
    <w:name w:val="Subtitle Char"/>
    <w:link w:val="700"/>
    <w:uiPriority w:val="11"/>
    <w:pPr>
      <w:pBdr/>
      <w:spacing/>
      <w:ind/>
    </w:pPr>
    <w:rPr>
      <w:sz w:val="24"/>
      <w:szCs w:val="24"/>
    </w:rPr>
  </w:style>
  <w:style w:type="paragraph" w:styleId="702">
    <w:name w:val="Quote"/>
    <w:basedOn w:val="856"/>
    <w:next w:val="856"/>
    <w:link w:val="703"/>
    <w:uiPriority w:val="29"/>
    <w:qFormat/>
    <w:pPr>
      <w:pBdr/>
      <w:spacing/>
      <w:ind w:right="720" w:left="720"/>
    </w:pPr>
    <w:rPr>
      <w:i/>
    </w:rPr>
  </w:style>
  <w:style w:type="character" w:styleId="703">
    <w:name w:val="Quote Char"/>
    <w:link w:val="702"/>
    <w:uiPriority w:val="29"/>
    <w:pPr>
      <w:pBdr/>
      <w:spacing/>
      <w:ind/>
    </w:pPr>
    <w:rPr>
      <w:i/>
    </w:rPr>
  </w:style>
  <w:style w:type="paragraph" w:styleId="704">
    <w:name w:val="Intense Quote"/>
    <w:basedOn w:val="856"/>
    <w:next w:val="856"/>
    <w:link w:val="705"/>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705">
    <w:name w:val="Intense Quote Char"/>
    <w:link w:val="704"/>
    <w:uiPriority w:val="30"/>
    <w:pPr>
      <w:pBdr/>
      <w:spacing/>
      <w:ind/>
    </w:pPr>
    <w:rPr>
      <w:i/>
    </w:rPr>
  </w:style>
  <w:style w:type="paragraph" w:styleId="706">
    <w:name w:val="Header"/>
    <w:basedOn w:val="856"/>
    <w:link w:val="707"/>
    <w:uiPriority w:val="99"/>
    <w:unhideWhenUsed/>
    <w:pPr>
      <w:pBdr/>
      <w:tabs>
        <w:tab w:val="center" w:leader="none" w:pos="7143"/>
        <w:tab w:val="right" w:leader="none" w:pos="14287"/>
      </w:tabs>
      <w:spacing w:after="0" w:line="240" w:lineRule="auto"/>
      <w:ind/>
    </w:pPr>
  </w:style>
  <w:style w:type="character" w:styleId="707">
    <w:name w:val="Header Char"/>
    <w:link w:val="706"/>
    <w:uiPriority w:val="99"/>
    <w:pPr>
      <w:pBdr/>
      <w:spacing/>
      <w:ind/>
    </w:pPr>
  </w:style>
  <w:style w:type="paragraph" w:styleId="708">
    <w:name w:val="Footer"/>
    <w:basedOn w:val="856"/>
    <w:link w:val="711"/>
    <w:uiPriority w:val="99"/>
    <w:unhideWhenUsed/>
    <w:pPr>
      <w:pBdr/>
      <w:tabs>
        <w:tab w:val="center" w:leader="none" w:pos="7143"/>
        <w:tab w:val="right" w:leader="none" w:pos="14287"/>
      </w:tabs>
      <w:spacing w:after="0" w:line="240" w:lineRule="auto"/>
      <w:ind/>
    </w:pPr>
  </w:style>
  <w:style w:type="character" w:styleId="709">
    <w:name w:val="Footer Char"/>
    <w:link w:val="708"/>
    <w:uiPriority w:val="99"/>
    <w:pPr>
      <w:pBdr/>
      <w:spacing/>
      <w:ind/>
    </w:pPr>
  </w:style>
  <w:style w:type="paragraph" w:styleId="710">
    <w:name w:val="Caption"/>
    <w:basedOn w:val="856"/>
    <w:next w:val="856"/>
    <w:uiPriority w:val="35"/>
    <w:semiHidden/>
    <w:unhideWhenUsed/>
    <w:qFormat/>
    <w:pPr>
      <w:pBdr/>
      <w:spacing w:line="276" w:lineRule="auto"/>
      <w:ind/>
    </w:pPr>
    <w:rPr>
      <w:b/>
      <w:bCs/>
      <w:color w:val="4f81bd" w:themeColor="accent1"/>
      <w:sz w:val="18"/>
      <w:szCs w:val="18"/>
    </w:rPr>
  </w:style>
  <w:style w:type="character" w:styleId="711">
    <w:name w:val="Caption Char"/>
    <w:basedOn w:val="710"/>
    <w:link w:val="708"/>
    <w:uiPriority w:val="99"/>
    <w:pPr>
      <w:pBdr/>
      <w:spacing/>
      <w:ind/>
    </w:pPr>
  </w:style>
  <w:style w:type="table" w:styleId="712">
    <w:name w:val="Table Grid"/>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Table Grid Light"/>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Plain Table 1"/>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Plain Table 2"/>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Plain Table 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Plain Table 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Plain Table 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1 Light"/>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1 Light - Accent 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1 Light - Accent 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1 Light - Accent 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1 Light - Accent 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1 Light - Accent 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1 Light - Accent 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2 - Accent 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2 - Accent 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2 - Accent 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2 - Accent 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2 - Accent 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2 - Accent 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3 - Accent 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3 - Accent 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3 - Accent 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3 - Accent 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3 - Accent 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3 - Accent 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4 - Accent 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4 - Accent 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4 - Accent 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4 - Accent 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4 - Accent 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4 - Accent 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5 Dark"/>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5 Dark- Accent 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cPr>
      <w:tcBorders/>
    </w:tcPr>
    <w:tblStylePr w:type="band1Horz">
      <w:pPr>
        <w:pBdr/>
        <w:spacing/>
        <w:ind/>
      </w:pPr>
      <w:tblPr>
        <w:tblBorders/>
      </w:tblPr>
      <w:tcPr>
        <w:shd w:val="clear" w:color="ffffff" w:themeColor="accent1" w:themeTint="75" w:fill="adc5e0" w:themeFill="accent1" w:themeFillTint="75"/>
        <w:tcBorders/>
      </w:tcPr>
    </w:tblStylePr>
    <w:tblStylePr w:type="band1Vert">
      <w:pPr>
        <w:pBdr/>
        <w:spacing/>
        <w:ind/>
      </w:pPr>
      <w:tblPr>
        <w:tblBorders/>
      </w:tblPr>
      <w:tcPr>
        <w:shd w:val="clear" w:color="ffffff" w:themeColor="accent1" w:themeTint="75" w:fill="adc5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5 Dark - Accent 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cPr>
      <w:tcBorders/>
    </w:tcPr>
    <w:tblStylePr w:type="band1Horz">
      <w:pPr>
        <w:pBdr/>
        <w:spacing/>
        <w:ind/>
      </w:pPr>
      <w:tblPr>
        <w:tblBorders/>
      </w:tblPr>
      <w:tcPr>
        <w:shd w:val="clear" w:color="ffffff" w:themeColor="accent2" w:themeTint="75" w:fill="e1adac" w:themeFill="accent2" w:themeFillTint="75"/>
        <w:tcBorders/>
      </w:tcPr>
    </w:tblStylePr>
    <w:tblStylePr w:type="band1Vert">
      <w:pPr>
        <w:pBdr/>
        <w:spacing/>
        <w:ind/>
      </w:pPr>
      <w:tblPr>
        <w:tblBorders/>
      </w:tblPr>
      <w:tcPr>
        <w:shd w:val="clear" w:color="ffffff" w:themeColor="accent2" w:themeTint="75" w:fill="e1adac"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5 Dark - Accent 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cPr>
      <w:tcBorders/>
    </w:tcPr>
    <w:tblStylePr w:type="band1Horz">
      <w:pPr>
        <w:pBdr/>
        <w:spacing/>
        <w:ind/>
      </w:pPr>
      <w:tblPr>
        <w:tblBorders/>
      </w:tblPr>
      <w:tcPr>
        <w:shd w:val="clear" w:color="ffffff" w:themeColor="accent3" w:themeTint="75" w:fill="d1dfb2" w:themeFill="accent3" w:themeFillTint="75"/>
        <w:tcBorders/>
      </w:tcPr>
    </w:tblStylePr>
    <w:tblStylePr w:type="band1Vert">
      <w:pPr>
        <w:pBdr/>
        <w:spacing/>
        <w:ind/>
      </w:pPr>
      <w:tblPr>
        <w:tblBorders/>
      </w:tblPr>
      <w:tcPr>
        <w:shd w:val="clear" w:color="ffffff" w:themeColor="accent3" w:themeTint="75" w:fill="d1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5 Dark- Accent 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4b7d4" w:themeFill="accent4" w:themeFillTint="75"/>
        <w:tcBorders/>
      </w:tcPr>
    </w:tblStylePr>
    <w:tblStylePr w:type="band1Vert">
      <w:pPr>
        <w:pBdr/>
        <w:spacing/>
        <w:ind/>
      </w:pPr>
      <w:tblPr>
        <w:tblBorders/>
      </w:tblPr>
      <w:tcPr>
        <w:shd w:val="clear" w:color="ffffff"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5 Dark - Accent 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bd9e4" w:themeFill="accent5" w:themeFillTint="75"/>
        <w:tcBorders/>
      </w:tcPr>
    </w:tblStylePr>
    <w:tblStylePr w:type="band1Vert">
      <w:pPr>
        <w:pBdr/>
        <w:spacing/>
        <w:ind/>
      </w:pPr>
      <w:tblPr>
        <w:tblBorders/>
      </w:tblPr>
      <w:tcPr>
        <w:shd w:val="clear" w:color="ffffff" w:themeColor="accent5" w:themeTint="75" w:fill="abd9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5 Dark - Accent 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cPr>
      <w:tcBorders/>
    </w:tcPr>
    <w:tblStylePr w:type="band1Horz">
      <w:pPr>
        <w:pBdr/>
        <w:spacing/>
        <w:ind/>
      </w:pPr>
      <w:tblPr>
        <w:tblBorders/>
      </w:tblPr>
      <w:tcPr>
        <w:shd w:val="clear" w:color="ffffff" w:themeColor="accent6" w:themeTint="75" w:fill="fbcda8" w:themeFill="accent6" w:themeFillTint="75"/>
        <w:tcBorders/>
      </w:tcPr>
    </w:tblStylePr>
    <w:tblStylePr w:type="band1Vert">
      <w:pPr>
        <w:pBdr/>
        <w:spacing/>
        <w:ind/>
      </w:pPr>
      <w:tblPr>
        <w:tblBorders/>
      </w:tblPr>
      <w:tcPr>
        <w:shd w:val="clear" w:color="ffffff" w:themeColor="accent6" w:themeTint="75" w:fill="fbcd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6 Colorful"/>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55">
    <w:name w:val="Grid Table 6 Colorful - Accent 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70a3" w:themeColor="accent1" w:themeTint="80" w:themeShade="95"/>
      </w:rPr>
      <w:pPr>
        <w:pBdr/>
        <w:spacing/>
        <w:ind/>
      </w:pPr>
      <w:tblPr>
        <w:tblBorders/>
      </w:tblPr>
      <w:tcPr>
        <w:tcBorders/>
      </w:tcPr>
    </w:tblStylePr>
    <w:tblStylePr w:type="firstRow">
      <w:rPr>
        <w:b/>
        <w:color w:val="3e70a3" w:themeColor="accent1" w:themeTint="80" w:themeShade="95"/>
      </w:rPr>
      <w:pPr>
        <w:pBdr/>
        <w:spacing/>
        <w:ind/>
      </w:pPr>
      <w:tblPr>
        <w:tblBorders/>
      </w:tblPr>
      <w:tcPr>
        <w:tcBorders>
          <w:bottom w:val="single" w:color="000000" w:themeColor="accent1" w:themeTint="80" w:sz="12" w:space="0"/>
        </w:tcBorders>
      </w:tcPr>
    </w:tblStylePr>
    <w:tblStylePr w:type="lastCol">
      <w:rPr>
        <w:b/>
        <w:color w:val="3e70a3" w:themeColor="accent1" w:themeTint="80" w:themeShade="95"/>
      </w:rPr>
      <w:pPr>
        <w:pBdr/>
        <w:spacing/>
        <w:ind/>
      </w:pPr>
      <w:tblPr>
        <w:tblBorders/>
      </w:tblPr>
      <w:tcPr>
        <w:tcBorders/>
      </w:tcPr>
    </w:tblStylePr>
    <w:tblStylePr w:type="lastRow">
      <w:rPr>
        <w:b/>
        <w:color w:val="3e70a3"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56">
    <w:name w:val="Grid Table 6 Colorful - Accent 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12"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57">
    <w:name w:val="Grid Table 6 Colorful - Accent 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02f" w:themeColor="accent3" w:themeTint="FE" w:themeShade="95"/>
      </w:rPr>
      <w:pPr>
        <w:pBdr/>
        <w:spacing/>
        <w:ind/>
      </w:pPr>
      <w:tblPr>
        <w:tblBorders/>
      </w:tblPr>
      <w:tcPr>
        <w:tcBorders/>
      </w:tcPr>
    </w:tblStylePr>
    <w:tblStylePr w:type="firstRow">
      <w:rPr>
        <w:b/>
        <w:color w:val="5c70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02f" w:themeColor="accent3" w:themeTint="FE" w:themeShade="95"/>
      </w:rPr>
      <w:pPr>
        <w:pBdr/>
        <w:spacing/>
        <w:ind/>
      </w:pPr>
      <w:tblPr>
        <w:tblBorders/>
      </w:tblPr>
      <w:tcPr>
        <w:tcBorders/>
      </w:tcPr>
    </w:tblStylePr>
    <w:tblStylePr w:type="lastRow">
      <w:rPr>
        <w:b/>
        <w:color w:val="5c70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58">
    <w:name w:val="Grid Table 6 Colorful - Accent 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59">
    <w:name w:val="Grid Table 6 Colorful - Accent 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5"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60">
    <w:name w:val="Grid Table 6 Colorful - Accent 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6"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61">
    <w:name w:val="Grid Table 7 Colorful"/>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7 Colorful - Accent 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70a3"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3e70a3"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70a3"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7 Colorful - Accent 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7 Colorful - Accent 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02f"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5c70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0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7 Colorful - Accent 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7 Colorful - Accent 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777"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7"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7 Colorful - Accent 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05307" w:themeColor="accent6"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b053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05307"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1 Light"/>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1 Light - Accent 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1 Light - Accent 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1 Light - Accent 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1 Light - Accent 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1 Light - Accent 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1 Light - Accent 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2 - Accent 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2 - Accent 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2 - Accent 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2 - Accent 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2 - Accent 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2 - Accent 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3 - Accent 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3 - Accent 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3 - Accent 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3 - Accent 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3 - Accent 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1cd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3 - Accent 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9bf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4 - Accent 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4 - Accent 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4 - Accent 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4 - Accent 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4 - Accent 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4 - Accent 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5 Dark"/>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7">
    <w:name w:val="List Table 5 Dark - Accent 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8">
    <w:name w:val="List Table 5 Dark - Accent 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cPr>
      <w:tcBorders/>
    </w:tcPr>
    <w:tblStylePr w:type="band1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9">
    <w:name w:val="List Table 5 Dark - Accent 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cPr>
      <w:tcBorders/>
    </w:tcPr>
    <w:tblStylePr w:type="band1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0">
    <w:name w:val="List Table 5 Dark - Accent 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cPr>
      <w:tcBorders/>
    </w:tcPr>
    <w:tblStylePr w:type="band1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1">
    <w:name w:val="List Table 5 Dark - Accent 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cPr>
      <w:tcBorders/>
    </w:tcPr>
    <w:tblStylePr w:type="band1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2">
    <w:name w:val="List Table 5 Dark - Accent 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cPr>
      <w:tcBorders/>
    </w:tcPr>
    <w:tblStylePr w:type="band1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3">
    <w:name w:val="List Table 6 Colorful"/>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6 Colorful - Accent 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5"/>
      </w:rPr>
      <w:pPr>
        <w:pBdr/>
        <w:spacing/>
        <w:ind/>
      </w:pPr>
      <w:tblPr>
        <w:tblBorders/>
      </w:tblPr>
      <w:tcPr>
        <w:tcBorders/>
      </w:tcPr>
    </w:tblStylePr>
    <w:tblStylePr w:type="firstRow">
      <w:rPr>
        <w:b/>
        <w:color w:val="2a4b71" w:themeColor="accent1" w:themeShade="95"/>
      </w:rPr>
      <w:pPr>
        <w:pBdr/>
        <w:spacing/>
        <w:ind/>
      </w:pPr>
      <w:tblPr>
        <w:tblBorders/>
      </w:tblPr>
      <w:tcPr>
        <w:tcBorders>
          <w:bottom w:val="single" w:color="000000" w:themeColor="accent1" w:sz="4" w:space="0"/>
        </w:tcBorders>
      </w:tcPr>
    </w:tblStylePr>
    <w:tblStylePr w:type="lastCol">
      <w:rPr>
        <w:b/>
        <w:color w:val="2a4b71" w:themeColor="accent1" w:themeShade="95"/>
      </w:rPr>
      <w:pPr>
        <w:pBdr/>
        <w:spacing/>
        <w:ind/>
      </w:pPr>
      <w:tblPr>
        <w:tblBorders/>
      </w:tblPr>
      <w:tcPr>
        <w:tcBorders/>
      </w:tcPr>
    </w:tblStylePr>
    <w:tblStylePr w:type="lastRow">
      <w:rPr>
        <w:b/>
        <w:color w:val="2a4b71"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6 Colorful - Accent 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4"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6 Colorful - Accent 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83f" w:themeColor="accent3" w:themeTint="98" w:themeShade="95"/>
      </w:rPr>
      <w:pPr>
        <w:pBdr/>
        <w:spacing/>
        <w:ind/>
      </w:pPr>
      <w:tblPr>
        <w:tblBorders/>
      </w:tblPr>
      <w:tcPr>
        <w:tcBorders/>
      </w:tcPr>
    </w:tblStylePr>
    <w:tblStylePr w:type="firstRow">
      <w:rPr>
        <w:b/>
        <w:color w:val="7c98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83f" w:themeColor="accent3" w:themeTint="98" w:themeShade="95"/>
      </w:rPr>
      <w:pPr>
        <w:pBdr/>
        <w:spacing/>
        <w:ind/>
      </w:pPr>
      <w:tblPr>
        <w:tblBorders/>
      </w:tblPr>
      <w:tcPr>
        <w:tcBorders/>
      </w:tcPr>
    </w:tblStylePr>
    <w:tblStylePr w:type="lastRow">
      <w:rPr>
        <w:b/>
        <w:color w:val="7c98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6 Colorful - Accent 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6 Colorful - Accent 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aa0" w:themeColor="accent5" w:themeTint="9A" w:themeShade="95"/>
      </w:rPr>
      <w:pPr>
        <w:pBdr/>
        <w:spacing/>
        <w:ind/>
      </w:pPr>
      <w:tblPr>
        <w:tblBorders/>
      </w:tblPr>
      <w:tcPr>
        <w:tcBorders/>
      </w:tcPr>
    </w:tblStylePr>
    <w:tblStylePr w:type="firstRow">
      <w:rPr>
        <w:b/>
        <w:color w:val="338aa0" w:themeColor="accent5" w:themeTint="9A" w:themeShade="95"/>
      </w:rPr>
      <w:pPr>
        <w:pBdr/>
        <w:spacing/>
        <w:ind/>
      </w:pPr>
      <w:tblPr>
        <w:tblBorders/>
      </w:tblPr>
      <w:tcPr>
        <w:tcBorders>
          <w:bottom w:val="single" w:color="000000" w:themeColor="accent5" w:themeTint="9A" w:sz="4" w:space="0"/>
        </w:tcBorders>
      </w:tcPr>
    </w:tblStylePr>
    <w:tblStylePr w:type="lastCol">
      <w:rPr>
        <w:b/>
        <w:color w:val="338aa0" w:themeColor="accent5" w:themeTint="9A" w:themeShade="95"/>
      </w:rPr>
      <w:pPr>
        <w:pBdr/>
        <w:spacing/>
        <w:ind/>
      </w:pPr>
      <w:tblPr>
        <w:tblBorders/>
      </w:tblPr>
      <w:tcPr>
        <w:tcBorders/>
      </w:tcPr>
    </w:tblStylePr>
    <w:tblStylePr w:type="lastRow">
      <w:rPr>
        <w:b/>
        <w:color w:val="338a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6 Colorful - Accent 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680c" w:themeColor="accent6" w:themeTint="98" w:themeShade="95"/>
      </w:rPr>
      <w:pPr>
        <w:pBdr/>
        <w:spacing/>
        <w:ind/>
      </w:pPr>
      <w:tblPr>
        <w:tblBorders/>
      </w:tblPr>
      <w:tcPr>
        <w:tcBorders/>
      </w:tcPr>
    </w:tblStylePr>
    <w:tblStylePr w:type="firstRow">
      <w:rPr>
        <w:b/>
        <w:color w:val="d9680c" w:themeColor="accent6" w:themeTint="98" w:themeShade="95"/>
      </w:rPr>
      <w:pPr>
        <w:pBdr/>
        <w:spacing/>
        <w:ind/>
      </w:pPr>
      <w:tblPr>
        <w:tblBorders/>
      </w:tblPr>
      <w:tcPr>
        <w:tcBorders>
          <w:bottom w:val="single" w:color="000000" w:themeColor="accent6" w:themeTint="98" w:sz="4" w:space="0"/>
        </w:tcBorders>
      </w:tcPr>
    </w:tblStylePr>
    <w:tblStylePr w:type="lastCol">
      <w:rPr>
        <w:b/>
        <w:color w:val="d9680c" w:themeColor="accent6" w:themeTint="98" w:themeShade="95"/>
      </w:rPr>
      <w:pPr>
        <w:pBdr/>
        <w:spacing/>
        <w:ind/>
      </w:pPr>
      <w:tblPr>
        <w:tblBorders/>
      </w:tblPr>
      <w:tcPr>
        <w:tcBorders/>
      </w:tcPr>
    </w:tblStylePr>
    <w:tblStylePr w:type="lastRow">
      <w:rPr>
        <w:b/>
        <w:color w:val="d9680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7 Colorful"/>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11">
    <w:name w:val="List Table 7 Colorful - Accent 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a4b71"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b71"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a4b71" w:themeColor="accent1" w:themeShade="95"/>
        <w:sz w:val="22"/>
      </w:rPr>
      <w:pPr>
        <w:pBdr/>
        <w:spacing/>
        <w:ind/>
      </w:pPr>
      <w:tblPr>
        <w:tblBorders/>
      </w:tblPr>
      <w:tcPr>
        <w:tcBorders/>
      </w:tcPr>
    </w:tblStylePr>
  </w:style>
  <w:style w:type="table" w:styleId="812">
    <w:name w:val="List Table 7 Colorful - Accent 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c3a37" w:themeColor="accent2" w:themeTint="97" w:themeShade="95"/>
        <w:sz w:val="22"/>
      </w:rPr>
      <w:pPr>
        <w:pBdr/>
        <w:spacing/>
        <w:ind/>
      </w:pPr>
      <w:tblPr>
        <w:tblBorders/>
      </w:tblPr>
      <w:tcPr>
        <w:tcBorders/>
      </w:tcPr>
    </w:tblStylePr>
  </w:style>
  <w:style w:type="table" w:styleId="813">
    <w:name w:val="List Table 7 Colorful - Accent 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8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8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8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83f" w:themeColor="accent3" w:themeTint="98" w:themeShade="95"/>
        <w:sz w:val="22"/>
      </w:rPr>
      <w:pPr>
        <w:pBdr/>
        <w:spacing/>
        <w:ind/>
      </w:pPr>
      <w:tblPr>
        <w:tblBorders/>
      </w:tblPr>
      <w:tcPr>
        <w:tcBorders/>
      </w:tcPr>
    </w:tblStylePr>
  </w:style>
  <w:style w:type="table" w:styleId="814">
    <w:name w:val="List Table 7 Colorful - Accent 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2" w:themeColor="accent4" w:themeTint="9A" w:themeShade="95"/>
        <w:sz w:val="22"/>
      </w:rPr>
      <w:pPr>
        <w:pBdr/>
        <w:spacing/>
        <w:ind/>
      </w:pPr>
      <w:tblPr>
        <w:tblBorders/>
      </w:tblPr>
      <w:tcPr>
        <w:tcBorders/>
      </w:tcPr>
    </w:tblStylePr>
  </w:style>
  <w:style w:type="table" w:styleId="815">
    <w:name w:val="List Table 7 Colorful - Accent 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aa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338a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aa0"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aa0" w:themeColor="accent5" w:themeTint="9A" w:themeShade="95"/>
        <w:sz w:val="22"/>
      </w:rPr>
      <w:pPr>
        <w:pBdr/>
        <w:spacing/>
        <w:ind/>
      </w:pPr>
      <w:tblPr>
        <w:tblBorders/>
      </w:tblPr>
      <w:tcPr>
        <w:tcBorders/>
      </w:tcPr>
    </w:tblStylePr>
  </w:style>
  <w:style w:type="table" w:styleId="816">
    <w:name w:val="List Table 7 Colorful - Accent 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9680c"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d9680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680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9680c" w:themeColor="accent6" w:themeTint="98" w:themeShade="95"/>
        <w:sz w:val="22"/>
      </w:rPr>
      <w:pPr>
        <w:pBdr/>
        <w:spacing/>
        <w:ind/>
      </w:pPr>
      <w:tblPr>
        <w:tblBorders/>
      </w:tblPr>
      <w:tcPr>
        <w:tcBorders/>
      </w:tcPr>
    </w:tblStylePr>
  </w:style>
  <w:style w:type="table" w:styleId="817">
    <w:name w:val="Lined - Accent"/>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ned - Accent 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ned - Accent 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ned - Accent 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Lined - Accent 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Lined - Accent 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Lined - Accent 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amp; Lined - Accent"/>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amp; Lined - Accent 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amp; Lined - Accent 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Bordered &amp; Lined - Accent 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Bordered &amp; Lined - Accent 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Bordered &amp; Lined - Accent 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Bordered &amp; Lined - Accent 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Bordered"/>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Bordered - Accent 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Bordered - Accent 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Bordered - Accent 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Bordered - Accent 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Bordered - Accent 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Bordered - Accent 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38">
    <w:name w:val="Hyperlink"/>
    <w:uiPriority w:val="99"/>
    <w:unhideWhenUsed/>
    <w:pPr>
      <w:pBdr/>
      <w:spacing/>
      <w:ind/>
    </w:pPr>
    <w:rPr>
      <w:color w:val="0000ff" w:themeColor="hyperlink"/>
      <w:u w:val="single"/>
    </w:rPr>
  </w:style>
  <w:style w:type="paragraph" w:styleId="839">
    <w:name w:val="footnote text"/>
    <w:basedOn w:val="856"/>
    <w:link w:val="840"/>
    <w:uiPriority w:val="99"/>
    <w:semiHidden/>
    <w:unhideWhenUsed/>
    <w:pPr>
      <w:pBdr/>
      <w:spacing w:after="40" w:line="240" w:lineRule="auto"/>
      <w:ind/>
    </w:pPr>
    <w:rPr>
      <w:sz w:val="18"/>
    </w:rPr>
  </w:style>
  <w:style w:type="character" w:styleId="840">
    <w:name w:val="Footnote Text Char"/>
    <w:link w:val="839"/>
    <w:uiPriority w:val="99"/>
    <w:pPr>
      <w:pBdr/>
      <w:spacing/>
      <w:ind/>
    </w:pPr>
    <w:rPr>
      <w:sz w:val="18"/>
    </w:rPr>
  </w:style>
  <w:style w:type="character" w:styleId="841">
    <w:name w:val="footnote reference"/>
    <w:uiPriority w:val="99"/>
    <w:unhideWhenUsed/>
    <w:pPr>
      <w:pBdr/>
      <w:spacing/>
      <w:ind/>
    </w:pPr>
    <w:rPr>
      <w:vertAlign w:val="superscript"/>
    </w:rPr>
  </w:style>
  <w:style w:type="paragraph" w:styleId="842">
    <w:name w:val="endnote text"/>
    <w:basedOn w:val="856"/>
    <w:link w:val="843"/>
    <w:uiPriority w:val="99"/>
    <w:semiHidden/>
    <w:unhideWhenUsed/>
    <w:pPr>
      <w:pBdr/>
      <w:spacing w:after="0" w:line="240" w:lineRule="auto"/>
      <w:ind/>
    </w:pPr>
    <w:rPr>
      <w:sz w:val="20"/>
    </w:rPr>
  </w:style>
  <w:style w:type="character" w:styleId="843">
    <w:name w:val="Endnote Text Char"/>
    <w:link w:val="842"/>
    <w:uiPriority w:val="99"/>
    <w:pPr>
      <w:pBdr/>
      <w:spacing/>
      <w:ind/>
    </w:pPr>
    <w:rPr>
      <w:sz w:val="20"/>
    </w:rPr>
  </w:style>
  <w:style w:type="character" w:styleId="844">
    <w:name w:val="endnote reference"/>
    <w:uiPriority w:val="99"/>
    <w:semiHidden/>
    <w:unhideWhenUsed/>
    <w:pPr>
      <w:pBdr/>
      <w:spacing/>
      <w:ind/>
    </w:pPr>
    <w:rPr>
      <w:vertAlign w:val="superscript"/>
    </w:rPr>
  </w:style>
  <w:style w:type="paragraph" w:styleId="845">
    <w:name w:val="toc 1"/>
    <w:basedOn w:val="856"/>
    <w:next w:val="856"/>
    <w:uiPriority w:val="39"/>
    <w:unhideWhenUsed/>
    <w:pPr>
      <w:pBdr/>
      <w:spacing w:after="57"/>
      <w:ind w:right="0" w:firstLine="0" w:left="0"/>
    </w:pPr>
  </w:style>
  <w:style w:type="paragraph" w:styleId="846">
    <w:name w:val="toc 2"/>
    <w:basedOn w:val="856"/>
    <w:next w:val="856"/>
    <w:uiPriority w:val="39"/>
    <w:unhideWhenUsed/>
    <w:pPr>
      <w:pBdr/>
      <w:spacing w:after="57"/>
      <w:ind w:right="0" w:firstLine="0" w:left="283"/>
    </w:pPr>
  </w:style>
  <w:style w:type="paragraph" w:styleId="847">
    <w:name w:val="toc 3"/>
    <w:basedOn w:val="856"/>
    <w:next w:val="856"/>
    <w:uiPriority w:val="39"/>
    <w:unhideWhenUsed/>
    <w:pPr>
      <w:pBdr/>
      <w:spacing w:after="57"/>
      <w:ind w:right="0" w:firstLine="0" w:left="567"/>
    </w:pPr>
  </w:style>
  <w:style w:type="paragraph" w:styleId="848">
    <w:name w:val="toc 4"/>
    <w:basedOn w:val="856"/>
    <w:next w:val="856"/>
    <w:uiPriority w:val="39"/>
    <w:unhideWhenUsed/>
    <w:pPr>
      <w:pBdr/>
      <w:spacing w:after="57"/>
      <w:ind w:right="0" w:firstLine="0" w:left="850"/>
    </w:pPr>
  </w:style>
  <w:style w:type="paragraph" w:styleId="849">
    <w:name w:val="toc 5"/>
    <w:basedOn w:val="856"/>
    <w:next w:val="856"/>
    <w:uiPriority w:val="39"/>
    <w:unhideWhenUsed/>
    <w:pPr>
      <w:pBdr/>
      <w:spacing w:after="57"/>
      <w:ind w:right="0" w:firstLine="0" w:left="1134"/>
    </w:pPr>
  </w:style>
  <w:style w:type="paragraph" w:styleId="850">
    <w:name w:val="toc 6"/>
    <w:basedOn w:val="856"/>
    <w:next w:val="856"/>
    <w:uiPriority w:val="39"/>
    <w:unhideWhenUsed/>
    <w:pPr>
      <w:pBdr/>
      <w:spacing w:after="57"/>
      <w:ind w:right="0" w:firstLine="0" w:left="1417"/>
    </w:pPr>
  </w:style>
  <w:style w:type="paragraph" w:styleId="851">
    <w:name w:val="toc 7"/>
    <w:basedOn w:val="856"/>
    <w:next w:val="856"/>
    <w:uiPriority w:val="39"/>
    <w:unhideWhenUsed/>
    <w:pPr>
      <w:pBdr/>
      <w:spacing w:after="57"/>
      <w:ind w:right="0" w:firstLine="0" w:left="1701"/>
    </w:pPr>
  </w:style>
  <w:style w:type="paragraph" w:styleId="852">
    <w:name w:val="toc 8"/>
    <w:basedOn w:val="856"/>
    <w:next w:val="856"/>
    <w:uiPriority w:val="39"/>
    <w:unhideWhenUsed/>
    <w:pPr>
      <w:pBdr/>
      <w:spacing w:after="57"/>
      <w:ind w:right="0" w:firstLine="0" w:left="1984"/>
    </w:pPr>
  </w:style>
  <w:style w:type="paragraph" w:styleId="853">
    <w:name w:val="toc 9"/>
    <w:basedOn w:val="856"/>
    <w:next w:val="856"/>
    <w:uiPriority w:val="39"/>
    <w:unhideWhenUsed/>
    <w:pPr>
      <w:pBdr/>
      <w:spacing w:after="57"/>
      <w:ind w:right="0" w:firstLine="0" w:left="2268"/>
    </w:pPr>
  </w:style>
  <w:style w:type="paragraph" w:styleId="854">
    <w:name w:val="TOC Heading"/>
    <w:uiPriority w:val="39"/>
    <w:unhideWhenUsed/>
    <w:pPr>
      <w:pBdr/>
      <w:spacing/>
      <w:ind/>
    </w:pPr>
  </w:style>
  <w:style w:type="paragraph" w:styleId="855">
    <w:name w:val="table of figures"/>
    <w:basedOn w:val="856"/>
    <w:next w:val="856"/>
    <w:uiPriority w:val="99"/>
    <w:unhideWhenUsed/>
    <w:pPr>
      <w:pBdr/>
      <w:spacing w:after="0" w:afterAutospacing="0"/>
      <w:ind/>
    </w:pPr>
  </w:style>
  <w:style w:type="paragraph" w:styleId="856" w:default="1">
    <w:name w:val="Normal"/>
    <w:next w:val="856"/>
    <w:link w:val="856"/>
    <w:qFormat/>
    <w:pPr>
      <w:widowControl w:val="false"/>
      <w:pBdr/>
      <w:spacing/>
      <w:ind/>
      <w:jc w:val="both"/>
    </w:pPr>
    <w:rPr>
      <w:sz w:val="21"/>
      <w:lang w:val="en-US" w:eastAsia="zh-CN" w:bidi="ar-SA"/>
    </w:rPr>
  </w:style>
  <w:style w:type="character" w:styleId="857">
    <w:name w:val="默认段落字体"/>
    <w:next w:val="857"/>
    <w:link w:val="856"/>
    <w:pPr>
      <w:pBdr/>
      <w:spacing/>
      <w:ind/>
    </w:pPr>
  </w:style>
  <w:style w:type="table" w:styleId="858">
    <w:name w:val="普通表格"/>
    <w:next w:val="858"/>
    <w:link w:val="856"/>
    <w:uiPriority w:val="99"/>
    <w:semiHidden/>
    <w:unhideWhenUsed/>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59">
    <w:name w:val="无列表"/>
    <w:next w:val="859"/>
    <w:link w:val="856"/>
    <w:uiPriority w:val="99"/>
    <w:semiHidden/>
    <w:unhideWhenUsed/>
    <w:pPr>
      <w:pBdr/>
      <w:spacing/>
      <w:ind/>
    </w:pPr>
  </w:style>
  <w:style w:type="character" w:styleId="860">
    <w:name w:val="要点"/>
    <w:next w:val="860"/>
    <w:link w:val="856"/>
    <w:qFormat/>
    <w:pPr>
      <w:pBdr/>
      <w:spacing/>
      <w:ind/>
    </w:pPr>
    <w:rPr>
      <w:b/>
      <w:bCs/>
    </w:rPr>
  </w:style>
  <w:style w:type="character" w:styleId="861">
    <w:name w:val="apple-converted-space"/>
    <w:basedOn w:val="857"/>
    <w:next w:val="861"/>
    <w:link w:val="856"/>
    <w:pPr>
      <w:pBdr/>
      <w:spacing/>
      <w:ind/>
    </w:pPr>
  </w:style>
  <w:style w:type="paragraph" w:styleId="862">
    <w:name w:val="批注主题"/>
    <w:basedOn w:val="863"/>
    <w:next w:val="863"/>
    <w:link w:val="856"/>
    <w:pPr>
      <w:pBdr/>
      <w:spacing/>
      <w:ind/>
    </w:pPr>
    <w:rPr>
      <w:b/>
    </w:rPr>
  </w:style>
  <w:style w:type="paragraph" w:styleId="863">
    <w:name w:val="批注文字"/>
    <w:basedOn w:val="856"/>
    <w:next w:val="863"/>
    <w:link w:val="856"/>
    <w:pPr>
      <w:pBdr/>
      <w:spacing/>
      <w:ind/>
      <w:jc w:val="left"/>
    </w:pPr>
  </w:style>
  <w:style w:type="paragraph" w:styleId="864">
    <w:name w:val="纯文本"/>
    <w:basedOn w:val="856"/>
    <w:next w:val="864"/>
    <w:link w:val="856"/>
    <w:pPr>
      <w:pBdr/>
      <w:spacing/>
      <w:ind/>
    </w:pPr>
    <w:rPr>
      <w:rFonts w:eastAsia="仿宋_GB2312"/>
      <w:sz w:val="30"/>
      <w:szCs w:val="32"/>
    </w:rPr>
  </w:style>
  <w:style w:type="paragraph" w:styleId="865">
    <w:name w:val="普通(网站)"/>
    <w:basedOn w:val="856"/>
    <w:next w:val="865"/>
    <w:link w:val="856"/>
    <w:pPr>
      <w:widowControl w:val="true"/>
      <w:pBdr/>
      <w:spacing w:after="100" w:afterAutospacing="1" w:before="100" w:beforeAutospacing="1"/>
      <w:ind/>
      <w:jc w:val="left"/>
    </w:pPr>
    <w:rPr>
      <w:rFonts w:ascii="宋体" w:cs="宋体"/>
      <w:sz w:val="24"/>
      <w:szCs w:val="24"/>
      <w:lang w:bidi="ar-SA"/>
    </w:rPr>
  </w:style>
  <w:style w:type="paragraph" w:styleId="866">
    <w:name w:val="副标题"/>
    <w:basedOn w:val="856"/>
    <w:next w:val="866"/>
    <w:link w:val="856"/>
    <w:qFormat/>
    <w:pPr>
      <w:widowControl w:val="true"/>
      <w:pBdr/>
      <w:spacing w:after="100" w:afterAutospacing="1" w:before="100" w:beforeAutospacing="1"/>
      <w:ind/>
      <w:jc w:val="left"/>
    </w:pPr>
    <w:rPr>
      <w:rFonts w:ascii="宋体" w:cs="宋体"/>
      <w:sz w:val="24"/>
      <w:szCs w:val="24"/>
      <w:lang w:bidi="ar-SA"/>
    </w:rPr>
  </w:style>
  <w:style w:type="paragraph" w:styleId="867">
    <w:name w:val="批注框文本"/>
    <w:basedOn w:val="856"/>
    <w:next w:val="867"/>
    <w:link w:val="856"/>
    <w:pPr>
      <w:pBdr/>
      <w:spacing/>
      <w:ind/>
    </w:pPr>
    <w:rPr>
      <w:sz w:val="18"/>
      <w:szCs w:val="18"/>
    </w:rPr>
  </w:style>
  <w:style w:type="paragraph" w:styleId="868">
    <w:name w:val="页眉"/>
    <w:basedOn w:val="856"/>
    <w:next w:val="868"/>
    <w:link w:val="856"/>
    <w:pPr>
      <w:pBdr>
        <w:bottom w:val="single" w:color="000000" w:sz="6" w:space="1"/>
      </w:pBdr>
      <w:tabs>
        <w:tab w:val="center" w:leader="none" w:pos="4153"/>
        <w:tab w:val="right" w:leader="none" w:pos="8307"/>
      </w:tabs>
      <w:spacing/>
      <w:ind/>
      <w:jc w:val="center"/>
    </w:pPr>
    <w:rPr>
      <w:sz w:val="18"/>
    </w:rPr>
  </w:style>
  <w:style w:type="paragraph" w:styleId="869">
    <w:name w:val="页脚"/>
    <w:basedOn w:val="856"/>
    <w:next w:val="869"/>
    <w:link w:val="856"/>
    <w:pPr>
      <w:pBdr/>
      <w:tabs>
        <w:tab w:val="center" w:leader="none" w:pos="4153"/>
        <w:tab w:val="right" w:leader="none" w:pos="8307"/>
      </w:tabs>
      <w:spacing/>
      <w:ind/>
      <w:jc w:val="left"/>
    </w:pPr>
    <w:rPr>
      <w:sz w:val="18"/>
    </w:rPr>
  </w:style>
  <w:style w:type="paragraph" w:styleId="870">
    <w:name w:val="列出段落"/>
    <w:basedOn w:val="856"/>
    <w:next w:val="870"/>
    <w:link w:val="856"/>
    <w:qFormat/>
    <w:pPr>
      <w:pBdr/>
      <w:spacing/>
      <w:ind w:firstLine="200"/>
    </w:pPr>
  </w:style>
  <w:style w:type="character" w:styleId="871">
    <w:name w:val="超链接"/>
    <w:next w:val="871"/>
    <w:link w:val="856"/>
    <w:pPr>
      <w:pBdr/>
      <w:spacing/>
      <w:ind/>
    </w:pPr>
    <w:rPr>
      <w:color w:val="0000ff"/>
      <w:u w:val="single"/>
    </w:rPr>
  </w:style>
  <w:style w:type="character" w:styleId="872" w:default="1">
    <w:name w:val="Default Paragraph Font"/>
    <w:uiPriority w:val="1"/>
    <w:semiHidden/>
    <w:unhideWhenUsed/>
    <w:pPr>
      <w:pBdr/>
      <w:spacing/>
      <w:ind/>
    </w:pPr>
  </w:style>
  <w:style w:type="numbering" w:styleId="873" w:default="1">
    <w:name w:val="No List"/>
    <w:uiPriority w:val="99"/>
    <w:semiHidden/>
    <w:unhideWhenUsed/>
    <w:pPr>
      <w:pBdr/>
      <w:spacing/>
      <w:ind/>
    </w:pPr>
  </w:style>
  <w:style w:type="table" w:styleId="874" w:default="1">
    <w:name w:val="Normal Table"/>
    <w:uiPriority w:val="99"/>
    <w:semiHidden/>
    <w:unhideWhenUsed/>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Relationship Id="rId10" Type="http://schemas.openxmlformats.org/officeDocument/2006/relationships/package" Target="embeddings/oleObject1.docx"/><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package" Target="embeddings/oleObject2.docx"/></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ONLYOFFICE/7.5.1.23</Application>
  <Company>Microsoft</Company>
  <DocSecurity>0</DocSecurity>
  <HyperlinksChanged>false</HyperlinksChanged>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匿名</cp:lastModifiedBy>
  <cp:revision>320</cp:revision>
  <dcterms:created xsi:type="dcterms:W3CDTF">2018-11-05T00:53:00Z</dcterms:created>
  <dcterms:modified xsi:type="dcterms:W3CDTF">2025-03-28T02:49:34Z</dcterms:modified>
  <cp:version>786432</cp:version>
</cp:coreProperties>
</file>