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Bdr/>
        <w:spacing w:line="600" w:lineRule="exact"/>
        <w:ind/>
        <w:jc w:val="center"/>
        <w:rPr>
          <w:rFonts w:ascii="楷体" w:hAnsi="楷体" w:eastAsia="楷体"/>
          <w:bCs/>
          <w:szCs w:val="32"/>
        </w:rPr>
      </w:pPr>
      <w:r>
        <w:rPr>
          <w:rFonts w:ascii="楷体" w:hAnsi="楷体" w:eastAsia="楷体"/>
          <w:bCs/>
          <w:szCs w:val="32"/>
        </w:rPr>
      </w:r>
      <w:r>
        <w:rPr>
          <w:rFonts w:ascii="楷体" w:hAnsi="楷体" w:eastAsia="楷体"/>
          <w:bCs/>
          <w:szCs w:val="32"/>
        </w:rPr>
      </w:r>
    </w:p>
    <w:p>
      <w:pPr>
        <w:pBdr/>
        <w:spacing w:line="600" w:lineRule="exact"/>
        <w:ind/>
        <w:jc w:val="center"/>
        <w:rPr>
          <w:rFonts w:ascii="楷体" w:hAnsi="楷体" w:eastAsia="楷体" w:cs="宋体"/>
          <w:b/>
          <w:bCs/>
          <w:sz w:val="42"/>
          <w:szCs w:val="42"/>
        </w:rPr>
      </w:pPr>
      <w:r>
        <w:rPr>
          <w:rFonts w:hint="eastAsia" w:ascii="楷体" w:hAnsi="楷体" w:eastAsia="楷体" w:cs="Arial"/>
          <w:b/>
          <w:bCs/>
          <w:sz w:val="42"/>
          <w:szCs w:val="42"/>
        </w:rPr>
        <w:t xml:space="preserve">随州市审计局</w:t>
      </w:r>
      <w:r>
        <w:rPr>
          <w:rFonts w:ascii="楷体" w:hAnsi="楷体" w:eastAsia="楷体" w:cs="宋体"/>
          <w:b/>
          <w:bCs/>
          <w:sz w:val="42"/>
          <w:szCs w:val="42"/>
        </w:rPr>
      </w:r>
    </w:p>
    <w:p>
      <w:pPr>
        <w:pBdr/>
        <w:spacing w:line="600" w:lineRule="exact"/>
        <w:ind/>
        <w:jc w:val="center"/>
        <w:rPr>
          <w:rFonts w:ascii="楷体" w:hAnsi="楷体" w:eastAsia="楷体" w:cs="宋体"/>
          <w:b/>
          <w:bCs/>
          <w:sz w:val="42"/>
          <w:szCs w:val="42"/>
        </w:rPr>
      </w:pPr>
      <w:r>
        <w:rPr>
          <w:rFonts w:ascii="楷体" w:hAnsi="楷体" w:eastAsia="楷体" w:cs="Arial"/>
          <w:b/>
          <w:bCs/>
          <w:sz w:val="42"/>
          <w:szCs w:val="42"/>
        </w:rPr>
        <w:t xml:space="preserve">2017</w:t>
      </w:r>
      <w:r>
        <w:rPr>
          <w:rFonts w:hint="eastAsia" w:ascii="楷体" w:hAnsi="楷体" w:eastAsia="楷体" w:cs="宋体"/>
          <w:b/>
          <w:bCs/>
          <w:sz w:val="42"/>
          <w:szCs w:val="42"/>
        </w:rPr>
        <w:t xml:space="preserve">年度整体支出绩效自评报告</w:t>
      </w:r>
      <w:r>
        <w:rPr>
          <w:rFonts w:ascii="楷体" w:hAnsi="楷体" w:eastAsia="楷体" w:cs="宋体"/>
          <w:b/>
          <w:bCs/>
          <w:sz w:val="42"/>
          <w:szCs w:val="42"/>
        </w:rPr>
      </w:r>
    </w:p>
    <w:p>
      <w:pPr>
        <w:pBdr/>
        <w:spacing w:line="600" w:lineRule="exact"/>
        <w:ind/>
        <w:rPr>
          <w:rFonts w:ascii="楷体" w:hAnsi="楷体" w:eastAsia="楷体" w:cs="宋体"/>
          <w:sz w:val="42"/>
          <w:szCs w:val="42"/>
        </w:rPr>
      </w:pPr>
      <w:r>
        <w:rPr>
          <w:rFonts w:ascii="楷体" w:hAnsi="楷体" w:eastAsia="楷体" w:cs="宋体"/>
          <w:sz w:val="42"/>
          <w:szCs w:val="42"/>
        </w:rPr>
      </w:r>
      <w:r>
        <w:rPr>
          <w:rFonts w:ascii="楷体" w:hAnsi="楷体" w:eastAsia="楷体" w:cs="宋体"/>
          <w:sz w:val="42"/>
          <w:szCs w:val="42"/>
        </w:rPr>
      </w:r>
    </w:p>
    <w:p>
      <w:pPr>
        <w:pBdr/>
        <w:spacing/>
        <w:ind w:firstLine="632"/>
        <w:rPr>
          <w:rFonts w:ascii="楷体" w:hAnsi="楷体" w:eastAsia="楷体"/>
          <w:szCs w:val="32"/>
        </w:rPr>
      </w:pPr>
      <w:r>
        <w:rPr>
          <w:rFonts w:ascii="楷体" w:hAnsi="楷体" w:eastAsia="楷体"/>
          <w:spacing w:val="-2"/>
          <w:szCs w:val="32"/>
        </w:rPr>
        <w:t xml:space="preserve">根据《省财政厅关于2018年开展财政支出绩效评价工作的通知》（鄂</w:t>
      </w:r>
      <w:r>
        <w:rPr>
          <w:rFonts w:ascii="楷体" w:hAnsi="楷体" w:eastAsia="楷体"/>
          <w:spacing w:val="-2"/>
          <w:szCs w:val="32"/>
        </w:rPr>
        <w:t xml:space="preserve">财绩发</w:t>
      </w:r>
      <w:r>
        <w:rPr>
          <w:rFonts w:hint="eastAsia" w:ascii="楷体" w:hAnsi="楷体" w:eastAsia="楷体"/>
          <w:spacing w:val="-2"/>
          <w:szCs w:val="32"/>
        </w:rPr>
        <w:t xml:space="preserve">〔2018〕</w:t>
      </w:r>
      <w:r>
        <w:rPr>
          <w:rFonts w:ascii="楷体" w:hAnsi="楷体" w:eastAsia="楷体"/>
          <w:spacing w:val="-2"/>
          <w:szCs w:val="32"/>
        </w:rPr>
        <w:t xml:space="preserve">5号）</w:t>
      </w:r>
      <w:r>
        <w:rPr>
          <w:rFonts w:hint="eastAsia" w:ascii="楷体" w:hAnsi="楷体" w:eastAsia="楷体"/>
          <w:spacing w:val="-2"/>
          <w:szCs w:val="32"/>
        </w:rPr>
        <w:t xml:space="preserve">、</w:t>
      </w:r>
      <w:bookmarkStart w:id="0" w:name="_GoBack"/>
      <w:r/>
      <w:bookmarkEnd w:id="0"/>
      <w:r>
        <w:rPr>
          <w:rFonts w:hint="eastAsia" w:ascii="楷体" w:hAnsi="楷体" w:eastAsia="楷体"/>
          <w:spacing w:val="-2"/>
          <w:szCs w:val="32"/>
        </w:rPr>
        <w:t xml:space="preserve">《市财政局关于2018年开展财政支出绩效评价工作的通知》（</w:t>
      </w:r>
      <w:r>
        <w:rPr>
          <w:rFonts w:hint="eastAsia" w:ascii="楷体" w:hAnsi="楷体" w:eastAsia="楷体"/>
          <w:spacing w:val="-2"/>
          <w:szCs w:val="32"/>
        </w:rPr>
        <w:t xml:space="preserve">随财发</w:t>
      </w:r>
      <w:r>
        <w:rPr>
          <w:rFonts w:hint="eastAsia" w:ascii="楷体" w:hAnsi="楷体" w:eastAsia="楷体"/>
          <w:spacing w:val="-2"/>
          <w:szCs w:val="32"/>
        </w:rPr>
        <w:t xml:space="preserve">[2018]16号）文件</w:t>
      </w:r>
      <w:r>
        <w:rPr>
          <w:rFonts w:ascii="楷体" w:hAnsi="楷体" w:eastAsia="楷体"/>
          <w:spacing w:val="2"/>
          <w:szCs w:val="32"/>
        </w:rPr>
        <w:t xml:space="preserve">要求以及年度工作安排，</w:t>
      </w:r>
      <w:r>
        <w:rPr>
          <w:rFonts w:hint="eastAsia" w:ascii="楷体" w:hAnsi="楷体" w:eastAsia="楷体"/>
          <w:spacing w:val="2"/>
          <w:szCs w:val="32"/>
        </w:rPr>
        <w:t xml:space="preserve">遵循的客观、公平、公正原则，完成了我局2017年整体支出绩效自评工作，并形成绩效自评报告：</w:t>
      </w:r>
      <w:r>
        <w:rPr>
          <w:rFonts w:ascii="楷体" w:hAnsi="楷体" w:eastAsia="楷体"/>
          <w:spacing w:val="2"/>
          <w:szCs w:val="32"/>
        </w:rPr>
        <w:t xml:space="preserve"> </w:t>
      </w:r>
      <w:r>
        <w:rPr>
          <w:rFonts w:ascii="楷体" w:hAnsi="楷体" w:eastAsia="楷体"/>
          <w:szCs w:val="32"/>
        </w:rPr>
      </w:r>
    </w:p>
    <w:p>
      <w:pPr>
        <w:pBdr/>
        <w:spacing/>
        <w:ind w:firstLine="636"/>
        <w:rPr>
          <w:rFonts w:ascii="楷体" w:hAnsi="楷体" w:eastAsia="楷体" w:cs="黑体"/>
          <w:b/>
          <w:bCs/>
          <w:szCs w:val="32"/>
        </w:rPr>
      </w:pPr>
      <w:r>
        <w:rPr>
          <w:rFonts w:ascii="楷体" w:hAnsi="楷体" w:eastAsia="楷体" w:cs="黑体"/>
          <w:b/>
          <w:bCs/>
          <w:szCs w:val="32"/>
        </w:rPr>
      </w:r>
      <w:r>
        <w:rPr>
          <w:rFonts w:ascii="楷体" w:hAnsi="楷体" w:eastAsia="楷体" w:cs="黑体"/>
          <w:b/>
          <w:bCs/>
          <w:szCs w:val="32"/>
        </w:rPr>
      </w:r>
    </w:p>
    <w:p>
      <w:pPr>
        <w:pBdr/>
        <w:spacing/>
        <w:ind w:firstLine="636"/>
        <w:rPr>
          <w:rFonts w:ascii="楷体" w:hAnsi="楷体" w:eastAsia="楷体"/>
          <w:b/>
          <w:szCs w:val="32"/>
        </w:rPr>
      </w:pPr>
      <w:r>
        <w:rPr>
          <w:rFonts w:hint="eastAsia" w:ascii="楷体" w:hAnsi="楷体" w:eastAsia="楷体" w:cs="黑体"/>
          <w:b/>
          <w:bCs/>
          <w:szCs w:val="32"/>
        </w:rPr>
        <w:t xml:space="preserve">一、基本情况</w:t>
      </w:r>
      <w:r>
        <w:rPr>
          <w:rFonts w:ascii="楷体" w:hAnsi="楷体" w:eastAsia="楷体"/>
          <w:b/>
          <w:szCs w:val="32"/>
        </w:rPr>
      </w:r>
    </w:p>
    <w:p>
      <w:pPr>
        <w:pBdr/>
        <w:spacing/>
        <w:ind w:firstLine="643"/>
        <w:rPr>
          <w:rFonts w:ascii="楷体" w:hAnsi="楷体" w:eastAsia="楷体"/>
          <w:b/>
          <w:szCs w:val="32"/>
        </w:rPr>
      </w:pPr>
      <w:r>
        <w:rPr>
          <w:rFonts w:hint="eastAsia" w:ascii="楷体" w:hAnsi="楷体" w:eastAsia="楷体"/>
          <w:b/>
          <w:szCs w:val="32"/>
        </w:rPr>
        <w:t xml:space="preserve">（一）单位机构、人员及工作职责情况</w:t>
      </w:r>
      <w:r>
        <w:rPr>
          <w:rFonts w:ascii="楷体" w:hAnsi="楷体" w:eastAsia="楷体"/>
          <w:b/>
          <w:szCs w:val="32"/>
        </w:rPr>
      </w:r>
    </w:p>
    <w:p>
      <w:pPr>
        <w:pBdr/>
        <w:spacing w:line="360" w:lineRule="auto"/>
        <w:ind w:firstLine="640"/>
        <w:rPr>
          <w:rFonts w:ascii="楷体" w:hAnsi="楷体" w:eastAsia="楷体"/>
          <w:szCs w:val="32"/>
        </w:rPr>
      </w:pPr>
      <w:r>
        <w:rPr>
          <w:rFonts w:hint="eastAsia" w:ascii="楷体" w:hAnsi="楷体" w:eastAsia="楷体"/>
          <w:szCs w:val="32"/>
        </w:rPr>
        <w:t xml:space="preserve">我局属全额拨款行政单位，独立编制机构数1个，独立核算机构数1个。截至2017年12月31日，人员编制41人，其中：行政编制34人、事业编制3人、工勤编制（以钱养事）4人；实有人数35人（行政人员31人、以钱养事4人），退休9人。</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主要工作职责：</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一是负责对市级财政收支和法律法规规定属于审计监督范围的财务收支真实、合法和效益进行审计监督，对审计、专项审计调查和核查社会审计机构相关审计报告的结果承担责任，并负责督促被审计单位整改的责任；</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二是向市长提交年度市级预算执行和其他财政收支情况的审计结果报告。受市政府委托向市人大常委会提出市级预算执行和其他财政</w:t>
      </w:r>
      <w:r>
        <w:rPr>
          <w:rFonts w:hint="eastAsia" w:ascii="楷体" w:hAnsi="楷体" w:eastAsia="楷体"/>
          <w:szCs w:val="32"/>
        </w:rPr>
        <w:t xml:space="preserve">收支情况的审计工作报告、审计发现的问题纠正和整改结果报告；</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三是依据《审计法》和有关规定，对市级党政机关和企事业单位领导干部进行经济责任审计监督；</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四是根据上级审计机关授权，审计在随国家政策性银行、商业银行、保险公司、证券公司、期货公司的财务收支、资产、负债和损益状况，负责审计在随国际组织和外国政府贷款、援助和赠款项目的财务收支，提供在随世界银行和亚洲开发银行援助、贷款项目的审计公正报告，开展专项审计和审计调查；</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五是根据国家有关法律法规规定，对国家重点建设项目的概预算执行和决算的审计监督，组织对国家投资的其他建设项目进行审计监督。</w:t>
      </w:r>
      <w:r>
        <w:rPr>
          <w:rFonts w:ascii="楷体" w:hAnsi="楷体" w:eastAsia="楷体"/>
          <w:szCs w:val="32"/>
        </w:rPr>
      </w:r>
    </w:p>
    <w:p>
      <w:pPr>
        <w:pBdr/>
        <w:spacing w:line="360" w:lineRule="auto"/>
        <w:ind w:firstLine="643"/>
        <w:rPr>
          <w:rFonts w:ascii="楷体" w:hAnsi="楷体" w:eastAsia="楷体"/>
          <w:b/>
          <w:szCs w:val="32"/>
        </w:rPr>
      </w:pPr>
      <w:r>
        <w:rPr>
          <w:rFonts w:ascii="楷体" w:hAnsi="楷体" w:eastAsia="楷体"/>
          <w:b/>
          <w:szCs w:val="32"/>
        </w:rPr>
      </w:r>
      <w:r>
        <w:rPr>
          <w:rFonts w:ascii="楷体" w:hAnsi="楷体" w:eastAsia="楷体"/>
          <w:b/>
          <w:szCs w:val="32"/>
        </w:rPr>
      </w:r>
    </w:p>
    <w:p>
      <w:pPr>
        <w:pBdr/>
        <w:spacing w:line="360" w:lineRule="auto"/>
        <w:ind w:firstLine="643"/>
        <w:rPr>
          <w:rFonts w:ascii="楷体" w:hAnsi="楷体" w:eastAsia="楷体"/>
          <w:b/>
          <w:szCs w:val="32"/>
        </w:rPr>
      </w:pPr>
      <w:r>
        <w:rPr>
          <w:rFonts w:hint="eastAsia" w:ascii="楷体" w:hAnsi="楷体" w:eastAsia="楷体"/>
          <w:b/>
          <w:szCs w:val="32"/>
        </w:rPr>
        <w:t xml:space="preserve">（二）2017年度收支情况</w:t>
      </w:r>
      <w:r>
        <w:rPr>
          <w:rFonts w:ascii="楷体" w:hAnsi="楷体" w:eastAsia="楷体"/>
          <w:b/>
          <w:szCs w:val="32"/>
        </w:rPr>
      </w:r>
    </w:p>
    <w:p>
      <w:pPr>
        <w:pBdr/>
        <w:spacing w:line="360" w:lineRule="auto"/>
        <w:ind w:firstLine="643"/>
        <w:rPr>
          <w:rFonts w:ascii="楷体" w:hAnsi="楷体" w:eastAsia="楷体"/>
          <w:b/>
          <w:szCs w:val="32"/>
        </w:rPr>
      </w:pPr>
      <w:r>
        <w:rPr>
          <w:rFonts w:hint="eastAsia" w:ascii="楷体" w:hAnsi="楷体" w:eastAsia="楷体"/>
          <w:b/>
          <w:szCs w:val="32"/>
        </w:rPr>
        <w:t xml:space="preserve">1、收入支出预算安排情况。</w:t>
      </w:r>
      <w:r>
        <w:rPr>
          <w:rFonts w:ascii="楷体" w:hAnsi="楷体" w:eastAsia="楷体"/>
          <w:b/>
          <w:szCs w:val="32"/>
        </w:rPr>
      </w:r>
    </w:p>
    <w:p>
      <w:pPr>
        <w:pBdr/>
        <w:spacing w:line="360" w:lineRule="auto"/>
        <w:ind w:firstLine="640"/>
        <w:rPr>
          <w:rFonts w:ascii="楷体" w:hAnsi="楷体" w:eastAsia="楷体"/>
          <w:szCs w:val="32"/>
        </w:rPr>
      </w:pPr>
      <w:r>
        <w:rPr>
          <w:rFonts w:hint="eastAsia" w:ascii="楷体" w:hAnsi="楷体" w:eastAsia="楷体"/>
          <w:szCs w:val="32"/>
        </w:rPr>
        <w:t xml:space="preserve">2017年我局收入预算1872.60万元，其中：财政拨款932.42万元（财政经费拨款582.42万元，纳入预算管理的非税收入300万元，上级专项转移支付50万元）、上年结转940.18万元。支出预算1872.60万元，按经济分类分为：工资福利性支出415.78万元、对个人和家庭补助支出87.59万元、商品和服务支出733.16万元、其他资本性支出636.07万元；按功能分类分为：一般公共服务1771.85万元、社会保障和就业43.10万元、医疗卫生21.39万元、住房保障支出36.26万元。</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2017年我局整体预算情况如下表：</w:t>
      </w:r>
      <w:r>
        <w:rPr>
          <w:rFonts w:ascii="楷体" w:hAnsi="楷体" w:eastAsia="楷体"/>
          <w:szCs w:val="32"/>
        </w:rPr>
      </w:r>
    </w:p>
    <w:tbl>
      <w:tblPr>
        <w:tblW w:w="9286" w:type="dxa"/>
        <w:tblBorders/>
        <w:tblLayout w:type="fixed"/>
        <w:tblLook w:val="04A0" w:firstRow="1" w:lastRow="0" w:firstColumn="1" w:lastColumn="0" w:noHBand="0" w:noVBand="1"/>
      </w:tblPr>
      <w:tblGrid>
        <w:gridCol w:w="3800"/>
        <w:gridCol w:w="1192"/>
        <w:gridCol w:w="1192"/>
        <w:gridCol w:w="955"/>
        <w:gridCol w:w="1192"/>
        <w:gridCol w:w="955"/>
      </w:tblGrid>
      <w:tr>
        <w:trPr>
          <w:trHeight w:val="510" w:hRule="exact"/>
        </w:trPr>
        <w:tc>
          <w:tcPr>
            <w:shd w:val="clear" w:color="auto" w:fill="auto"/>
            <w:tcBorders>
              <w:top w:val="single" w:color="auto" w:sz="8" w:space="0"/>
              <w:left w:val="single" w:color="auto" w:sz="8" w:space="0"/>
              <w:bottom w:val="single" w:color="000000" w:sz="8" w:space="0"/>
              <w:right w:val="single" w:color="auto" w:sz="8" w:space="0"/>
            </w:tcBorders>
            <w:tcW w:w="3800" w:type="dxa"/>
            <w:vAlign w:val="center"/>
            <w:vMerge w:val="restart"/>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单位名称（科目）</w:t>
            </w:r>
            <w:r>
              <w:rPr>
                <w:rFonts w:ascii="楷体" w:hAnsi="楷体" w:eastAsia="楷体" w:cs="宋体"/>
                <w:color w:val="000000"/>
                <w:sz w:val="21"/>
                <w:szCs w:val="21"/>
              </w:rPr>
            </w:r>
          </w:p>
        </w:tc>
        <w:tc>
          <w:tcPr>
            <w:gridSpan w:val="3"/>
            <w:shd w:val="clear" w:color="auto" w:fill="auto"/>
            <w:tcBorders>
              <w:top w:val="single" w:color="auto" w:sz="8" w:space="0"/>
              <w:left w:val="none" w:color="000000" w:sz="4" w:space="0"/>
              <w:bottom w:val="single" w:color="auto" w:sz="8" w:space="0"/>
              <w:right w:val="single" w:color="000000" w:sz="8" w:space="0"/>
            </w:tcBorders>
            <w:tcW w:w="3339" w:type="dxa"/>
            <w:vAlign w:val="center"/>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基本支出</w:t>
            </w:r>
            <w:r>
              <w:rPr>
                <w:rFonts w:ascii="楷体" w:hAnsi="楷体" w:eastAsia="楷体" w:cs="宋体"/>
                <w:color w:val="000000"/>
                <w:sz w:val="21"/>
                <w:szCs w:val="21"/>
              </w:rPr>
            </w:r>
          </w:p>
        </w:tc>
        <w:tc>
          <w:tcPr>
            <w:shd w:val="clear" w:color="auto" w:fill="auto"/>
            <w:tcBorders>
              <w:top w:val="single" w:color="auto" w:sz="8" w:space="0"/>
              <w:left w:val="none" w:color="000000" w:sz="4" w:space="0"/>
              <w:bottom w:val="single" w:color="000000" w:sz="8" w:space="0"/>
              <w:right w:val="single" w:color="auto" w:sz="8" w:space="0"/>
            </w:tcBorders>
            <w:tcW w:w="1192" w:type="dxa"/>
            <w:vAlign w:val="center"/>
            <w:vMerge w:val="restart"/>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项目支出</w:t>
            </w:r>
            <w:r>
              <w:rPr>
                <w:rFonts w:ascii="楷体" w:hAnsi="楷体" w:eastAsia="楷体" w:cs="宋体"/>
                <w:color w:val="000000"/>
                <w:sz w:val="21"/>
                <w:szCs w:val="21"/>
              </w:rPr>
            </w:r>
          </w:p>
        </w:tc>
        <w:tc>
          <w:tcPr>
            <w:shd w:val="clear" w:color="auto" w:fill="auto"/>
            <w:tcBorders>
              <w:top w:val="single" w:color="auto" w:sz="8" w:space="0"/>
              <w:left w:val="single" w:color="auto" w:sz="8" w:space="0"/>
              <w:bottom w:val="single" w:color="000000" w:sz="8" w:space="0"/>
              <w:right w:val="single" w:color="auto" w:sz="8" w:space="0"/>
            </w:tcBorders>
            <w:tcW w:w="955" w:type="dxa"/>
            <w:vAlign w:val="center"/>
            <w:vMerge w:val="restart"/>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合  计</w:t>
            </w:r>
            <w:r>
              <w:rPr>
                <w:rFonts w:ascii="楷体" w:hAnsi="楷体" w:eastAsia="楷体" w:cs="宋体"/>
                <w:color w:val="000000"/>
                <w:sz w:val="21"/>
                <w:szCs w:val="21"/>
              </w:rPr>
            </w:r>
          </w:p>
        </w:tc>
      </w:tr>
      <w:tr>
        <w:trPr>
          <w:trHeight w:val="510" w:hRule="exact"/>
        </w:trPr>
        <w:tc>
          <w:tcPr>
            <w:tcBorders>
              <w:top w:val="single" w:color="auto" w:sz="8" w:space="0"/>
              <w:left w:val="single" w:color="auto" w:sz="8" w:space="0"/>
              <w:bottom w:val="single" w:color="000000" w:sz="8" w:space="0"/>
              <w:right w:val="single" w:color="auto" w:sz="8" w:space="0"/>
            </w:tcBorders>
            <w:tcW w:w="3800" w:type="dxa"/>
            <w:vAlign w:val="center"/>
            <w:vMerge w:val="continue"/>
            <w:textDirection w:val="lrTb"/>
            <w:noWrap w:val="false"/>
          </w:tcPr>
          <w:p>
            <w:pPr>
              <w:widowControl w:val="true"/>
              <w:pBdr/>
              <w:spacing/>
              <w:ind/>
              <w:jc w:val="left"/>
              <w:rPr>
                <w:rFonts w:ascii="楷体" w:hAnsi="楷体" w:eastAsia="楷体" w:cs="宋体"/>
                <w:color w:val="000000"/>
                <w:sz w:val="21"/>
                <w:szCs w:val="21"/>
              </w:rPr>
            </w:pPr>
            <w:r>
              <w:rPr>
                <w:rFonts w:ascii="楷体" w:hAnsi="楷体" w:eastAsia="楷体" w:cs="宋体"/>
                <w:color w:val="000000"/>
                <w:sz w:val="21"/>
                <w:szCs w:val="21"/>
              </w:rPr>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人员支出</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公用</w:t>
            </w:r>
            <w:r>
              <w:rPr>
                <w:rFonts w:hint="eastAsia" w:ascii="楷体" w:hAnsi="楷体" w:eastAsia="楷体" w:cs="宋体"/>
                <w:sz w:val="21"/>
                <w:szCs w:val="21"/>
              </w:rPr>
              <w:t xml:space="preserve">支出</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小计</w:t>
            </w:r>
            <w:r>
              <w:rPr>
                <w:rFonts w:ascii="楷体" w:hAnsi="楷体" w:eastAsia="楷体" w:cs="宋体"/>
                <w:color w:val="000000"/>
                <w:sz w:val="21"/>
                <w:szCs w:val="21"/>
              </w:rPr>
            </w:r>
          </w:p>
        </w:tc>
        <w:tc>
          <w:tcPr>
            <w:tcBorders>
              <w:top w:val="single" w:color="auto" w:sz="8" w:space="0"/>
              <w:left w:val="none" w:color="000000" w:sz="4" w:space="0"/>
              <w:bottom w:val="single" w:color="000000" w:sz="8" w:space="0"/>
              <w:right w:val="single" w:color="auto" w:sz="8" w:space="0"/>
            </w:tcBorders>
            <w:tcW w:w="1192" w:type="dxa"/>
            <w:vAlign w:val="center"/>
            <w:vMerge w:val="continue"/>
            <w:textDirection w:val="lrTb"/>
            <w:noWrap w:val="false"/>
          </w:tcPr>
          <w:p>
            <w:pPr>
              <w:widowControl w:val="true"/>
              <w:pBdr/>
              <w:spacing/>
              <w:ind/>
              <w:jc w:val="left"/>
              <w:rPr>
                <w:rFonts w:ascii="楷体" w:hAnsi="楷体" w:eastAsia="楷体" w:cs="宋体"/>
                <w:color w:val="000000"/>
                <w:sz w:val="21"/>
                <w:szCs w:val="21"/>
              </w:rPr>
            </w:pPr>
            <w:r>
              <w:rPr>
                <w:rFonts w:ascii="楷体" w:hAnsi="楷体" w:eastAsia="楷体" w:cs="宋体"/>
                <w:color w:val="000000"/>
                <w:sz w:val="21"/>
                <w:szCs w:val="21"/>
              </w:rPr>
            </w:r>
            <w:r>
              <w:rPr>
                <w:rFonts w:ascii="楷体" w:hAnsi="楷体" w:eastAsia="楷体" w:cs="宋体"/>
                <w:color w:val="000000"/>
                <w:sz w:val="21"/>
                <w:szCs w:val="21"/>
              </w:rPr>
            </w:r>
          </w:p>
        </w:tc>
        <w:tc>
          <w:tcPr>
            <w:tcBorders>
              <w:top w:val="single" w:color="auto" w:sz="8" w:space="0"/>
              <w:left w:val="single" w:color="auto" w:sz="8" w:space="0"/>
              <w:bottom w:val="single" w:color="000000" w:sz="8" w:space="0"/>
              <w:right w:val="single" w:color="auto" w:sz="8" w:space="0"/>
            </w:tcBorders>
            <w:tcW w:w="955" w:type="dxa"/>
            <w:vAlign w:val="center"/>
            <w:vMerge w:val="continue"/>
            <w:textDirection w:val="lrTb"/>
            <w:noWrap w:val="false"/>
          </w:tcPr>
          <w:p>
            <w:pPr>
              <w:widowControl w:val="true"/>
              <w:pBdr/>
              <w:spacing/>
              <w:ind/>
              <w:jc w:val="left"/>
              <w:rPr>
                <w:rFonts w:ascii="楷体" w:hAnsi="楷体" w:eastAsia="楷体" w:cs="宋体"/>
                <w:color w:val="000000"/>
                <w:sz w:val="21"/>
                <w:szCs w:val="21"/>
              </w:rPr>
            </w:pPr>
            <w:r>
              <w:rPr>
                <w:rFonts w:ascii="楷体" w:hAnsi="楷体" w:eastAsia="楷体" w:cs="宋体"/>
                <w:color w:val="000000"/>
                <w:sz w:val="21"/>
                <w:szCs w:val="21"/>
              </w:rPr>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行政运行（审计事务）</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402.62</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148.16</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550.78</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0</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550.78</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一般行政管理事务（审计事务）</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585.00</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585.00</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信息化建设（审计事务）</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536.07</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536.07</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其他审计事务支出</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100.00</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100.00</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归口管理的行政单位离退休</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43.10</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43.10</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43.10</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行政单位医疗</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21.39</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21.39</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21.39</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住房公积金</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30.01</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30.01</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30.01</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left"/>
              <w:rPr>
                <w:rFonts w:ascii="楷体" w:hAnsi="楷体" w:eastAsia="楷体" w:cs="宋体"/>
                <w:color w:val="000000"/>
                <w:sz w:val="21"/>
                <w:szCs w:val="21"/>
              </w:rPr>
            </w:pPr>
            <w:r>
              <w:rPr>
                <w:rFonts w:hint="eastAsia" w:ascii="楷体" w:hAnsi="楷体" w:eastAsia="楷体" w:cs="宋体"/>
                <w:color w:val="000000"/>
                <w:sz w:val="21"/>
                <w:szCs w:val="21"/>
              </w:rPr>
              <w:t xml:space="preserve">  提租补贴</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6.25</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6.25</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　</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6.25</w:t>
            </w:r>
            <w:r>
              <w:rPr>
                <w:rFonts w:ascii="楷体" w:hAnsi="楷体" w:eastAsia="楷体" w:cs="宋体"/>
                <w:color w:val="000000"/>
                <w:sz w:val="21"/>
                <w:szCs w:val="21"/>
              </w:rPr>
            </w:r>
          </w:p>
        </w:tc>
      </w:tr>
      <w:tr>
        <w:trPr>
          <w:trHeight w:val="510" w:hRule="exact"/>
        </w:trPr>
        <w:tc>
          <w:tcPr>
            <w:shd w:val="clear" w:color="auto" w:fill="auto"/>
            <w:tcBorders>
              <w:top w:val="none" w:color="000000" w:sz="4" w:space="0"/>
              <w:left w:val="single" w:color="auto" w:sz="8" w:space="0"/>
              <w:bottom w:val="single" w:color="auto" w:sz="8" w:space="0"/>
              <w:right w:val="none" w:color="000000" w:sz="4" w:space="0"/>
            </w:tcBorders>
            <w:tcW w:w="3800" w:type="dxa"/>
            <w:vAlign w:val="center"/>
            <w:textDirection w:val="lrTb"/>
            <w:noWrap w:val="false"/>
          </w:tcPr>
          <w:p>
            <w:pPr>
              <w:widowControl w:val="true"/>
              <w:pBdr/>
              <w:spacing/>
              <w:ind/>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合计</w:t>
            </w:r>
            <w:r>
              <w:rPr>
                <w:rFonts w:ascii="楷体" w:hAnsi="楷体" w:eastAsia="楷体" w:cs="宋体"/>
                <w:color w:val="000000"/>
                <w:sz w:val="21"/>
                <w:szCs w:val="21"/>
              </w:rPr>
            </w:r>
          </w:p>
        </w:tc>
        <w:tc>
          <w:tcPr>
            <w:shd w:val="clear" w:color="auto" w:fill="auto"/>
            <w:tcBorders>
              <w:top w:val="none" w:color="000000" w:sz="4" w:space="0"/>
              <w:left w:val="single" w:color="auto" w:sz="8"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503.37</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148.16</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651.53</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1192"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1221.07</w:t>
            </w:r>
            <w:r>
              <w:rPr>
                <w:rFonts w:ascii="楷体" w:hAnsi="楷体" w:eastAsia="楷体" w:cs="宋体"/>
                <w:color w:val="000000"/>
                <w:sz w:val="21"/>
                <w:szCs w:val="21"/>
              </w:rPr>
            </w:r>
          </w:p>
        </w:tc>
        <w:tc>
          <w:tcPr>
            <w:shd w:val="clear" w:color="auto" w:fill="auto"/>
            <w:tcBorders>
              <w:top w:val="none" w:color="000000" w:sz="4" w:space="0"/>
              <w:left w:val="none" w:color="000000" w:sz="4" w:space="0"/>
              <w:bottom w:val="single" w:color="auto" w:sz="8" w:space="0"/>
              <w:right w:val="single" w:color="auto" w:sz="8" w:space="0"/>
            </w:tcBorders>
            <w:tcW w:w="955" w:type="dxa"/>
            <w:vAlign w:val="center"/>
            <w:textDirection w:val="lrTb"/>
            <w:noWrap w:val="false"/>
          </w:tcPr>
          <w:p>
            <w:pPr>
              <w:widowControl w:val="true"/>
              <w:pBdr/>
              <w:spacing/>
              <w:ind/>
              <w:jc w:val="right"/>
              <w:rPr>
                <w:rFonts w:ascii="楷体" w:hAnsi="楷体" w:eastAsia="楷体" w:cs="宋体"/>
                <w:color w:val="000000"/>
                <w:sz w:val="21"/>
                <w:szCs w:val="21"/>
              </w:rPr>
            </w:pPr>
            <w:r>
              <w:rPr>
                <w:rFonts w:hint="eastAsia" w:ascii="楷体" w:hAnsi="楷体" w:eastAsia="楷体" w:cs="宋体"/>
                <w:color w:val="000000"/>
                <w:sz w:val="21"/>
                <w:szCs w:val="21"/>
              </w:rPr>
              <w:t xml:space="preserve">1872.6</w:t>
            </w:r>
            <w:r>
              <w:rPr>
                <w:rFonts w:ascii="楷体" w:hAnsi="楷体" w:eastAsia="楷体" w:cs="宋体"/>
                <w:color w:val="000000"/>
                <w:sz w:val="21"/>
                <w:szCs w:val="21"/>
              </w:rPr>
            </w:r>
          </w:p>
        </w:tc>
      </w:tr>
    </w:tbl>
    <w:p>
      <w:pPr>
        <w:pBdr/>
        <w:spacing w:line="360" w:lineRule="auto"/>
        <w:ind w:firstLine="643"/>
        <w:rPr>
          <w:rFonts w:ascii="楷体" w:hAnsi="楷体" w:eastAsia="楷体"/>
          <w:b/>
          <w:szCs w:val="32"/>
        </w:rPr>
      </w:pPr>
      <w:r>
        <w:rPr>
          <w:rFonts w:ascii="楷体" w:hAnsi="楷体" w:eastAsia="楷体"/>
          <w:b/>
          <w:szCs w:val="32"/>
        </w:rPr>
      </w:r>
      <w:r>
        <w:rPr>
          <w:rFonts w:ascii="楷体" w:hAnsi="楷体" w:eastAsia="楷体"/>
          <w:b/>
          <w:szCs w:val="32"/>
        </w:rPr>
      </w:r>
    </w:p>
    <w:p>
      <w:pPr>
        <w:pBdr/>
        <w:spacing w:line="360" w:lineRule="auto"/>
        <w:ind w:firstLine="643"/>
        <w:rPr>
          <w:rFonts w:ascii="楷体" w:hAnsi="楷体" w:eastAsia="楷体"/>
          <w:b/>
          <w:szCs w:val="32"/>
        </w:rPr>
      </w:pPr>
      <w:r>
        <w:rPr>
          <w:rFonts w:hint="eastAsia" w:ascii="楷体" w:hAnsi="楷体" w:eastAsia="楷体"/>
          <w:b/>
          <w:szCs w:val="32"/>
        </w:rPr>
        <w:t xml:space="preserve">2、收入支出预算执行情况。</w:t>
      </w:r>
      <w:r>
        <w:rPr>
          <w:rFonts w:ascii="楷体" w:hAnsi="楷体" w:eastAsia="楷体"/>
          <w:b/>
          <w:szCs w:val="32"/>
        </w:rPr>
      </w:r>
    </w:p>
    <w:p>
      <w:pPr>
        <w:pBdr/>
        <w:spacing w:line="360" w:lineRule="auto"/>
        <w:ind w:firstLine="640"/>
        <w:rPr>
          <w:rFonts w:ascii="楷体" w:hAnsi="楷体" w:eastAsia="楷体"/>
          <w:szCs w:val="32"/>
        </w:rPr>
      </w:pPr>
      <w:r>
        <w:rPr>
          <w:rFonts w:hint="eastAsia" w:ascii="楷体" w:hAnsi="楷体" w:eastAsia="楷体"/>
          <w:szCs w:val="32"/>
        </w:rPr>
        <w:t xml:space="preserve">2017年实际收入1501.00万元，其中：财政拨款收入706.60万元、其他收入0.12万元、上年结转794.28万元。当年支出1143.40万元，按经济分类分为工资福利性支出542.80万元、对个人和家庭补助支出120.13万元、商品和服务支出409.12万元、其他资本性支出33.05万元、其他支出38.30万元。</w:t>
      </w:r>
      <w:r>
        <w:rPr>
          <w:rFonts w:ascii="楷体" w:hAnsi="楷体" w:eastAsia="楷体"/>
          <w:szCs w:val="32"/>
        </w:rPr>
      </w:r>
    </w:p>
    <w:p>
      <w:pPr>
        <w:pBdr/>
        <w:spacing w:line="360" w:lineRule="auto"/>
        <w:ind w:firstLine="640"/>
        <w:rPr>
          <w:rFonts w:ascii="楷体" w:hAnsi="楷体" w:eastAsia="楷体"/>
          <w:szCs w:val="32"/>
        </w:rPr>
      </w:pPr>
      <w:r>
        <w:rPr>
          <w:rFonts w:hint="eastAsia" w:ascii="楷体" w:hAnsi="楷体" w:eastAsia="楷体"/>
          <w:szCs w:val="32"/>
        </w:rPr>
        <w:t xml:space="preserve">2017年我局各类资金按基本支出和项目支出分类如下表：</w:t>
      </w:r>
      <w:r>
        <w:rPr>
          <w:rFonts w:ascii="楷体" w:hAnsi="楷体" w:eastAsia="楷体"/>
          <w:szCs w:val="32"/>
        </w:rPr>
      </w:r>
    </w:p>
    <w:tbl>
      <w:tblPr>
        <w:tblW w:w="9286" w:type="dxa"/>
        <w:tblBorders/>
        <w:tblLayout w:type="fixed"/>
        <w:tblLook w:val="04A0" w:firstRow="1" w:lastRow="0" w:firstColumn="1" w:lastColumn="0" w:noHBand="0" w:noVBand="1"/>
      </w:tblPr>
      <w:tblGrid>
        <w:gridCol w:w="2949"/>
        <w:gridCol w:w="2808"/>
        <w:gridCol w:w="3529"/>
      </w:tblGrid>
      <w:tr>
        <w:trPr>
          <w:trHeight w:val="270"/>
        </w:trPr>
        <w:tc>
          <w:tcPr>
            <w:shd w:val="clear" w:color="ffffff" w:fill="ffffff"/>
            <w:tcBorders>
              <w:top w:val="single" w:color="auto" w:sz="4" w:space="0"/>
              <w:left w:val="single" w:color="auto" w:sz="4" w:space="0"/>
              <w:bottom w:val="single" w:color="auto" w:sz="4" w:space="0"/>
              <w:right w:val="single" w:color="auto" w:sz="4" w:space="0"/>
            </w:tcBorders>
            <w:tcW w:w="2949"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基本支出</w:t>
            </w:r>
            <w:r>
              <w:rPr>
                <w:rFonts w:ascii="楷体" w:hAnsi="楷体" w:eastAsia="楷体" w:cs="宋体"/>
                <w:color w:val="000000"/>
                <w:sz w:val="24"/>
              </w:rPr>
            </w:r>
          </w:p>
        </w:tc>
        <w:tc>
          <w:tcPr>
            <w:shd w:val="clear" w:color="ffffff" w:fill="ffffff"/>
            <w:tcBorders>
              <w:top w:val="single" w:color="auto" w:sz="4" w:space="0"/>
              <w:left w:val="none" w:color="000000" w:sz="4" w:space="0"/>
              <w:bottom w:val="single" w:color="auto" w:sz="4" w:space="0"/>
              <w:right w:val="single" w:color="auto" w:sz="4" w:space="0"/>
            </w:tcBorders>
            <w:tcW w:w="2808"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项目支出</w:t>
            </w:r>
            <w:r>
              <w:rPr>
                <w:rFonts w:ascii="楷体" w:hAnsi="楷体" w:eastAsia="楷体" w:cs="宋体"/>
                <w:color w:val="000000"/>
                <w:sz w:val="24"/>
              </w:rPr>
            </w:r>
          </w:p>
        </w:tc>
        <w:tc>
          <w:tcPr>
            <w:shd w:val="clear" w:color="ffffff" w:fill="ffffff"/>
            <w:tcBorders>
              <w:top w:val="single" w:color="auto" w:sz="4" w:space="0"/>
              <w:left w:val="none" w:color="000000" w:sz="4" w:space="0"/>
              <w:bottom w:val="single" w:color="auto" w:sz="4" w:space="0"/>
              <w:right w:val="single" w:color="auto" w:sz="4" w:space="0"/>
            </w:tcBorders>
            <w:tcW w:w="3529"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本年支出合计</w:t>
            </w:r>
            <w:r>
              <w:rPr>
                <w:rFonts w:ascii="楷体" w:hAnsi="楷体" w:eastAsia="楷体" w:cs="宋体"/>
                <w:color w:val="000000"/>
                <w:sz w:val="24"/>
              </w:rPr>
            </w:r>
          </w:p>
        </w:tc>
      </w:tr>
      <w:tr>
        <w:trPr>
          <w:trHeight w:val="285"/>
        </w:trPr>
        <w:tc>
          <w:tcPr>
            <w:shd w:val="clear" w:color="000000" w:fill="ffffff"/>
            <w:tcBorders>
              <w:top w:val="none" w:color="000000" w:sz="4" w:space="0"/>
              <w:left w:val="single" w:color="auto" w:sz="4" w:space="0"/>
              <w:bottom w:val="single" w:color="auto" w:sz="4" w:space="0"/>
              <w:right w:val="single" w:color="auto" w:sz="4" w:space="0"/>
            </w:tcBorders>
            <w:tcW w:w="2949"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838.01</w:t>
            </w:r>
            <w:r>
              <w:rPr>
                <w:rFonts w:ascii="楷体" w:hAnsi="楷体" w:eastAsia="楷体" w:cs="宋体"/>
                <w:color w:val="000000"/>
                <w:sz w:val="24"/>
              </w:rPr>
            </w:r>
          </w:p>
        </w:tc>
        <w:tc>
          <w:tcPr>
            <w:shd w:val="clear" w:color="000000" w:fill="ffffff"/>
            <w:tcBorders>
              <w:top w:val="none" w:color="000000" w:sz="4" w:space="0"/>
              <w:left w:val="none" w:color="000000" w:sz="4" w:space="0"/>
              <w:bottom w:val="single" w:color="auto" w:sz="4" w:space="0"/>
              <w:right w:val="single" w:color="auto" w:sz="4" w:space="0"/>
            </w:tcBorders>
            <w:tcW w:w="2808"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305.39</w:t>
            </w:r>
            <w:r>
              <w:rPr>
                <w:rFonts w:ascii="楷体" w:hAnsi="楷体" w:eastAsia="楷体" w:cs="宋体"/>
                <w:color w:val="000000"/>
                <w:sz w:val="24"/>
              </w:rPr>
            </w:r>
          </w:p>
        </w:tc>
        <w:tc>
          <w:tcPr>
            <w:shd w:val="clear" w:color="000000" w:fill="ffffff"/>
            <w:tcBorders>
              <w:top w:val="none" w:color="000000" w:sz="4" w:space="0"/>
              <w:left w:val="none" w:color="000000" w:sz="4" w:space="0"/>
              <w:bottom w:val="single" w:color="auto" w:sz="4" w:space="0"/>
              <w:right w:val="single" w:color="auto" w:sz="4" w:space="0"/>
            </w:tcBorders>
            <w:tcW w:w="3529"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1,143.40</w:t>
            </w:r>
            <w:r>
              <w:rPr>
                <w:rFonts w:ascii="楷体" w:hAnsi="楷体" w:eastAsia="楷体" w:cs="宋体"/>
                <w:color w:val="000000"/>
                <w:sz w:val="24"/>
              </w:rPr>
            </w:r>
          </w:p>
        </w:tc>
      </w:tr>
    </w:tbl>
    <w:p>
      <w:pPr>
        <w:pBdr/>
        <w:tabs>
          <w:tab w:val="left" w:leader="none" w:pos="7920"/>
        </w:tabs>
        <w:spacing w:line="360" w:lineRule="auto"/>
        <w:ind w:firstLine="640"/>
        <w:rPr>
          <w:rFonts w:ascii="楷体" w:hAnsi="楷体" w:eastAsia="楷体"/>
          <w:szCs w:val="32"/>
        </w:rPr>
      </w:pPr>
      <w:r>
        <w:rPr>
          <w:rFonts w:ascii="楷体" w:hAnsi="楷体" w:eastAsia="楷体"/>
          <w:szCs w:val="32"/>
        </w:rPr>
        <w:tab/>
      </w:r>
      <w:r>
        <w:rPr>
          <w:rFonts w:ascii="楷体" w:hAnsi="楷体" w:eastAsia="楷体"/>
          <w:szCs w:val="32"/>
        </w:rPr>
      </w:r>
    </w:p>
    <w:p>
      <w:pPr>
        <w:pBdr/>
        <w:spacing/>
        <w:ind w:firstLine="643"/>
        <w:rPr>
          <w:rFonts w:ascii="楷体" w:hAnsi="楷体" w:eastAsia="楷体"/>
          <w:b/>
          <w:szCs w:val="32"/>
        </w:rPr>
      </w:pPr>
      <w:r>
        <w:rPr>
          <w:rFonts w:hint="eastAsia" w:ascii="楷体" w:hAnsi="楷体" w:eastAsia="楷体" w:cs="黑体"/>
          <w:b/>
          <w:bCs/>
          <w:szCs w:val="32"/>
        </w:rPr>
        <w:t xml:space="preserve">二、绩效自评工作开展情况</w:t>
      </w:r>
      <w:r>
        <w:rPr>
          <w:rFonts w:hint="eastAsia" w:ascii="楷体" w:hAnsi="楷体" w:eastAsia="楷体"/>
          <w:b/>
          <w:szCs w:val="32"/>
        </w:rPr>
        <w:t xml:space="preserve">。</w:t>
      </w:r>
      <w:r>
        <w:rPr>
          <w:rFonts w:ascii="楷体" w:hAnsi="楷体" w:eastAsia="楷体"/>
          <w:b/>
          <w:szCs w:val="32"/>
        </w:rPr>
      </w:r>
    </w:p>
    <w:p>
      <w:pPr>
        <w:pBdr/>
        <w:spacing/>
        <w:ind w:firstLine="643"/>
        <w:rPr>
          <w:rFonts w:ascii="楷体" w:hAnsi="楷体" w:eastAsia="楷体" w:cs="仿宋_GB2312"/>
          <w:bCs/>
          <w:szCs w:val="32"/>
        </w:rPr>
      </w:pPr>
      <w:r>
        <w:rPr>
          <w:rFonts w:hint="eastAsia" w:ascii="楷体" w:hAnsi="楷体" w:eastAsia="楷体" w:cs="黑体"/>
          <w:b/>
          <w:bCs/>
          <w:szCs w:val="32"/>
        </w:rPr>
        <w:t xml:space="preserve">（一）前期准备工作</w:t>
      </w:r>
      <w:r>
        <w:rPr>
          <w:rFonts w:ascii="楷体" w:hAnsi="楷体" w:eastAsia="楷体" w:cs="仿宋_GB2312"/>
          <w:bCs/>
          <w:szCs w:val="32"/>
        </w:rPr>
      </w:r>
    </w:p>
    <w:p>
      <w:pPr>
        <w:pBdr/>
        <w:spacing/>
        <w:ind w:firstLine="640"/>
        <w:rPr>
          <w:rFonts w:ascii="楷体" w:hAnsi="楷体" w:eastAsia="楷体"/>
          <w:szCs w:val="32"/>
        </w:rPr>
      </w:pPr>
      <w:r>
        <w:rPr>
          <w:rFonts w:hint="eastAsia" w:ascii="楷体" w:hAnsi="楷体" w:eastAsia="楷体"/>
          <w:szCs w:val="32"/>
        </w:rPr>
        <w:t xml:space="preserve">根据本次绩效自评的要求，结合我局的实际情况，开展绩效目标自评前期准备工作，具体如下：</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一是迅速成立了评价小组，并积极组织小组成员集中讨论、分析并制订了本次绩效评价的方案；</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二是根据制定的绩效评价方案制定任务清单，并拟定工作计划，明确了评价小组各成员在本次项目绩效自评中的职责和分工。</w:t>
      </w:r>
      <w:r>
        <w:rPr>
          <w:rFonts w:ascii="楷体" w:hAnsi="楷体" w:eastAsia="楷体"/>
          <w:szCs w:val="32"/>
        </w:rPr>
      </w:r>
    </w:p>
    <w:p>
      <w:pPr>
        <w:pBdr/>
        <w:spacing/>
        <w:ind w:firstLine="643"/>
        <w:rPr>
          <w:rFonts w:ascii="楷体" w:hAnsi="楷体" w:eastAsia="楷体" w:cs="黑体"/>
          <w:b/>
          <w:bCs/>
          <w:szCs w:val="32"/>
        </w:rPr>
      </w:pPr>
      <w:r>
        <w:rPr>
          <w:rFonts w:hint="eastAsia" w:ascii="楷体" w:hAnsi="楷体" w:eastAsia="楷体" w:cs="黑体"/>
          <w:b/>
          <w:bCs/>
          <w:szCs w:val="32"/>
        </w:rPr>
        <w:t xml:space="preserve">（二）组织实施工作</w:t>
      </w:r>
      <w:r>
        <w:rPr>
          <w:rFonts w:ascii="楷体" w:hAnsi="楷体" w:eastAsia="楷体" w:cs="黑体"/>
          <w:b/>
          <w:bCs/>
          <w:szCs w:val="32"/>
        </w:rPr>
      </w:r>
    </w:p>
    <w:p>
      <w:pPr>
        <w:pBdr/>
        <w:spacing/>
        <w:ind w:firstLine="640"/>
        <w:rPr>
          <w:rFonts w:ascii="楷体" w:hAnsi="楷体" w:eastAsia="楷体" w:cs="黑体"/>
          <w:bCs/>
          <w:szCs w:val="32"/>
        </w:rPr>
      </w:pPr>
      <w:r>
        <w:rPr>
          <w:rFonts w:hint="eastAsia" w:ascii="楷体" w:hAnsi="楷体" w:eastAsia="楷体" w:cs="黑体"/>
          <w:bCs/>
          <w:szCs w:val="32"/>
        </w:rPr>
        <w:t xml:space="preserve">评价小组各成员根据各自的职责和分工，积极组织实施并开展相关工作。具体组织实施工作如下：</w:t>
      </w:r>
      <w:r>
        <w:rPr>
          <w:rFonts w:ascii="楷体" w:hAnsi="楷体" w:eastAsia="楷体" w:cs="黑体"/>
          <w:bCs/>
          <w:szCs w:val="32"/>
        </w:rPr>
      </w:r>
    </w:p>
    <w:p>
      <w:pPr>
        <w:pBdr/>
        <w:spacing/>
        <w:ind w:firstLine="640"/>
        <w:rPr>
          <w:rFonts w:ascii="楷体" w:hAnsi="楷体" w:eastAsia="楷体"/>
          <w:szCs w:val="32"/>
        </w:rPr>
      </w:pPr>
      <w:r>
        <w:rPr>
          <w:rFonts w:hint="eastAsia" w:ascii="楷体" w:hAnsi="楷体" w:eastAsia="楷体"/>
          <w:szCs w:val="32"/>
        </w:rPr>
        <w:t xml:space="preserve">一是评价小组收集相关资料，分别为：</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1、2017年整体预算及各预算项目立项、申报、审批的相关资料、依据；</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2、2017年各项预算资金的用途规定、管理办法、设定目标等相关资料。</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3、2017年预算、决算数据及2017年财务报表等各项账务数据；</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4、2017年单位绩效管理的相关文件资料、决算分析报告、全年工作总结等资料。</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二是对2017年各类资金的实施程序和管理情况进行审核并自评，具体为：</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1、根据收集的相关资料汇总、分析，列出单位整体支出中评价小组有疑问的问题，并及时与相关人员进行了解、沟通、讨论，从整体情况看，我局单位财务会计制度健全，会计核算规范，各类资金均在</w:t>
      </w:r>
      <w:r>
        <w:rPr>
          <w:rFonts w:hint="eastAsia" w:ascii="楷体" w:hAnsi="楷体" w:eastAsia="楷体"/>
          <w:szCs w:val="32"/>
        </w:rPr>
        <w:t xml:space="preserve">预算范围内按规定用途使用。</w:t>
      </w:r>
      <w:r>
        <w:rPr>
          <w:rFonts w:ascii="楷体" w:hAnsi="楷体" w:eastAsia="楷体"/>
          <w:szCs w:val="32"/>
        </w:rPr>
      </w:r>
    </w:p>
    <w:p>
      <w:pPr>
        <w:pBdr/>
        <w:spacing/>
        <w:ind w:firstLine="640"/>
        <w:rPr>
          <w:rFonts w:ascii="仿宋_GB2312" w:hAnsi="仿宋"/>
          <w:szCs w:val="32"/>
        </w:rPr>
      </w:pPr>
      <w:r>
        <w:rPr>
          <w:rFonts w:hint="eastAsia" w:ascii="楷体" w:hAnsi="楷体" w:eastAsia="楷体"/>
          <w:szCs w:val="32"/>
        </w:rPr>
        <w:t xml:space="preserve">2、制定自我评价表格，根据我局整体支出情况，评价小组对评价方案中列明的各项指标进行讨论、分析、汇总，初步完成整体绩效评价自评表的填写工作。</w:t>
      </w:r>
      <w:r>
        <w:rPr>
          <w:rFonts w:ascii="仿宋_GB2312" w:hAnsi="仿宋"/>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3、对单位的整体绩效情况进行评分</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根据评价小组初步填写的整体支出绩效自评表，单位领导积极召集各科室负责人征询意见。评价小组在综合各方面的情况对整体绩效目标自评表进行了调整，完善，最终得分为81.56分（满分100分）。</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经过以上程序的自查和分析，我局已按照《会计基础工作规范》和《行政单位会计制度》的规定规范建账，会计核算完整，反映清晰。已按相关规定对我局2017年的各类资金支出编制了充分的预算，在预算过程中，按照规定的程序对各类资金进行了合理的规划，并设定了具体目标。</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2017年我局各类资金的使用较规范，并于规定的时间对我局的整体收支情况进行了决算，在规定的网站对我局的预算、决算数据进行了公开，保证公开信息的真实、完整、合法、有效。</w:t>
      </w:r>
      <w:r>
        <w:rPr>
          <w:rFonts w:ascii="楷体" w:hAnsi="楷体" w:eastAsia="楷体" w:cs="仿宋_GB2312"/>
          <w:bCs/>
          <w:szCs w:val="32"/>
        </w:rPr>
      </w:r>
    </w:p>
    <w:p>
      <w:pPr>
        <w:pBdr/>
        <w:spacing/>
        <w:ind/>
        <w:rPr>
          <w:rFonts w:ascii="楷体" w:hAnsi="楷体" w:eastAsia="楷体"/>
          <w:szCs w:val="32"/>
        </w:rPr>
      </w:pPr>
      <w:r>
        <w:rPr>
          <w:rFonts w:ascii="楷体" w:hAnsi="楷体" w:eastAsia="楷体"/>
          <w:szCs w:val="32"/>
        </w:rPr>
      </w:r>
      <w:r>
        <w:rPr>
          <w:rFonts w:ascii="楷体" w:hAnsi="楷体" w:eastAsia="楷体"/>
          <w:szCs w:val="32"/>
        </w:rPr>
      </w:r>
    </w:p>
    <w:p>
      <w:pPr>
        <w:pBdr/>
        <w:spacing/>
        <w:ind w:firstLine="643"/>
        <w:rPr>
          <w:rFonts w:ascii="楷体" w:hAnsi="楷体" w:eastAsia="楷体" w:cs="黑体"/>
          <w:b/>
          <w:bCs/>
          <w:szCs w:val="32"/>
        </w:rPr>
      </w:pPr>
      <w:r>
        <w:rPr>
          <w:rFonts w:hint="eastAsia" w:ascii="楷体" w:hAnsi="楷体" w:eastAsia="楷体" w:cs="黑体"/>
          <w:b/>
          <w:bCs/>
          <w:szCs w:val="32"/>
        </w:rPr>
        <w:t xml:space="preserve">三、绩效目标实现情况分析</w:t>
      </w:r>
      <w:r>
        <w:rPr>
          <w:rFonts w:ascii="楷体" w:hAnsi="楷体" w:eastAsia="楷体" w:cs="黑体"/>
          <w:b/>
          <w:bCs/>
          <w:szCs w:val="32"/>
        </w:rPr>
      </w:r>
    </w:p>
    <w:p>
      <w:pPr>
        <w:pBdr/>
        <w:spacing/>
        <w:ind w:firstLine="643"/>
        <w:outlineLvl w:val="0"/>
        <w:rPr>
          <w:rFonts w:ascii="楷体" w:hAnsi="楷体" w:eastAsia="楷体" w:cs="楷体_GB2312"/>
          <w:b/>
          <w:bCs/>
          <w:szCs w:val="32"/>
        </w:rPr>
      </w:pPr>
      <w:r>
        <w:rPr>
          <w:rFonts w:hint="eastAsia" w:ascii="楷体" w:hAnsi="楷体" w:eastAsia="楷体" w:cs="楷体_GB2312"/>
          <w:b/>
          <w:bCs/>
          <w:szCs w:val="32"/>
        </w:rPr>
        <w:t xml:space="preserve">（一）各项资金情况分析。</w:t>
      </w:r>
      <w:r>
        <w:rPr>
          <w:rFonts w:ascii="楷体" w:hAnsi="楷体" w:eastAsia="楷体" w:cs="楷体_GB2312"/>
          <w:b/>
          <w:bCs/>
          <w:szCs w:val="32"/>
        </w:rPr>
      </w:r>
    </w:p>
    <w:p>
      <w:pPr>
        <w:pBdr/>
        <w:spacing/>
        <w:ind w:firstLine="640"/>
        <w:rPr>
          <w:rFonts w:ascii="楷体" w:hAnsi="楷体" w:eastAsia="楷体"/>
          <w:szCs w:val="32"/>
        </w:rPr>
      </w:pPr>
      <w:r>
        <w:rPr>
          <w:rFonts w:ascii="楷体" w:hAnsi="楷体" w:eastAsia="楷体"/>
          <w:szCs w:val="32"/>
        </w:rPr>
        <w:t xml:space="preserve">1.</w:t>
      </w:r>
      <w:r>
        <w:rPr>
          <w:rFonts w:hint="eastAsia" w:ascii="楷体" w:hAnsi="楷体" w:eastAsia="楷体"/>
          <w:szCs w:val="32"/>
        </w:rPr>
        <w:t xml:space="preserve">整体资金投入情况分析</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（1）绩效目标合理性分析：我局根据客观实际，设定了我局各部门职责和工作任务</w:t>
      </w:r>
      <w:r>
        <w:rPr>
          <w:rFonts w:hint="eastAsia" w:ascii="楷体" w:hAnsi="楷体" w:eastAsia="楷体"/>
          <w:szCs w:val="32"/>
        </w:rPr>
        <w:t xml:space="preserve">，符合客观实际，符合我局履职以及工作任务</w:t>
      </w:r>
      <w:r>
        <w:rPr>
          <w:rFonts w:hint="eastAsia" w:ascii="楷体" w:hAnsi="楷体" w:eastAsia="楷体"/>
          <w:szCs w:val="32"/>
        </w:rPr>
        <w:t xml:space="preserve">。自</w:t>
      </w:r>
      <w:r>
        <w:rPr>
          <w:rFonts w:hint="eastAsia" w:ascii="楷体" w:hAnsi="楷体" w:eastAsia="楷体"/>
          <w:szCs w:val="32"/>
        </w:rPr>
        <w:t xml:space="preserve">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（2）绩效目标明确性分析：我局各类资金的绩效指标清晰、细化、可衡量，自评得2分(满分2分)；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（3）预算配置分析：</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①在职人员控制率分析：2017年我局人员编制41人，实有人数35人，在职人员控制率为85.36%，自评得分0.85分(满分1分)；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②“三公经费”变动率分析：2017年我局“三公经费”预算数为11.39万元，上年度“三公经费”实际支出额11.83万元，本年实际完成数11.92万元，本年“三公经费”变动额0.09万元（本年“三公经费”支出数-上年“三公经费”支出数），“三公经费”变动率0.76%（本年度“三公经费”变动额）/上年度“三公经费”支出总额]*100%）&gt;0，自评得分0分(满分3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③预算完整性分析：根据相关规定我局2017年将整体支出均纳入财政预算管理，反映和考核了财政预算综合管理水平。自评得分2分（满分2分）。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2.整体资金执行过程情况分析  </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2017年我局整体预算数为1872.60万元,实际到位资金1501.00万元，实际支付资金1143.40万元，整体资金各指标完成情况如下：</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（1）预算执行情况分析</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①收入完成率分析： 2017年我局实际收入数1501.00万元，收入预算数1872.6万元，收入完成率为80.16%。自评得分3.20（满分4分）；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②支付完成率分析： 2017年我局实际支付数1143.40万元，支出预算数1872.60万元，支付完成率为61.06%。自评得分1.83分（满分3分）；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③资金结转结余率分析： 2017年我局结转结余资金总额357.6万元，公共财政支出预算1872.6万元，资金结转结余率分析：19.10%&lt;50%且&gt;10%。自评得分0分（满分4分）；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④资金结转变动率分析： 2017年累计结转结余资金357.6万元，2016年累计结转结余资金794.28万元，资金结转变动率为-54.99%&lt;-30%，自评得1分（满分4分）；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⑤“三公经费”控制率分析：2017年“三公经费”预算数11.39万元，而实际支付金额11.92万元，“三公经费”完成率104.65%&gt;100%，自评得0分（满分3分）；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⑥政府采购执行率100%：2017年已按政府采购的相关规定履行了政府采购程序，自评得分2分（满分2分）；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（2）预算管理情况分析</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①管理制度健全情况分析：2017年我局为加强预算管理、规范财务行为而制定的管理制度健全完整，反映和考核了预算管理制度对完成主要职责或促进事业发展的保障情况。自评得分2分（满分2分）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②资金使用合</w:t>
      </w:r>
      <w:r>
        <w:rPr>
          <w:rFonts w:hint="eastAsia" w:ascii="楷体" w:hAnsi="楷体" w:eastAsia="楷体"/>
          <w:szCs w:val="32"/>
        </w:rPr>
        <w:t xml:space="preserve">规</w:t>
      </w:r>
      <w:r>
        <w:rPr>
          <w:rFonts w:hint="eastAsia" w:ascii="楷体" w:hAnsi="楷体" w:eastAsia="楷体"/>
          <w:szCs w:val="32"/>
        </w:rPr>
        <w:t xml:space="preserve">情况分析：我局2017年预算管理符合相关的财务预算管理制度规定，反映和评价了我局预算资金的规范运行情况。自评得分4分（满分4分）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③预决算信息公开情况分析:2017年我局已按照政府信息公开有</w:t>
      </w:r>
      <w:r>
        <w:rPr>
          <w:rFonts w:hint="eastAsia" w:ascii="楷体" w:hAnsi="楷体" w:eastAsia="楷体"/>
          <w:szCs w:val="32"/>
        </w:rPr>
        <w:t xml:space="preserve">关规定公开相关预决算信息，反映和评价了我局预决算管理的公开透明情况。自评得分2分（满分2分）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④基础信息完善性分析： 2017年我局基础信息完整，反映和评价了基础信息对预算管理工作的支撑情况。自评得分2分（满分2分）；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（3）资产管理情况分析</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①管理制度健全性分析：我局2017年资产管理制度健全，反映了我局资产管理情况。自评分得1分（满分1分）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②资产管理安全性分析：我局2017</w:t>
      </w:r>
      <w:r>
        <w:rPr>
          <w:rFonts w:hint="eastAsia" w:ascii="楷体" w:hAnsi="楷体" w:eastAsia="楷体"/>
          <w:szCs w:val="32"/>
        </w:rPr>
        <w:t xml:space="preserve">年资产保存完整、使用合规、收入及时足额上缴，</w:t>
      </w:r>
      <w:r>
        <w:rPr>
          <w:rFonts w:hint="eastAsia" w:ascii="楷体" w:hAnsi="楷体" w:eastAsia="楷体"/>
          <w:szCs w:val="32"/>
        </w:rPr>
        <w:t xml:space="preserve">反映和评价了我局资产的运行情况。自评得分2分（满分2分）</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③固定资产利用率分析：我局 2017年实际在用固定资产总额与所有固定资产总额的比例为100%，不存在待处置资产，固定资产利用率100%，自评得分2分（满分2分）</w:t>
      </w:r>
      <w:r>
        <w:rPr>
          <w:rFonts w:ascii="楷体" w:hAnsi="楷体" w:eastAsia="楷体"/>
          <w:szCs w:val="32"/>
        </w:rPr>
      </w:r>
    </w:p>
    <w:p>
      <w:pPr>
        <w:widowControl w:val="true"/>
        <w:pBdr/>
        <w:spacing/>
        <w:ind w:firstLine="640"/>
        <w:rPr>
          <w:rFonts w:ascii="楷体" w:hAnsi="楷体" w:eastAsia="楷体"/>
          <w:szCs w:val="32"/>
        </w:rPr>
      </w:pPr>
      <w:r>
        <w:rPr>
          <w:rFonts w:hint="eastAsia" w:ascii="楷体" w:hAnsi="楷体" w:eastAsia="楷体"/>
          <w:szCs w:val="32"/>
        </w:rPr>
        <w:t xml:space="preserve">3、整体支出产出情况分析：</w:t>
      </w:r>
      <w:r>
        <w:rPr>
          <w:rFonts w:ascii="楷体" w:hAnsi="楷体" w:eastAsia="楷体"/>
          <w:szCs w:val="32"/>
        </w:rPr>
      </w:r>
    </w:p>
    <w:p>
      <w:pPr>
        <w:widowControl w:val="true"/>
        <w:pBdr/>
        <w:spacing/>
        <w:ind w:firstLine="640"/>
        <w:rPr>
          <w:rFonts w:ascii="楷体" w:hAnsi="楷体" w:eastAsia="楷体"/>
          <w:szCs w:val="32"/>
        </w:rPr>
      </w:pPr>
      <w:r>
        <w:rPr>
          <w:rFonts w:hint="eastAsia" w:ascii="楷体" w:hAnsi="楷体" w:eastAsia="楷体"/>
          <w:szCs w:val="32"/>
        </w:rPr>
        <w:t xml:space="preserve">2017年我局整体预算收入完成率为80.16%，支付完成率为61.06%，在保证我局正常行政运行的情况下，积极开展各项工作，保证了我局各项工作在进度、质量和产出等方面均达到相关指标数。但因部分项目性质类似，预算时分别立项，而支付时又未严格区分，存在不同项目支出内容雷同现象。</w:t>
      </w:r>
      <w:r>
        <w:rPr>
          <w:rFonts w:ascii="楷体" w:hAnsi="楷体" w:eastAsia="楷体"/>
          <w:szCs w:val="32"/>
        </w:rPr>
      </w:r>
    </w:p>
    <w:p>
      <w:pPr>
        <w:widowControl w:val="true"/>
        <w:pBdr/>
        <w:spacing/>
        <w:ind w:firstLine="640"/>
        <w:rPr>
          <w:rFonts w:ascii="楷体" w:hAnsi="楷体" w:eastAsia="楷体"/>
          <w:szCs w:val="32"/>
        </w:rPr>
      </w:pPr>
      <w:r>
        <w:rPr>
          <w:rFonts w:hint="eastAsia" w:ascii="楷体" w:hAnsi="楷体" w:eastAsia="楷体"/>
          <w:szCs w:val="32"/>
        </w:rPr>
        <w:t xml:space="preserve">①目标实际完成率分析：2017年我局</w:t>
      </w:r>
      <w:r>
        <w:rPr>
          <w:rFonts w:hint="eastAsia" w:ascii="楷体" w:hAnsi="楷体" w:eastAsia="楷体"/>
          <w:szCs w:val="32"/>
        </w:rPr>
        <w:t xml:space="preserve">共预算</w:t>
      </w:r>
      <w:r>
        <w:rPr>
          <w:rFonts w:hint="eastAsia" w:ascii="楷体" w:hAnsi="楷体" w:eastAsia="楷体"/>
          <w:szCs w:val="32"/>
        </w:rPr>
        <w:t xml:space="preserve">项目6个，共收到项目资金6个，因部分项目性质相似，预算时分开预算，实际支出时合并支付，且财政在拨付资金未能明确到单个项目，</w:t>
      </w:r>
      <w:r>
        <w:rPr>
          <w:rFonts w:hint="eastAsia" w:ascii="楷体" w:hAnsi="楷体" w:eastAsia="楷体"/>
          <w:szCs w:val="32"/>
        </w:rPr>
        <w:t xml:space="preserve">故我局</w:t>
      </w:r>
      <w:r>
        <w:rPr>
          <w:rFonts w:hint="eastAsia" w:ascii="楷体" w:hAnsi="楷体" w:eastAsia="楷体"/>
          <w:szCs w:val="32"/>
        </w:rPr>
        <w:t xml:space="preserve">账面反映实</w:t>
      </w:r>
      <w:r>
        <w:rPr>
          <w:rFonts w:hint="eastAsia" w:ascii="楷体" w:hAnsi="楷体" w:eastAsia="楷体"/>
          <w:szCs w:val="32"/>
        </w:rPr>
        <w:t xml:space="preserve">际实施项目为4个，项目实际完成率66.67%</w:t>
      </w:r>
      <w:r>
        <w:rPr>
          <w:rFonts w:ascii="楷体" w:hAnsi="楷体" w:eastAsia="楷体"/>
          <w:szCs w:val="32"/>
        </w:rPr>
        <w:t xml:space="preserve"> </w:t>
      </w:r>
      <w:r>
        <w:rPr>
          <w:rFonts w:hint="eastAsia" w:ascii="楷体" w:hAnsi="楷体" w:eastAsia="楷体"/>
          <w:szCs w:val="32"/>
        </w:rPr>
        <w:t xml:space="preserve">，自评得分6.67分（满分10分）。</w:t>
      </w:r>
      <w:r>
        <w:rPr>
          <w:rFonts w:ascii="楷体" w:hAnsi="楷体" w:eastAsia="楷体"/>
          <w:szCs w:val="32"/>
        </w:rPr>
      </w:r>
    </w:p>
    <w:tbl>
      <w:tblPr>
        <w:tblW w:w="9854" w:type="dxa"/>
        <w:tblBorders/>
        <w:tblLayout w:type="fixed"/>
        <w:tblLook w:val="04A0" w:firstRow="1" w:lastRow="0" w:firstColumn="1" w:lastColumn="0" w:noHBand="0" w:noVBand="1"/>
      </w:tblPr>
      <w:tblGrid>
        <w:gridCol w:w="9854"/>
      </w:tblGrid>
      <w:tr>
        <w:trPr>
          <w:trHeight w:val="630"/>
        </w:trPr>
        <w:tc>
          <w:tcPr>
            <w:shd w:val="clear" w:color="auto" w:fill="auto"/>
            <w:tcBorders>
              <w:top w:val="none" w:color="000000" w:sz="4" w:space="0"/>
              <w:left w:val="none" w:color="000000" w:sz="4" w:space="0"/>
              <w:bottom w:val="single" w:color="auto" w:sz="4" w:space="0"/>
              <w:right w:val="none" w:color="000000" w:sz="4" w:space="0"/>
            </w:tcBorders>
            <w:tcW w:w="9854" w:type="dxa"/>
            <w:vAlign w:val="center"/>
            <w:textDirection w:val="lrTb"/>
            <w:noWrap w:val="false"/>
          </w:tcPr>
          <w:p>
            <w:pPr>
              <w:widowControl w:val="true"/>
              <w:pBdr/>
              <w:spacing/>
              <w:ind w:firstLine="585"/>
              <w:rPr>
                <w:rFonts w:ascii="宋体" w:hAnsi="宋体" w:eastAsia="宋体" w:cs="宋体"/>
                <w:bCs/>
                <w:sz w:val="28"/>
                <w:szCs w:val="28"/>
              </w:rPr>
            </w:pPr>
            <w:r>
              <w:rPr>
                <w:rFonts w:hint="eastAsia" w:ascii="楷体" w:hAnsi="楷体" w:eastAsia="楷体"/>
                <w:szCs w:val="32"/>
              </w:rPr>
              <w:t xml:space="preserve">2017年我局项目资金的绩效完成情况如下表：</w:t>
            </w:r>
            <w:r>
              <w:rPr>
                <w:rFonts w:ascii="宋体" w:hAnsi="宋体" w:eastAsia="宋体" w:cs="宋体"/>
                <w:bCs/>
                <w:sz w:val="28"/>
                <w:szCs w:val="28"/>
              </w:rPr>
            </w:r>
          </w:p>
          <w:tbl>
            <w:tblPr>
              <w:tblW w:w="9350" w:type="dxa"/>
              <w:tblBorders/>
              <w:tblLayout w:type="fixed"/>
              <w:tblLook w:val="04A0" w:firstRow="1" w:lastRow="0" w:firstColumn="1" w:lastColumn="0" w:noHBand="0" w:noVBand="1"/>
            </w:tblPr>
            <w:tblGrid>
              <w:gridCol w:w="2830"/>
              <w:gridCol w:w="1304"/>
              <w:gridCol w:w="1304"/>
              <w:gridCol w:w="1304"/>
              <w:gridCol w:w="1304"/>
              <w:gridCol w:w="1304"/>
            </w:tblGrid>
            <w:tr>
              <w:trPr>
                <w:trHeight w:val="762"/>
              </w:trPr>
              <w:tc>
                <w:tcPr>
                  <w:shd w:val="clear" w:color="auto" w:fill="auto"/>
                  <w:tcBorders>
                    <w:top w:val="single" w:color="auto"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项目名称</w:t>
                  </w:r>
                  <w:r>
                    <w:rPr>
                      <w:rFonts w:ascii="楷体" w:hAnsi="楷体" w:eastAsia="楷体" w:cs="宋体"/>
                      <w:sz w:val="24"/>
                    </w:rPr>
                  </w:r>
                </w:p>
              </w:tc>
              <w:tc>
                <w:tcPr>
                  <w:shd w:val="clear" w:color="auto" w:fill="auto"/>
                  <w:tcBorders>
                    <w:top w:val="single" w:color="auto"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预算数</w:t>
                  </w:r>
                  <w:r>
                    <w:rPr>
                      <w:rFonts w:ascii="楷体" w:hAnsi="楷体" w:eastAsia="楷体" w:cs="宋体"/>
                      <w:sz w:val="24"/>
                    </w:rPr>
                  </w:r>
                </w:p>
              </w:tc>
              <w:tc>
                <w:tcPr>
                  <w:shd w:val="clear" w:color="auto" w:fill="auto"/>
                  <w:tcBorders>
                    <w:top w:val="single" w:color="auto"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实际到位数</w:t>
                  </w:r>
                  <w:r>
                    <w:rPr>
                      <w:rFonts w:ascii="楷体" w:hAnsi="楷体" w:eastAsia="楷体" w:cs="宋体"/>
                      <w:color w:val="000000"/>
                      <w:sz w:val="24"/>
                    </w:rPr>
                  </w:r>
                </w:p>
              </w:tc>
              <w:tc>
                <w:tcPr>
                  <w:shd w:val="clear" w:color="auto" w:fill="auto"/>
                  <w:tcBorders>
                    <w:top w:val="single" w:color="auto"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实际支付数</w:t>
                  </w:r>
                  <w:r>
                    <w:rPr>
                      <w:rFonts w:ascii="楷体" w:hAnsi="楷体" w:eastAsia="楷体" w:cs="宋体"/>
                      <w:color w:val="000000"/>
                      <w:sz w:val="24"/>
                    </w:rPr>
                  </w:r>
                </w:p>
              </w:tc>
              <w:tc>
                <w:tcPr>
                  <w:shd w:val="clear" w:color="auto" w:fill="auto"/>
                  <w:tcBorders>
                    <w:top w:val="single" w:color="auto"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收入完成率</w:t>
                  </w:r>
                  <w:r>
                    <w:rPr>
                      <w:rFonts w:ascii="楷体" w:hAnsi="楷体" w:eastAsia="楷体" w:cs="宋体"/>
                      <w:color w:val="000000"/>
                      <w:sz w:val="24"/>
                    </w:rPr>
                  </w:r>
                </w:p>
              </w:tc>
              <w:tc>
                <w:tcPr>
                  <w:shd w:val="clear" w:color="auto" w:fill="auto"/>
                  <w:tcBorders>
                    <w:top w:val="single" w:color="auto"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ascii="楷体" w:hAnsi="楷体" w:eastAsia="楷体" w:cs="宋体"/>
                      <w:color w:val="000000"/>
                      <w:sz w:val="24"/>
                    </w:rPr>
                  </w:pPr>
                  <w:r>
                    <w:rPr>
                      <w:rFonts w:hint="eastAsia" w:ascii="楷体" w:hAnsi="楷体" w:eastAsia="楷体" w:cs="宋体"/>
                      <w:color w:val="000000"/>
                      <w:sz w:val="24"/>
                    </w:rPr>
                    <w:t xml:space="preserve">支付完成率</w:t>
                  </w:r>
                  <w:r>
                    <w:rPr>
                      <w:rFonts w:ascii="楷体" w:hAnsi="楷体" w:eastAsia="楷体" w:cs="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办公楼大型修缮</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100.00</w:t>
                  </w:r>
                  <w:r>
                    <w:rPr>
                      <w:rFonts w:eastAsia="宋体"/>
                      <w:sz w:val="24"/>
                    </w:rPr>
                  </w:r>
                </w:p>
              </w:tc>
              <w:tc>
                <w:tcPr>
                  <w:shd w:val="clear" w:color="000000" w:fill="ffffff"/>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48.39 </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48.39</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48.39%</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48.39%</w:t>
                  </w:r>
                  <w:r>
                    <w:rPr>
                      <w:rFonts w:eastAsia="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购买社会服务</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450.00</w:t>
                  </w:r>
                  <w:r>
                    <w:rPr>
                      <w:rFonts w:eastAsia="宋体"/>
                      <w:sz w:val="24"/>
                    </w:rPr>
                  </w:r>
                </w:p>
              </w:tc>
              <w:tc>
                <w:tcPr>
                  <w:shd w:val="clear" w:color="000000" w:fill="ffffff"/>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342.43 </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214.86</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76.10%</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47.75%</w:t>
                  </w:r>
                  <w:r>
                    <w:rPr>
                      <w:rFonts w:eastAsia="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审计专项业务经费</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15.00</w:t>
                  </w:r>
                  <w:r>
                    <w:rPr>
                      <w:rFonts w:eastAsia="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15.00 </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0</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100.00%</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0.00%</w:t>
                  </w:r>
                  <w:r>
                    <w:rPr>
                      <w:rFonts w:eastAsia="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审计信息化建设-大数据移动办公</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386.07</w:t>
                  </w:r>
                  <w:r>
                    <w:rPr>
                      <w:rFonts w:eastAsia="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91.07 </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33.54</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23.59%</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36.83%</w:t>
                  </w:r>
                  <w:r>
                    <w:rPr>
                      <w:rFonts w:eastAsia="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金审工程</w:t>
                  </w:r>
                  <w:r>
                    <w:rPr>
                      <w:rFonts w:hint="eastAsia" w:ascii="楷体" w:hAnsi="楷体" w:eastAsia="楷体" w:cs="宋体"/>
                      <w:sz w:val="24"/>
                    </w:rPr>
                    <w:t xml:space="preserve">三期建设经费</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150.00</w:t>
                  </w:r>
                  <w:r>
                    <w:rPr>
                      <w:rFonts w:eastAsia="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50.00 </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0</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33.33%</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0.00%</w:t>
                  </w:r>
                  <w:r>
                    <w:rPr>
                      <w:rFonts w:eastAsia="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外地交叉审计费</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120.00</w:t>
                  </w:r>
                  <w:r>
                    <w:rPr>
                      <w:rFonts w:eastAsia="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8.6</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8.6</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7.17%</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7.17%</w:t>
                  </w:r>
                  <w:r>
                    <w:rPr>
                      <w:rFonts w:eastAsia="宋体"/>
                      <w:color w:val="000000"/>
                      <w:sz w:val="24"/>
                    </w:rPr>
                  </w:r>
                </w:p>
              </w:tc>
            </w:tr>
            <w:tr>
              <w:trPr>
                <w:trHeight w:val="762"/>
              </w:trPr>
              <w:tc>
                <w:tcPr>
                  <w:shd w:val="clear" w:color="auto" w:fill="auto"/>
                  <w:tcBorders>
                    <w:top w:val="none" w:color="000000" w:sz="4" w:space="0"/>
                    <w:left w:val="single" w:color="auto" w:sz="4" w:space="0"/>
                    <w:bottom w:val="single" w:color="auto" w:sz="4" w:space="0"/>
                    <w:right w:val="single" w:color="auto" w:sz="4" w:space="0"/>
                  </w:tcBorders>
                  <w:tcW w:w="2830" w:type="dxa"/>
                  <w:vAlign w:val="center"/>
                  <w:textDirection w:val="lrTb"/>
                  <w:noWrap w:val="false"/>
                </w:tcPr>
                <w:p>
                  <w:pPr>
                    <w:widowControl w:val="true"/>
                    <w:pBdr/>
                    <w:spacing/>
                    <w:ind/>
                    <w:jc w:val="center"/>
                    <w:rPr>
                      <w:rFonts w:ascii="楷体" w:hAnsi="楷体" w:eastAsia="楷体" w:cs="宋体"/>
                      <w:sz w:val="24"/>
                    </w:rPr>
                  </w:pPr>
                  <w:r>
                    <w:rPr>
                      <w:rFonts w:hint="eastAsia" w:ascii="楷体" w:hAnsi="楷体" w:eastAsia="楷体" w:cs="宋体"/>
                      <w:sz w:val="24"/>
                    </w:rPr>
                    <w:t xml:space="preserve">合计</w:t>
                  </w:r>
                  <w:r>
                    <w:rPr>
                      <w:rFonts w:ascii="楷体" w:hAnsi="楷体" w:eastAsia="楷体" w:cs="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1221.07</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555.49</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color w:val="000000"/>
                      <w:sz w:val="24"/>
                    </w:rPr>
                  </w:pPr>
                  <w:r>
                    <w:rPr>
                      <w:rFonts w:eastAsia="宋体"/>
                      <w:color w:val="000000"/>
                      <w:sz w:val="24"/>
                    </w:rPr>
                    <w:t xml:space="preserve">305.39</w:t>
                  </w:r>
                  <w:r>
                    <w:rPr>
                      <w:rFonts w:eastAsia="宋体"/>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45.49%</w:t>
                  </w:r>
                  <w:r>
                    <w:rPr>
                      <w:rFonts w:eastAsia="宋体"/>
                      <w:sz w:val="24"/>
                    </w:rPr>
                  </w:r>
                </w:p>
              </w:tc>
              <w:tc>
                <w:tcPr>
                  <w:shd w:val="clear" w:color="auto" w:fill="auto"/>
                  <w:tcBorders>
                    <w:top w:val="none" w:color="000000" w:sz="4" w:space="0"/>
                    <w:left w:val="none" w:color="000000" w:sz="4" w:space="0"/>
                    <w:bottom w:val="single" w:color="auto" w:sz="4" w:space="0"/>
                    <w:right w:val="single" w:color="auto" w:sz="4" w:space="0"/>
                  </w:tcBorders>
                  <w:tcW w:w="1304" w:type="dxa"/>
                  <w:vAlign w:val="center"/>
                  <w:textDirection w:val="lrTb"/>
                  <w:noWrap w:val="false"/>
                </w:tcPr>
                <w:p>
                  <w:pPr>
                    <w:widowControl w:val="true"/>
                    <w:pBdr/>
                    <w:spacing/>
                    <w:ind/>
                    <w:jc w:val="center"/>
                    <w:rPr>
                      <w:rFonts w:eastAsia="宋体"/>
                      <w:sz w:val="24"/>
                    </w:rPr>
                  </w:pPr>
                  <w:r>
                    <w:rPr>
                      <w:rFonts w:eastAsia="宋体"/>
                      <w:sz w:val="24"/>
                    </w:rPr>
                    <w:t xml:space="preserve">25.01%</w:t>
                  </w:r>
                  <w:r>
                    <w:rPr>
                      <w:rFonts w:eastAsia="宋体"/>
                      <w:sz w:val="24"/>
                    </w:rPr>
                  </w:r>
                </w:p>
              </w:tc>
            </w:tr>
          </w:tbl>
          <w:p>
            <w:pPr>
              <w:widowControl w:val="true"/>
              <w:pBdr/>
              <w:spacing/>
              <w:ind w:firstLine="585"/>
              <w:rPr>
                <w:rFonts w:ascii="宋体" w:hAnsi="宋体" w:eastAsia="宋体" w:cs="宋体"/>
                <w:bCs/>
                <w:sz w:val="28"/>
                <w:szCs w:val="28"/>
              </w:rPr>
            </w:pPr>
            <w:r>
              <w:rPr>
                <w:rFonts w:ascii="宋体" w:hAnsi="宋体" w:eastAsia="宋体" w:cs="宋体"/>
                <w:bCs/>
                <w:sz w:val="28"/>
                <w:szCs w:val="28"/>
              </w:rPr>
            </w:r>
            <w:r>
              <w:rPr>
                <w:rFonts w:ascii="宋体" w:hAnsi="宋体" w:eastAsia="宋体" w:cs="宋体"/>
                <w:bCs/>
                <w:sz w:val="28"/>
                <w:szCs w:val="28"/>
              </w:rPr>
            </w:r>
          </w:p>
        </w:tc>
      </w:tr>
    </w:tbl>
    <w:p>
      <w:pPr>
        <w:pBdr/>
        <w:spacing/>
        <w:ind w:firstLine="640"/>
        <w:rPr>
          <w:rFonts w:ascii="楷体" w:hAnsi="楷体" w:eastAsia="楷体" w:cs="楷体_GB2312"/>
          <w:bCs/>
          <w:szCs w:val="32"/>
        </w:rPr>
      </w:pPr>
      <w:r>
        <w:rPr>
          <w:rFonts w:hint="eastAsia" w:ascii="楷体" w:hAnsi="楷体" w:eastAsia="楷体" w:cs="楷体_GB2312"/>
          <w:bCs/>
          <w:szCs w:val="32"/>
        </w:rPr>
        <w:t xml:space="preserve">②质量达标率分析:2017年我局在到位资金不足的情况下，积极开展各项工作，按时按质完成了市委、市政府及上级单位下达的任务，并得到市委、市政府及上级领导的肯定。自评得分5分（满分5分）；</w:t>
      </w:r>
      <w:r>
        <w:rPr>
          <w:rFonts w:hint="eastAsia" w:ascii="楷体" w:hAnsi="楷体" w:eastAsia="楷体"/>
          <w:szCs w:val="32"/>
        </w:rPr>
        <w:t xml:space="preserve"> </w:t>
      </w:r>
      <w:r>
        <w:rPr>
          <w:rFonts w:ascii="楷体" w:hAnsi="楷体" w:eastAsia="楷体" w:cs="楷体_GB2312"/>
          <w:bCs/>
          <w:szCs w:val="32"/>
        </w:rPr>
      </w:r>
    </w:p>
    <w:p>
      <w:pPr>
        <w:pBdr/>
        <w:spacing/>
        <w:ind w:firstLine="640"/>
        <w:outlineLvl w:val="0"/>
        <w:rPr>
          <w:rFonts w:ascii="楷体" w:hAnsi="楷体" w:eastAsia="楷体" w:cs="楷体_GB2312"/>
          <w:bCs/>
          <w:szCs w:val="32"/>
        </w:rPr>
      </w:pPr>
      <w:r>
        <w:rPr>
          <w:rFonts w:hint="eastAsia" w:ascii="楷体" w:hAnsi="楷体" w:eastAsia="楷体" w:cs="楷体_GB2312"/>
          <w:bCs/>
          <w:szCs w:val="32"/>
        </w:rPr>
        <w:t xml:space="preserve">③重点工作办结率分析：</w:t>
      </w:r>
      <w:r>
        <w:rPr>
          <w:rFonts w:hint="eastAsia" w:ascii="楷体" w:hAnsi="楷体" w:eastAsia="楷体"/>
          <w:szCs w:val="32"/>
        </w:rPr>
        <w:t xml:space="preserve">2017年我局完成</w:t>
      </w:r>
      <w:r>
        <w:rPr>
          <w:rFonts w:hint="eastAsia" w:ascii="楷体" w:hAnsi="楷体" w:eastAsia="楷体" w:cs="仿宋_GB2312"/>
          <w:bCs/>
          <w:szCs w:val="32"/>
        </w:rPr>
        <w:t xml:space="preserve">15个大型上级统筹审计项目，141个市本级审计项目，共查处相关单位在政策落实、财政预算执行、内控管理、履职尽责、扶贫环保、民生社保等方面的问题30余项。</w:t>
      </w:r>
      <w:r>
        <w:rPr>
          <w:rFonts w:hint="eastAsia" w:ascii="楷体" w:hAnsi="楷体" w:eastAsia="楷体" w:cs="楷体_GB2312"/>
          <w:bCs/>
          <w:szCs w:val="32"/>
        </w:rPr>
        <w:t xml:space="preserve">2017年我局重点工作办理落实率100%，自评得分5分（满分5分）</w:t>
      </w:r>
      <w:r>
        <w:rPr>
          <w:rFonts w:ascii="楷体" w:hAnsi="楷体" w:eastAsia="楷体" w:cs="楷体_GB2312"/>
          <w:bCs/>
          <w:szCs w:val="32"/>
        </w:rPr>
      </w:r>
    </w:p>
    <w:p>
      <w:pPr>
        <w:pBdr/>
        <w:spacing/>
        <w:ind w:firstLine="640"/>
        <w:rPr>
          <w:rFonts w:ascii="楷体" w:hAnsi="楷体" w:eastAsia="楷体"/>
          <w:szCs w:val="32"/>
        </w:rPr>
      </w:pPr>
      <w:r>
        <w:rPr>
          <w:rFonts w:hint="eastAsia" w:ascii="楷体" w:hAnsi="楷体" w:eastAsia="楷体"/>
          <w:szCs w:val="32"/>
        </w:rPr>
        <w:t xml:space="preserve">4、整体支出效果情况分析</w:t>
      </w:r>
      <w:r>
        <w:rPr>
          <w:rFonts w:ascii="楷体" w:hAnsi="楷体" w:eastAsia="楷体"/>
          <w:szCs w:val="32"/>
        </w:rPr>
      </w:r>
    </w:p>
    <w:p>
      <w:pPr>
        <w:pBdr/>
        <w:spacing/>
        <w:ind w:firstLine="640"/>
        <w:rPr>
          <w:rFonts w:ascii="楷体" w:hAnsi="楷体" w:eastAsia="楷体"/>
          <w:szCs w:val="32"/>
        </w:rPr>
      </w:pPr>
      <w:r>
        <w:rPr>
          <w:rFonts w:hint="eastAsia" w:ascii="楷体" w:hAnsi="楷体" w:eastAsia="楷体"/>
          <w:szCs w:val="32"/>
        </w:rPr>
        <w:t xml:space="preserve">2017年，我局的审计工作达到了较好的社会效益，具体表现为：</w:t>
      </w:r>
      <w:r>
        <w:rPr>
          <w:rFonts w:ascii="楷体" w:hAnsi="楷体" w:eastAsia="楷体"/>
          <w:szCs w:val="32"/>
        </w:rPr>
      </w:r>
    </w:p>
    <w:p>
      <w:pPr>
        <w:pBdr/>
        <w:spacing/>
        <w:ind w:firstLine="640"/>
        <w:rPr>
          <w:rFonts w:ascii="楷体" w:hAnsi="楷体" w:eastAsia="楷体" w:cs="仿宋_GB2312"/>
          <w:bCs/>
          <w:szCs w:val="32"/>
        </w:rPr>
      </w:pPr>
      <w:r>
        <w:rPr>
          <w:rFonts w:hint="eastAsia" w:ascii="楷体" w:hAnsi="楷体" w:eastAsia="楷体"/>
          <w:szCs w:val="32"/>
        </w:rPr>
        <w:t xml:space="preserve">①经济性：</w:t>
      </w:r>
      <w:r>
        <w:rPr>
          <w:rFonts w:hint="eastAsia" w:ascii="楷体" w:hAnsi="楷体" w:eastAsia="楷体" w:cs="仿宋_GB2312"/>
          <w:bCs/>
          <w:szCs w:val="32"/>
        </w:rPr>
        <w:t xml:space="preserve">，查处各类违规违纪和管理不规范问题资金20余亿元，审</w:t>
      </w:r>
      <w:r>
        <w:rPr>
          <w:rFonts w:hint="eastAsia" w:ascii="楷体" w:hAnsi="楷体" w:eastAsia="楷体" w:cs="仿宋_GB2312"/>
          <w:bCs/>
          <w:szCs w:val="32"/>
        </w:rPr>
        <w:t xml:space="preserve">减政府</w:t>
      </w:r>
      <w:r>
        <w:rPr>
          <w:rFonts w:hint="eastAsia" w:ascii="楷体" w:hAnsi="楷体" w:eastAsia="楷体" w:cs="仿宋_GB2312"/>
          <w:bCs/>
          <w:szCs w:val="32"/>
        </w:rPr>
        <w:t xml:space="preserve">投资建设资金1.22亿元，提出审计建议317条，拟定整改要求49项。</w:t>
      </w:r>
      <w:r>
        <w:rPr>
          <w:rFonts w:hint="eastAsia" w:ascii="楷体" w:hAnsi="楷体" w:eastAsia="楷体"/>
          <w:szCs w:val="32"/>
        </w:rPr>
        <w:t xml:space="preserve">自评得分8分（满分8分）</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②有效性：2017年我局</w:t>
      </w:r>
      <w:r>
        <w:rPr>
          <w:rFonts w:hint="eastAsia" w:ascii="楷体" w:hAnsi="楷体" w:eastAsia="楷体" w:cs="楷体_GB2312"/>
          <w:szCs w:val="32"/>
        </w:rPr>
        <w:t xml:space="preserve">全面完成审计任务；坚决严肃</w:t>
      </w:r>
      <w:r>
        <w:rPr>
          <w:rFonts w:hint="eastAsia" w:ascii="楷体" w:hAnsi="楷体" w:eastAsia="楷体" w:cs="楷体_GB2312"/>
          <w:szCs w:val="32"/>
        </w:rPr>
        <w:t xml:space="preserve">执法问</w:t>
      </w:r>
      <w:r>
        <w:rPr>
          <w:rFonts w:hint="eastAsia" w:ascii="楷体" w:hAnsi="楷体" w:eastAsia="楷体" w:cs="楷体_GB2312"/>
          <w:szCs w:val="32"/>
        </w:rPr>
        <w:t xml:space="preserve">责，着力当好“反腐卫士”；抓</w:t>
      </w:r>
      <w:r>
        <w:rPr>
          <w:rFonts w:hint="eastAsia" w:ascii="楷体" w:hAnsi="楷体" w:eastAsia="楷体" w:cs="楷体_GB2312"/>
          <w:szCs w:val="32"/>
        </w:rPr>
        <w:t xml:space="preserve">实成果</w:t>
      </w:r>
      <w:r>
        <w:rPr>
          <w:rFonts w:hint="eastAsia" w:ascii="楷体" w:hAnsi="楷体" w:eastAsia="楷体" w:cs="楷体_GB2312"/>
          <w:szCs w:val="32"/>
        </w:rPr>
        <w:t xml:space="preserve">开发运用，发挥审计建设性作用，并</w:t>
      </w:r>
      <w:r>
        <w:rPr>
          <w:rFonts w:hint="eastAsia" w:ascii="楷体" w:hAnsi="楷体" w:eastAsia="楷体" w:cs="仿宋_GB2312"/>
          <w:bCs/>
          <w:szCs w:val="32"/>
        </w:rPr>
        <w:t xml:space="preserve">抽调多名业务骨干配合市委巡察组圆满完成三轮专项巡察工作</w:t>
      </w:r>
      <w:r>
        <w:rPr>
          <w:rFonts w:hint="eastAsia" w:ascii="楷体" w:hAnsi="楷体" w:eastAsia="楷体" w:cs="楷体_GB2312"/>
          <w:szCs w:val="32"/>
        </w:rPr>
        <w:t xml:space="preserve">。</w:t>
      </w:r>
      <w:r>
        <w:rPr>
          <w:rFonts w:hint="eastAsia" w:ascii="楷体" w:hAnsi="楷体" w:eastAsia="楷体"/>
          <w:szCs w:val="32"/>
        </w:rPr>
        <w:t xml:space="preserve">自评得分8分（满分8分）</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③我局管理工作评价： </w:t>
      </w:r>
      <w:r>
        <w:rPr>
          <w:rFonts w:hint="eastAsia" w:ascii="仿宋_GB2312" w:hAnsi="仿宋_GB2312" w:cs="仿宋_GB2312"/>
          <w:bCs/>
          <w:szCs w:val="32"/>
        </w:rPr>
        <w:t xml:space="preserve">2</w:t>
      </w:r>
      <w:r>
        <w:rPr>
          <w:rFonts w:hint="eastAsia" w:ascii="楷体" w:hAnsi="楷体" w:eastAsia="楷体"/>
          <w:szCs w:val="32"/>
        </w:rPr>
        <w:t xml:space="preserve">017年,我局紧紧围绕党委政府中心工作，认真落实“两个责任”，全面从</w:t>
      </w:r>
      <w:r>
        <w:rPr>
          <w:rFonts w:hint="eastAsia" w:ascii="楷体" w:hAnsi="楷体" w:eastAsia="楷体"/>
          <w:szCs w:val="32"/>
        </w:rPr>
        <w:t xml:space="preserve">严管党</w:t>
      </w:r>
      <w:r>
        <w:rPr>
          <w:rFonts w:hint="eastAsia" w:ascii="楷体" w:hAnsi="楷体" w:eastAsia="楷体"/>
          <w:szCs w:val="32"/>
        </w:rPr>
        <w:t xml:space="preserve">治党，通过深入实施“三提</w:t>
      </w:r>
      <w:r>
        <w:rPr>
          <w:rFonts w:hint="eastAsia" w:ascii="楷体" w:hAnsi="楷体" w:eastAsia="楷体"/>
          <w:szCs w:val="32"/>
        </w:rPr>
        <w:t xml:space="preserve">一</w:t>
      </w:r>
      <w:r>
        <w:rPr>
          <w:rFonts w:hint="eastAsia" w:ascii="楷体" w:hAnsi="楷体" w:eastAsia="楷体"/>
          <w:szCs w:val="32"/>
        </w:rPr>
        <w:t xml:space="preserve">创”工程，激励全体干部职工克服各类矛盾困难，依法履职，勤勉尽责，圆满并超额完成了年度目标责任任务，我局在全省审计工作综合量化考核中继续保持优秀等次。自评得分9分（满分9分）。</w:t>
      </w:r>
      <w:r>
        <w:rPr>
          <w:rFonts w:ascii="楷体" w:hAnsi="楷体" w:eastAsia="楷体" w:cs="仿宋_GB2312"/>
          <w:bCs/>
          <w:szCs w:val="32"/>
        </w:rPr>
      </w:r>
    </w:p>
    <w:p>
      <w:pPr>
        <w:pBdr/>
        <w:spacing/>
        <w:ind w:firstLine="640"/>
        <w:rPr>
          <w:rFonts w:ascii="楷体" w:hAnsi="楷体" w:eastAsia="楷体"/>
          <w:szCs w:val="32"/>
        </w:rPr>
      </w:pPr>
      <w:r>
        <w:rPr>
          <w:rFonts w:hint="eastAsia" w:ascii="楷体" w:hAnsi="楷体" w:eastAsia="楷体" w:cs="仿宋_GB2312"/>
          <w:bCs/>
          <w:szCs w:val="32"/>
        </w:rPr>
        <w:t xml:space="preserve">④社会公众或服务对象满意度：</w:t>
      </w:r>
      <w:r>
        <w:rPr>
          <w:rFonts w:ascii="楷体" w:hAnsi="楷体" w:eastAsia="楷体"/>
          <w:szCs w:val="32"/>
        </w:rPr>
        <w:t xml:space="preserve"> </w:t>
      </w:r>
      <w:r>
        <w:rPr>
          <w:rFonts w:hint="eastAsia" w:ascii="楷体" w:hAnsi="楷体" w:eastAsia="楷体" w:cs="仿宋_GB2312"/>
          <w:bCs/>
          <w:szCs w:val="32"/>
        </w:rPr>
        <w:t xml:space="preserve">2017年我局积极参与了</w:t>
      </w:r>
      <w:r>
        <w:rPr>
          <w:rFonts w:hint="eastAsia" w:ascii="楷体" w:hAnsi="楷体" w:eastAsia="楷体" w:cs="仿宋_GB2312"/>
          <w:bCs/>
          <w:szCs w:val="32"/>
        </w:rPr>
        <w:t xml:space="preserve">全市专项</w:t>
      </w:r>
      <w:r>
        <w:rPr>
          <w:rFonts w:hint="eastAsia" w:ascii="楷体" w:hAnsi="楷体" w:eastAsia="楷体" w:cs="仿宋_GB2312"/>
          <w:bCs/>
          <w:szCs w:val="32"/>
        </w:rPr>
        <w:t xml:space="preserve">检查工作，各项工作成果，均受到市委和市纪委领导的充分肯定。</w:t>
      </w:r>
      <w:r>
        <w:rPr>
          <w:rFonts w:hint="eastAsia" w:ascii="楷体" w:hAnsi="楷体" w:eastAsia="楷体"/>
          <w:szCs w:val="32"/>
        </w:rPr>
        <w:t xml:space="preserve">自评得分10分（满分10分）</w:t>
      </w:r>
      <w:r>
        <w:rPr>
          <w:rFonts w:ascii="楷体" w:hAnsi="楷体" w:eastAsia="楷体"/>
          <w:szCs w:val="32"/>
        </w:rPr>
      </w:r>
    </w:p>
    <w:p>
      <w:pPr>
        <w:pBdr/>
        <w:spacing/>
        <w:ind w:firstLine="640"/>
        <w:rPr>
          <w:rFonts w:ascii="楷体" w:hAnsi="楷体" w:eastAsia="楷体"/>
          <w:szCs w:val="32"/>
        </w:rPr>
      </w:pPr>
      <w:r>
        <w:rPr>
          <w:rFonts w:ascii="楷体" w:hAnsi="楷体" w:eastAsia="楷体"/>
          <w:szCs w:val="32"/>
        </w:rPr>
      </w:r>
      <w:r>
        <w:rPr>
          <w:rFonts w:ascii="楷体" w:hAnsi="楷体" w:eastAsia="楷体"/>
          <w:szCs w:val="32"/>
        </w:rPr>
      </w:r>
    </w:p>
    <w:p>
      <w:pPr>
        <w:pBdr/>
        <w:spacing/>
        <w:ind w:firstLine="643"/>
        <w:rPr>
          <w:rFonts w:ascii="楷体" w:hAnsi="楷体" w:eastAsia="楷体" w:cs="黑体"/>
          <w:b/>
          <w:bCs/>
          <w:szCs w:val="32"/>
        </w:rPr>
      </w:pPr>
      <w:r>
        <w:rPr>
          <w:rFonts w:hint="eastAsia" w:ascii="楷体" w:hAnsi="楷体" w:eastAsia="楷体" w:cs="黑体"/>
          <w:b/>
          <w:bCs/>
          <w:szCs w:val="32"/>
        </w:rPr>
        <w:t xml:space="preserve">四、绩效目标未完成原因和下一步改进措施</w:t>
      </w:r>
      <w:r>
        <w:rPr>
          <w:rFonts w:ascii="楷体" w:hAnsi="楷体" w:eastAsia="楷体" w:cs="黑体"/>
          <w:b/>
          <w:bCs/>
          <w:szCs w:val="32"/>
        </w:rPr>
      </w:r>
    </w:p>
    <w:p>
      <w:pPr>
        <w:pBdr/>
        <w:spacing/>
        <w:ind w:firstLine="470"/>
        <w:rPr>
          <w:rFonts w:ascii="楷体" w:hAnsi="楷体" w:eastAsia="楷体" w:cs="仿宋_GB2312"/>
          <w:bCs/>
          <w:szCs w:val="32"/>
        </w:rPr>
      </w:pPr>
      <w:r>
        <w:rPr>
          <w:rFonts w:hint="eastAsia" w:ascii="楷体" w:hAnsi="楷体" w:eastAsia="楷体" w:cs="仿宋_GB2312"/>
          <w:bCs/>
          <w:szCs w:val="32"/>
        </w:rPr>
        <w:t xml:space="preserve"> （一）未完成原因：</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2017年我局整体预算资金收入完成率为80.16%，而项目预算收入完成率仅为45.49%,资金到位不足，使部分工作未能全面开展，未发</w:t>
      </w:r>
      <w:r>
        <w:rPr>
          <w:rFonts w:hint="eastAsia" w:ascii="楷体" w:hAnsi="楷体" w:eastAsia="楷体" w:cs="仿宋_GB2312"/>
          <w:bCs/>
          <w:szCs w:val="32"/>
        </w:rPr>
        <w:t xml:space="preserve">挥最佳效能。而我局现有审计力量还不足，审计干部队伍能力素质与新形势发展要求还不相适应，审计监督全覆盖面还有待进一步扩大，研究解决、大数据技术应用水平还有待进一步提升。</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（二）改进措施：</w:t>
      </w:r>
      <w:r>
        <w:rPr>
          <w:rFonts w:ascii="楷体" w:hAnsi="楷体" w:eastAsia="楷体" w:cs="仿宋_GB2312"/>
          <w:bCs/>
          <w:szCs w:val="32"/>
        </w:rPr>
      </w:r>
    </w:p>
    <w:p>
      <w:pPr>
        <w:pBdr/>
        <w:tabs>
          <w:tab w:val="left" w:leader="none" w:pos="7453"/>
        </w:tabs>
        <w:spacing/>
        <w:ind w:firstLine="480"/>
        <w:rPr>
          <w:rFonts w:ascii="楷体" w:hAnsi="楷体" w:eastAsia="楷体" w:cs="仿宋_GB2312"/>
          <w:bCs/>
          <w:szCs w:val="32"/>
        </w:rPr>
      </w:pPr>
      <w:r>
        <w:rPr>
          <w:rFonts w:hint="eastAsia" w:ascii="楷体" w:hAnsi="楷体" w:eastAsia="楷体" w:cs="仿宋_GB2312"/>
          <w:bCs/>
          <w:szCs w:val="32"/>
        </w:rPr>
        <w:t xml:space="preserve">2017年，我局拟在保持厉行节约、保持行政运行正常运转的情况下，合并预算类似项目、细化各类资金的经济分类，精确各类资金预算数据，提高各类资金的收入完成率和支付完成率。具体措施为：</w:t>
      </w:r>
      <w:r>
        <w:rPr>
          <w:rFonts w:ascii="楷体" w:hAnsi="楷体" w:eastAsia="楷体" w:cs="仿宋_GB2312"/>
          <w:bCs/>
          <w:szCs w:val="32"/>
        </w:rPr>
      </w:r>
    </w:p>
    <w:p>
      <w:pPr>
        <w:pBdr/>
        <w:tabs>
          <w:tab w:val="left" w:leader="none" w:pos="7453"/>
        </w:tabs>
        <w:spacing/>
        <w:ind w:firstLine="480"/>
        <w:rPr>
          <w:rFonts w:ascii="楷体" w:hAnsi="楷体" w:eastAsia="楷体" w:cs="仿宋_GB2312"/>
          <w:bCs/>
          <w:szCs w:val="32"/>
        </w:rPr>
      </w:pPr>
      <w:r>
        <w:rPr>
          <w:rFonts w:hint="eastAsia" w:ascii="楷体" w:hAnsi="楷体" w:eastAsia="楷体" w:cs="仿宋_GB2312"/>
          <w:bCs/>
          <w:szCs w:val="32"/>
        </w:rPr>
        <w:t xml:space="preserve">（1）加强预算管理工作，控制经费合理开支，对数额较大的差异和结余要分析产生的原因；</w:t>
      </w:r>
      <w:r>
        <w:rPr>
          <w:rFonts w:ascii="楷体" w:hAnsi="楷体" w:eastAsia="楷体" w:cs="仿宋_GB2312"/>
          <w:bCs/>
          <w:szCs w:val="32"/>
        </w:rPr>
      </w:r>
    </w:p>
    <w:p>
      <w:pPr>
        <w:pBdr/>
        <w:spacing/>
        <w:ind w:firstLine="480"/>
        <w:rPr>
          <w:rFonts w:ascii="楷体" w:hAnsi="楷体" w:eastAsia="楷体" w:cs="仿宋_GB2312"/>
          <w:bCs/>
          <w:szCs w:val="32"/>
        </w:rPr>
      </w:pPr>
      <w:r>
        <w:rPr>
          <w:rFonts w:hint="eastAsia" w:ascii="楷体" w:hAnsi="楷体" w:eastAsia="楷体" w:cs="仿宋_GB2312"/>
          <w:bCs/>
          <w:szCs w:val="32"/>
        </w:rPr>
        <w:t xml:space="preserve">（2）提高项目预算资金的到位率，并在预算的范围内合理安排工作，做到预算资金及时到位；</w:t>
      </w:r>
      <w:r>
        <w:rPr>
          <w:rFonts w:ascii="楷体" w:hAnsi="楷体" w:eastAsia="楷体" w:cs="仿宋_GB2312"/>
          <w:bCs/>
          <w:szCs w:val="32"/>
        </w:rPr>
      </w:r>
    </w:p>
    <w:p>
      <w:pPr>
        <w:pBdr/>
        <w:spacing/>
        <w:ind w:firstLine="480"/>
        <w:rPr>
          <w:rFonts w:ascii="楷体" w:hAnsi="楷体" w:eastAsia="楷体" w:cs="仿宋_GB2312"/>
          <w:bCs/>
          <w:szCs w:val="32"/>
        </w:rPr>
      </w:pPr>
      <w:r>
        <w:rPr>
          <w:rFonts w:hint="eastAsia" w:ascii="楷体" w:hAnsi="楷体" w:eastAsia="楷体" w:cs="仿宋_GB2312"/>
          <w:bCs/>
          <w:szCs w:val="32"/>
        </w:rPr>
        <w:t xml:space="preserve">（3）加大项目实施的推进力度，在外部环境发生变化时，采取有效的应对方案，确保项目按时完成；进一步加强对项目实施的管理监督，及时解决项目管理过程中存在的问题。</w:t>
      </w:r>
      <w:r>
        <w:rPr>
          <w:rFonts w:ascii="楷体" w:hAnsi="楷体" w:eastAsia="楷体" w:cs="仿宋_GB2312"/>
          <w:bCs/>
          <w:szCs w:val="32"/>
        </w:rPr>
      </w:r>
    </w:p>
    <w:p>
      <w:pPr>
        <w:pBdr/>
        <w:spacing/>
        <w:ind w:firstLine="645"/>
        <w:rPr>
          <w:rFonts w:ascii="楷体" w:hAnsi="楷体" w:eastAsia="楷体" w:cs="仿宋_GB2312"/>
          <w:bCs/>
          <w:szCs w:val="32"/>
        </w:rPr>
      </w:pPr>
      <w:r>
        <w:rPr>
          <w:rFonts w:ascii="楷体" w:hAnsi="楷体" w:eastAsia="楷体" w:cs="仿宋_GB2312"/>
          <w:bCs/>
          <w:szCs w:val="32"/>
        </w:rPr>
      </w:r>
      <w:r>
        <w:rPr>
          <w:rFonts w:ascii="楷体" w:hAnsi="楷体" w:eastAsia="楷体" w:cs="仿宋_GB2312"/>
          <w:bCs/>
          <w:szCs w:val="32"/>
        </w:rPr>
      </w:r>
    </w:p>
    <w:p>
      <w:pPr>
        <w:pBdr/>
        <w:spacing/>
        <w:ind w:firstLine="643"/>
        <w:rPr>
          <w:rFonts w:ascii="楷体" w:hAnsi="楷体" w:eastAsia="楷体" w:cs="黑体"/>
          <w:b/>
          <w:bCs/>
          <w:szCs w:val="32"/>
        </w:rPr>
      </w:pPr>
      <w:r>
        <w:rPr>
          <w:rFonts w:hint="eastAsia" w:ascii="楷体" w:hAnsi="楷体" w:eastAsia="楷体" w:cs="黑体"/>
          <w:b/>
          <w:bCs/>
          <w:szCs w:val="32"/>
        </w:rPr>
        <w:t xml:space="preserve">五、综合评价结论</w:t>
      </w:r>
      <w:r>
        <w:rPr>
          <w:rFonts w:ascii="楷体" w:hAnsi="楷体" w:eastAsia="楷体" w:cs="黑体"/>
          <w:b/>
          <w:bCs/>
          <w:szCs w:val="32"/>
        </w:rPr>
      </w:r>
    </w:p>
    <w:p>
      <w:pPr>
        <w:pBdr/>
        <w:spacing/>
        <w:ind w:firstLine="314"/>
        <w:rPr>
          <w:rFonts w:ascii="楷体" w:hAnsi="楷体" w:eastAsia="楷体"/>
          <w:szCs w:val="32"/>
        </w:rPr>
      </w:pPr>
      <w:r>
        <w:rPr>
          <w:rFonts w:hint="eastAsia" w:ascii="楷体" w:hAnsi="楷体" w:eastAsia="楷体"/>
          <w:szCs w:val="32"/>
        </w:rPr>
        <w:t xml:space="preserve"> 我局各项资金均按照相应资金管理办法、申报指南等规定的要求进行了预算，按规定用途使用资金，目标具体明确、合理可行，绩效目标与资金属性特点、支出内容相关，合乎客观实际。资金管理及方案实施的保障机构健全，人员分工明确，责任落实；资金管理办法、实施方案等制度健全、规范；工作进度计划、预算安排合理，投入有保障。单位的预算、决算已按规定的时间在规定的网站进行了公开，并</w:t>
      </w:r>
      <w:r>
        <w:rPr>
          <w:rFonts w:hint="eastAsia" w:ascii="楷体" w:hAnsi="楷体" w:eastAsia="楷体"/>
          <w:szCs w:val="32"/>
        </w:rPr>
        <w:t xml:space="preserve">且保证公开信息的真实、准确和完整。经过综合分析我局的整体绩效评价得分81.56分。</w:t>
      </w:r>
      <w:r>
        <w:rPr>
          <w:rFonts w:ascii="楷体" w:hAnsi="楷体" w:eastAsia="楷体"/>
          <w:szCs w:val="32"/>
        </w:rPr>
      </w:r>
    </w:p>
    <w:p>
      <w:pPr>
        <w:pBdr/>
        <w:spacing/>
        <w:ind w:firstLine="643"/>
        <w:rPr>
          <w:rFonts w:ascii="楷体" w:hAnsi="楷体" w:eastAsia="楷体" w:cs="黑体"/>
          <w:b/>
          <w:bCs/>
          <w:szCs w:val="32"/>
        </w:rPr>
      </w:pPr>
      <w:r>
        <w:rPr>
          <w:rFonts w:ascii="楷体" w:hAnsi="楷体" w:eastAsia="楷体" w:cs="黑体"/>
          <w:b/>
          <w:bCs/>
          <w:szCs w:val="32"/>
        </w:rPr>
      </w:r>
      <w:r>
        <w:rPr>
          <w:rFonts w:ascii="楷体" w:hAnsi="楷体" w:eastAsia="楷体" w:cs="黑体"/>
          <w:b/>
          <w:bCs/>
          <w:szCs w:val="32"/>
        </w:rPr>
      </w:r>
    </w:p>
    <w:p>
      <w:pPr>
        <w:pBdr/>
        <w:spacing/>
        <w:ind w:firstLine="643"/>
        <w:rPr>
          <w:rFonts w:ascii="楷体" w:hAnsi="楷体" w:eastAsia="楷体" w:cs="黑体"/>
          <w:b/>
          <w:bCs/>
          <w:szCs w:val="32"/>
        </w:rPr>
      </w:pPr>
      <w:r>
        <w:rPr>
          <w:rFonts w:hint="eastAsia" w:ascii="楷体" w:hAnsi="楷体" w:eastAsia="楷体" w:cs="黑体"/>
          <w:b/>
          <w:bCs/>
          <w:szCs w:val="32"/>
        </w:rPr>
        <w:t xml:space="preserve">六、绩效自评工作的经验、问题、改进建议和举措。</w:t>
      </w:r>
      <w:r>
        <w:rPr>
          <w:rFonts w:ascii="楷体" w:hAnsi="楷体" w:eastAsia="楷体" w:cs="黑体"/>
          <w:b/>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（一）经验</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1、根据我局职能，制定和详细规划年度绩效目标及绩效评价指标；</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2、对各类资金进行合理分解、落实并具体实施，管控我局整体收支，并取得较好的社会效益、经济效益；</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3、建立完善的管理、监督机制，确保我局各项工作的</w:t>
      </w:r>
      <w:r>
        <w:rPr>
          <w:rFonts w:hint="eastAsia" w:ascii="楷体" w:hAnsi="楷体" w:eastAsia="楷体" w:cs="仿宋_GB2312"/>
          <w:bCs/>
          <w:szCs w:val="32"/>
        </w:rPr>
        <w:t xml:space="preserve">顺利开展和实施。</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（二）存在的问题</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一是审计任务重与审计力量不足矛盾，没有得到根本解决，审计资源整合、审计力量统筹力度仍需加强，有效利用内部审计力量和向社会审计组织购买审计服务力度方面还需要加强探索；</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二是受审计资源所限，审计覆盖面不够，在落实中关于对公共资金、国有资产、国有资源和领导干部履行经济责任情况有重点、有步骤、有深度、有成效实行审计全覆盖的要求还有较大差距；</w:t>
      </w:r>
      <w:r>
        <w:rPr>
          <w:rFonts w:ascii="楷体" w:hAnsi="楷体" w:eastAsia="楷体" w:cs="仿宋_GB2312"/>
          <w:bCs/>
          <w:szCs w:val="32"/>
        </w:rPr>
      </w:r>
    </w:p>
    <w:p>
      <w:pPr>
        <w:pBdr/>
        <w:spacing/>
        <w:ind w:firstLine="563"/>
        <w:rPr>
          <w:rFonts w:ascii="楷体" w:hAnsi="楷体" w:eastAsia="楷体" w:cs="仿宋_GB2312"/>
          <w:bCs/>
          <w:szCs w:val="32"/>
        </w:rPr>
      </w:pPr>
      <w:r>
        <w:rPr>
          <w:rFonts w:hint="eastAsia" w:ascii="楷体" w:hAnsi="楷体" w:eastAsia="楷体" w:cs="仿宋_GB2312"/>
          <w:bCs/>
          <w:szCs w:val="32"/>
        </w:rPr>
        <w:t xml:space="preserve">三是在审计成果的提炼和综合开发利用、服务党委政府决策参考等方面，还有较大的提升空间。</w:t>
      </w:r>
      <w:r>
        <w:rPr>
          <w:rFonts w:ascii="楷体" w:hAnsi="楷体" w:eastAsia="楷体" w:cs="仿宋_GB2312"/>
          <w:bCs/>
          <w:szCs w:val="32"/>
        </w:rPr>
      </w:r>
    </w:p>
    <w:p>
      <w:pPr>
        <w:pBdr/>
        <w:spacing/>
        <w:ind w:firstLine="640"/>
        <w:rPr>
          <w:rFonts w:ascii="楷体" w:hAnsi="楷体" w:eastAsia="楷体" w:cs="仿宋_GB2312"/>
          <w:bCs/>
          <w:szCs w:val="32"/>
        </w:rPr>
      </w:pPr>
      <w:r>
        <w:rPr>
          <w:rFonts w:hint="eastAsia" w:ascii="楷体" w:hAnsi="楷体" w:eastAsia="楷体" w:cs="仿宋_GB2312"/>
          <w:bCs/>
          <w:szCs w:val="32"/>
        </w:rPr>
        <w:t xml:space="preserve">（三）改进建议</w:t>
      </w:r>
      <w:r>
        <w:rPr>
          <w:rFonts w:ascii="楷体" w:hAnsi="楷体" w:eastAsia="楷体" w:cs="仿宋_GB2312"/>
          <w:bCs/>
          <w:szCs w:val="32"/>
        </w:rPr>
      </w:r>
    </w:p>
    <w:p>
      <w:pPr>
        <w:pBdr/>
        <w:spacing w:line="560" w:lineRule="exact"/>
        <w:ind w:firstLine="640"/>
        <w:jc w:val="left"/>
        <w:rPr>
          <w:rFonts w:ascii="楷体" w:hAnsi="楷体" w:eastAsia="楷体" w:cs="仿宋_GB2312"/>
          <w:bCs/>
          <w:szCs w:val="32"/>
        </w:rPr>
      </w:pPr>
      <w:r>
        <w:rPr>
          <w:rFonts w:hint="eastAsia" w:ascii="楷体" w:hAnsi="楷体" w:eastAsia="楷体" w:cs="仿宋_GB2312"/>
          <w:bCs/>
          <w:szCs w:val="32"/>
        </w:rPr>
        <w:t xml:space="preserve">财政支出绩效评价工作是预算绩效管理的重要环节和手段，作为一项探索性创新性工作，我局将继续加强探索，深入研究解决薄弱环</w:t>
      </w:r>
      <w:r>
        <w:rPr>
          <w:rFonts w:hint="eastAsia" w:ascii="楷体" w:hAnsi="楷体" w:eastAsia="楷体" w:cs="仿宋_GB2312"/>
          <w:bCs/>
          <w:szCs w:val="32"/>
        </w:rPr>
        <w:t xml:space="preserve">节问题的措施和办法，进一步优化项目评价指标体系，完善工作机制和管理制度，不断提高绩效自评工作。</w:t>
      </w:r>
      <w:r>
        <w:rPr>
          <w:rFonts w:ascii="楷体" w:hAnsi="楷体" w:eastAsia="楷体" w:cs="仿宋_GB2312"/>
          <w:bCs/>
          <w:szCs w:val="32"/>
        </w:rPr>
      </w:r>
    </w:p>
    <w:p>
      <w:pPr>
        <w:pBdr/>
        <w:spacing w:line="560" w:lineRule="exact"/>
        <w:ind w:firstLine="640"/>
        <w:jc w:val="left"/>
        <w:rPr>
          <w:rFonts w:ascii="楷体" w:hAnsi="楷体" w:eastAsia="楷体" w:cs="仿宋_GB2312"/>
          <w:bCs/>
          <w:szCs w:val="32"/>
        </w:rPr>
      </w:pPr>
      <w:r>
        <w:rPr>
          <w:rFonts w:hint="eastAsia" w:ascii="楷体" w:hAnsi="楷体" w:eastAsia="楷体" w:cs="仿宋_GB2312"/>
          <w:bCs/>
          <w:szCs w:val="32"/>
        </w:rPr>
        <w:t xml:space="preserve">2017年，我局将认真贯彻党的各项精神，按照市委、市政府的战略决策和工作部署，进一步完善审计制度，依法履行审计监督职责，大力推进对公共资金、国有资产、国有资源、领导干部履行经济责任情况的审计监督，充分发挥国家审计的基石和重要保障作用，为建设随州</w:t>
      </w:r>
      <w:r>
        <w:rPr>
          <w:rFonts w:hint="eastAsia" w:ascii="楷体" w:hAnsi="楷体" w:eastAsia="楷体" w:cs="仿宋_GB2312"/>
          <w:bCs/>
          <w:szCs w:val="32"/>
        </w:rPr>
        <w:t xml:space="preserve">作出</w:t>
      </w:r>
      <w:r>
        <w:rPr>
          <w:rFonts w:hint="eastAsia" w:ascii="楷体" w:hAnsi="楷体" w:eastAsia="楷体" w:cs="仿宋_GB2312"/>
          <w:bCs/>
          <w:szCs w:val="32"/>
        </w:rPr>
        <w:t xml:space="preserve">积极贡献。</w:t>
      </w:r>
      <w:r>
        <w:rPr>
          <w:rFonts w:ascii="楷体" w:hAnsi="楷体" w:eastAsia="楷体" w:cs="仿宋_GB2312"/>
          <w:bCs/>
          <w:szCs w:val="32"/>
        </w:rPr>
      </w:r>
    </w:p>
    <w:p>
      <w:pPr>
        <w:pBdr/>
        <w:spacing/>
        <w:ind w:firstLine="643"/>
        <w:rPr>
          <w:rFonts w:ascii="楷体" w:hAnsi="楷体" w:eastAsia="楷体" w:cs="黑体"/>
          <w:b/>
          <w:bCs/>
          <w:szCs w:val="32"/>
        </w:rPr>
      </w:pPr>
      <w:r>
        <w:rPr>
          <w:rFonts w:hint="eastAsia" w:ascii="楷体" w:hAnsi="楷体" w:eastAsia="楷体" w:cs="黑体"/>
          <w:b/>
          <w:bCs/>
          <w:szCs w:val="32"/>
        </w:rPr>
        <w:t xml:space="preserve">七、其他需说明的问题。</w:t>
      </w:r>
      <w:r>
        <w:rPr>
          <w:rFonts w:ascii="楷体" w:hAnsi="楷体" w:eastAsia="楷体" w:cs="黑体"/>
          <w:b/>
          <w:bCs/>
          <w:szCs w:val="32"/>
        </w:rPr>
      </w:r>
    </w:p>
    <w:p>
      <w:pPr>
        <w:pBdr/>
        <w:spacing/>
        <w:ind w:firstLine="643"/>
        <w:rPr>
          <w:rFonts w:ascii="楷体" w:hAnsi="楷体" w:eastAsia="楷体" w:cs="黑体"/>
          <w:bCs/>
          <w:szCs w:val="32"/>
        </w:rPr>
      </w:pPr>
      <w:r>
        <w:rPr>
          <w:rFonts w:hint="eastAsia" w:ascii="楷体" w:hAnsi="楷体" w:eastAsia="楷体" w:cs="黑体"/>
          <w:b/>
          <w:bCs/>
          <w:szCs w:val="32"/>
        </w:rPr>
        <w:t xml:space="preserve"> </w:t>
      </w:r>
      <w:r>
        <w:rPr>
          <w:rFonts w:hint="eastAsia" w:ascii="楷体" w:hAnsi="楷体" w:eastAsia="楷体" w:cs="黑体"/>
          <w:bCs/>
          <w:szCs w:val="32"/>
        </w:rPr>
        <w:t xml:space="preserve">本自评报告是我局根据单位自身情况进行的自评，仅由我局在2017年绩效自评工作中使用。</w:t>
      </w:r>
      <w:r>
        <w:rPr>
          <w:rFonts w:ascii="楷体" w:hAnsi="楷体" w:eastAsia="楷体" w:cs="黑体"/>
          <w:bCs/>
          <w:szCs w:val="32"/>
        </w:rPr>
      </w:r>
    </w:p>
    <w:p>
      <w:pPr>
        <w:pBdr/>
        <w:spacing/>
        <w:ind w:firstLine="640"/>
        <w:rPr>
          <w:rFonts w:ascii="楷体" w:hAnsi="楷体" w:eastAsia="楷体"/>
        </w:rPr>
      </w:pPr>
      <w:r>
        <w:rPr>
          <w:rFonts w:ascii="楷体" w:hAnsi="楷体" w:eastAsia="楷体"/>
        </w:rPr>
      </w:r>
      <w:r>
        <w:rPr>
          <w:rFonts w:ascii="楷体" w:hAnsi="楷体" w:eastAsia="楷体"/>
        </w:rPr>
      </w:r>
    </w:p>
    <w:p>
      <w:pPr>
        <w:pBdr/>
        <w:spacing/>
        <w:ind w:firstLine="640"/>
        <w:rPr>
          <w:rFonts w:ascii="楷体" w:hAnsi="楷体" w:eastAsia="楷体"/>
        </w:rPr>
      </w:pPr>
      <w:r>
        <w:rPr>
          <w:rFonts w:ascii="楷体" w:hAnsi="楷体" w:eastAsia="楷体"/>
        </w:rPr>
      </w:r>
      <w:r>
        <w:rPr>
          <w:rFonts w:ascii="楷体" w:hAnsi="楷体" w:eastAsia="楷体"/>
        </w:rPr>
      </w:r>
    </w:p>
    <w:p>
      <w:pPr>
        <w:pBdr/>
        <w:spacing/>
        <w:ind w:firstLine="640"/>
        <w:rPr>
          <w:rFonts w:ascii="楷体" w:hAnsi="楷体" w:eastAsia="楷体"/>
        </w:rPr>
      </w:pPr>
      <w:r>
        <w:rPr>
          <w:rFonts w:hint="eastAsia" w:ascii="楷体" w:hAnsi="楷体" w:eastAsia="楷体"/>
        </w:rPr>
        <w:t xml:space="preserve">附件：随州市审计局2018年市直我局整体支出绩效自评表</w:t>
      </w:r>
      <w:r>
        <w:rPr>
          <w:rFonts w:ascii="楷体" w:hAnsi="楷体" w:eastAsia="楷体"/>
        </w:rPr>
      </w:r>
    </w:p>
    <w:p>
      <w:pPr>
        <w:pBdr/>
        <w:spacing/>
        <w:ind w:firstLine="640"/>
        <w:rPr>
          <w:rFonts w:ascii="楷体" w:hAnsi="楷体" w:eastAsia="楷体"/>
        </w:rPr>
      </w:pPr>
      <w:r>
        <w:rPr>
          <w:rFonts w:ascii="楷体" w:hAnsi="楷体" w:eastAsia="楷体"/>
        </w:rPr>
      </w:r>
      <w:r>
        <w:rPr>
          <w:rFonts w:ascii="楷体" w:hAnsi="楷体" w:eastAsia="楷体"/>
        </w:rPr>
      </w:r>
    </w:p>
    <w:p>
      <w:pPr>
        <w:pBdr/>
        <w:spacing/>
        <w:ind w:firstLine="640"/>
        <w:rPr>
          <w:rFonts w:ascii="楷体" w:hAnsi="楷体" w:eastAsia="楷体"/>
        </w:rPr>
      </w:pPr>
      <w:r>
        <w:rPr>
          <w:rFonts w:ascii="楷体" w:hAnsi="楷体" w:eastAsia="楷体"/>
        </w:rPr>
      </w:r>
      <w:r>
        <w:rPr>
          <w:rFonts w:ascii="楷体" w:hAnsi="楷体" w:eastAsia="楷体"/>
        </w:rPr>
      </w:r>
    </w:p>
    <w:p>
      <w:pPr>
        <w:pBdr/>
        <w:spacing/>
        <w:ind w:firstLine="640"/>
        <w:rPr>
          <w:rFonts w:ascii="楷体" w:hAnsi="楷体" w:eastAsia="楷体"/>
        </w:rPr>
      </w:pPr>
      <w:r>
        <w:rPr>
          <w:rFonts w:hint="eastAsia" w:ascii="楷体" w:hAnsi="楷体" w:eastAsia="楷体"/>
        </w:rPr>
        <w:t xml:space="preserve">                          随州市审计局</w:t>
      </w:r>
      <w:r>
        <w:rPr>
          <w:rFonts w:ascii="楷体" w:hAnsi="楷体" w:eastAsia="楷体"/>
        </w:rPr>
      </w:r>
    </w:p>
    <w:p>
      <w:pPr>
        <w:pBdr/>
        <w:spacing/>
        <w:ind w:firstLine="640"/>
        <w:rPr>
          <w:rFonts w:ascii="楷体" w:hAnsi="楷体" w:eastAsia="楷体"/>
        </w:rPr>
      </w:pPr>
      <w:r>
        <w:rPr>
          <w:rFonts w:hint="eastAsia" w:ascii="楷体" w:hAnsi="楷体" w:eastAsia="楷体"/>
        </w:rPr>
        <w:t xml:space="preserve">                     二零一八年九月二十八日</w:t>
      </w:r>
      <w:r>
        <w:rPr>
          <w:rFonts w:ascii="楷体" w:hAnsi="楷体" w:eastAsia="楷体"/>
        </w:rPr>
      </w:r>
    </w:p>
    <w:p>
      <w:pPr>
        <w:pBdr/>
        <w:spacing/>
        <w:ind w:firstLine="640"/>
        <w:rPr>
          <w:rFonts w:ascii="楷体" w:hAnsi="楷体" w:eastAsia="楷体"/>
        </w:rPr>
      </w:pPr>
      <w:r>
        <w:rPr>
          <w:rFonts w:hint="eastAsia" w:ascii="楷体" w:hAnsi="楷体" w:eastAsia="楷体"/>
        </w:rPr>
        <w:t xml:space="preserve">                     </w:t>
      </w:r>
      <w:r>
        <w:rPr>
          <w:rFonts w:ascii="楷体" w:hAnsi="楷体" w:eastAsia="楷体"/>
        </w:rPr>
      </w:r>
    </w:p>
    <w:sectPr>
      <w:footerReference w:type="default" r:id="rId8"/>
      <w:footnotePr/>
      <w:endnotePr/>
      <w:type w:val="nextPage"/>
      <w:pgSz w:h="16838" w:orient="landscape" w:w="11906"/>
      <w:pgMar w:top="1418" w:right="1134" w:bottom="1134" w:left="1134" w:header="851" w:footer="851"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panose1 w:val="02010609060101010101"/>
  </w:font>
  <w:font w:name="仿宋">
    <w:panose1 w:val="02010609060101010101"/>
  </w:font>
  <w:font w:name="黑体">
    <w:panose1 w:val="02010609060101010101"/>
  </w:font>
  <w:font w:name="楷体">
    <w:panose1 w:val="02010609060101010101"/>
  </w:font>
  <w:font w:name="仿宋_GB2312">
    <w:panose1 w:val="02010609060101010101"/>
  </w:font>
  <w:font w:name="Arial">
    <w:panose1 w:val="020B0604020202020204"/>
  </w:font>
  <w:font w:name="宋体">
    <w:panose1 w:val="02010600030101010101"/>
  </w:font>
  <w:font w:name="Times New Roman">
    <w:panose1 w:val="02020603050405020304"/>
  </w:font>
  <w:font w:name="等线">
    <w:panose1 w:val="02010600030101010101"/>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9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691"/>
                            <w:pBdr/>
                            <w:spacing/>
                            <w:ind/>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 xml:space="preserve">3</w:t>
                          </w:r>
                          <w:r>
                            <w:rPr>
                              <w:rFonts w:hint="eastAsia"/>
                            </w:rPr>
                            <w:fldChar w:fldCharType="end"/>
                          </w:r>
                          <w:r>
                            <w:rPr>
                              <w:rFonts w:eastAsia="仿宋_GB2312"/>
                            </w:rPr>
                          </w:r>
                        </w:p>
                      </w:txbxContent>
                    </wps:txbx>
                    <wps:bodyPr wrap="none" lIns="0" tIns="0" rIns="0" bIns="0" upright="1">
                      <a:spAutoFit/>
                    </wps:bodyPr>
                  </wps:wsp>
                </a:graphicData>
              </a:graphic>
            </wp:anchor>
          </w:drawing>
        </mc:Choice>
        <mc:Fallback>
          <w:pict>
            <v:shape id="shape 0" o:spid="_x0000_s0" o:spt="202" type="#_x0000_t202" style="position:absolute;z-index:1024;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691"/>
                      <w:pBdr/>
                      <w:spacing/>
                      <w:ind/>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 xml:space="preserve">3</w:t>
                    </w:r>
                    <w:r>
                      <w:rPr>
                        <w:rFonts w:hint="eastAsia"/>
                      </w:rPr>
                      <w:fldChar w:fldCharType="end"/>
                    </w:r>
                    <w:r>
                      <w:rPr>
                        <w:rFonts w:eastAsia="仿宋_GB2312"/>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87"/>
    <w:next w:val="687"/>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88"/>
    <w:link w:val="13"/>
    <w:uiPriority w:val="9"/>
    <w:pPr>
      <w:pBdr/>
      <w:spacing/>
      <w:ind/>
    </w:pPr>
    <w:rPr>
      <w:rFonts w:ascii="等线" w:hAnsi="等线" w:eastAsia="等线" w:cs="等线"/>
      <w:sz w:val="40"/>
      <w:szCs w:val="40"/>
    </w:rPr>
  </w:style>
  <w:style w:type="paragraph" w:styleId="15">
    <w:name w:val="Heading 2"/>
    <w:basedOn w:val="687"/>
    <w:next w:val="687"/>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688"/>
    <w:link w:val="15"/>
    <w:uiPriority w:val="9"/>
    <w:pPr>
      <w:pBdr/>
      <w:spacing/>
      <w:ind/>
    </w:pPr>
    <w:rPr>
      <w:rFonts w:ascii="等线" w:hAnsi="等线" w:eastAsia="等线" w:cs="等线"/>
      <w:sz w:val="34"/>
    </w:rPr>
  </w:style>
  <w:style w:type="paragraph" w:styleId="17">
    <w:name w:val="Heading 3"/>
    <w:basedOn w:val="687"/>
    <w:next w:val="687"/>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88"/>
    <w:link w:val="17"/>
    <w:uiPriority w:val="9"/>
    <w:pPr>
      <w:pBdr/>
      <w:spacing/>
      <w:ind/>
    </w:pPr>
    <w:rPr>
      <w:rFonts w:ascii="等线" w:hAnsi="等线" w:eastAsia="等线" w:cs="等线"/>
      <w:sz w:val="30"/>
      <w:szCs w:val="30"/>
    </w:rPr>
  </w:style>
  <w:style w:type="paragraph" w:styleId="19">
    <w:name w:val="Heading 4"/>
    <w:basedOn w:val="687"/>
    <w:next w:val="687"/>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88"/>
    <w:link w:val="19"/>
    <w:uiPriority w:val="9"/>
    <w:pPr>
      <w:pBdr/>
      <w:spacing/>
      <w:ind/>
    </w:pPr>
    <w:rPr>
      <w:rFonts w:ascii="等线" w:hAnsi="等线" w:eastAsia="等线" w:cs="等线"/>
      <w:b/>
      <w:bCs/>
      <w:sz w:val="26"/>
      <w:szCs w:val="26"/>
    </w:rPr>
  </w:style>
  <w:style w:type="paragraph" w:styleId="21">
    <w:name w:val="Heading 5"/>
    <w:basedOn w:val="687"/>
    <w:next w:val="687"/>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88"/>
    <w:link w:val="21"/>
    <w:uiPriority w:val="9"/>
    <w:pPr>
      <w:pBdr/>
      <w:spacing/>
      <w:ind/>
    </w:pPr>
    <w:rPr>
      <w:rFonts w:ascii="等线" w:hAnsi="等线" w:eastAsia="等线" w:cs="等线"/>
      <w:b/>
      <w:bCs/>
      <w:sz w:val="24"/>
      <w:szCs w:val="24"/>
    </w:rPr>
  </w:style>
  <w:style w:type="paragraph" w:styleId="23">
    <w:name w:val="Heading 6"/>
    <w:basedOn w:val="687"/>
    <w:next w:val="687"/>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88"/>
    <w:link w:val="23"/>
    <w:uiPriority w:val="9"/>
    <w:pPr>
      <w:pBdr/>
      <w:spacing/>
      <w:ind/>
    </w:pPr>
    <w:rPr>
      <w:rFonts w:ascii="等线" w:hAnsi="等线" w:eastAsia="等线" w:cs="等线"/>
      <w:b/>
      <w:bCs/>
      <w:sz w:val="22"/>
      <w:szCs w:val="22"/>
    </w:rPr>
  </w:style>
  <w:style w:type="paragraph" w:styleId="25">
    <w:name w:val="Heading 7"/>
    <w:basedOn w:val="687"/>
    <w:next w:val="687"/>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88"/>
    <w:link w:val="25"/>
    <w:uiPriority w:val="9"/>
    <w:pPr>
      <w:pBdr/>
      <w:spacing/>
      <w:ind/>
    </w:pPr>
    <w:rPr>
      <w:rFonts w:ascii="等线" w:hAnsi="等线" w:eastAsia="等线" w:cs="等线"/>
      <w:b/>
      <w:bCs/>
      <w:i/>
      <w:iCs/>
      <w:sz w:val="22"/>
      <w:szCs w:val="22"/>
    </w:rPr>
  </w:style>
  <w:style w:type="paragraph" w:styleId="27">
    <w:name w:val="Heading 8"/>
    <w:basedOn w:val="687"/>
    <w:next w:val="687"/>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88"/>
    <w:link w:val="27"/>
    <w:uiPriority w:val="9"/>
    <w:pPr>
      <w:pBdr/>
      <w:spacing/>
      <w:ind/>
    </w:pPr>
    <w:rPr>
      <w:rFonts w:ascii="等线" w:hAnsi="等线" w:eastAsia="等线" w:cs="等线"/>
      <w:i/>
      <w:iCs/>
      <w:sz w:val="22"/>
      <w:szCs w:val="22"/>
    </w:rPr>
  </w:style>
  <w:style w:type="paragraph" w:styleId="29">
    <w:name w:val="Heading 9"/>
    <w:basedOn w:val="687"/>
    <w:next w:val="687"/>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88"/>
    <w:link w:val="29"/>
    <w:uiPriority w:val="9"/>
    <w:pPr>
      <w:pBdr/>
      <w:spacing/>
      <w:ind/>
    </w:pPr>
    <w:rPr>
      <w:rFonts w:ascii="等线" w:hAnsi="等线" w:eastAsia="等线" w:cs="等线"/>
      <w:i/>
      <w:iCs/>
      <w:sz w:val="21"/>
      <w:szCs w:val="21"/>
    </w:rPr>
  </w:style>
  <w:style w:type="paragraph" w:styleId="31">
    <w:name w:val="List Paragraph"/>
    <w:basedOn w:val="687"/>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87"/>
    <w:next w:val="687"/>
    <w:link w:val="35"/>
    <w:uiPriority w:val="10"/>
    <w:qFormat/>
    <w:pPr>
      <w:pBdr/>
      <w:spacing w:after="200" w:before="300"/>
      <w:ind/>
      <w:contextualSpacing w:val="true"/>
    </w:pPr>
    <w:rPr>
      <w:sz w:val="48"/>
      <w:szCs w:val="48"/>
    </w:rPr>
  </w:style>
  <w:style w:type="character" w:styleId="35">
    <w:name w:val="Title Char"/>
    <w:basedOn w:val="688"/>
    <w:link w:val="34"/>
    <w:uiPriority w:val="10"/>
    <w:pPr>
      <w:pBdr/>
      <w:spacing/>
      <w:ind/>
    </w:pPr>
    <w:rPr>
      <w:sz w:val="48"/>
      <w:szCs w:val="48"/>
    </w:rPr>
  </w:style>
  <w:style w:type="paragraph" w:styleId="36">
    <w:name w:val="Subtitle"/>
    <w:basedOn w:val="687"/>
    <w:next w:val="687"/>
    <w:link w:val="37"/>
    <w:uiPriority w:val="11"/>
    <w:qFormat/>
    <w:pPr>
      <w:pBdr/>
      <w:spacing w:after="200" w:before="200"/>
      <w:ind/>
    </w:pPr>
    <w:rPr>
      <w:sz w:val="24"/>
      <w:szCs w:val="24"/>
    </w:rPr>
  </w:style>
  <w:style w:type="character" w:styleId="37">
    <w:name w:val="Subtitle Char"/>
    <w:basedOn w:val="688"/>
    <w:link w:val="36"/>
    <w:uiPriority w:val="11"/>
    <w:pPr>
      <w:pBdr/>
      <w:spacing/>
      <w:ind/>
    </w:pPr>
    <w:rPr>
      <w:sz w:val="24"/>
      <w:szCs w:val="24"/>
    </w:rPr>
  </w:style>
  <w:style w:type="paragraph" w:styleId="38">
    <w:name w:val="Quote"/>
    <w:basedOn w:val="687"/>
    <w:next w:val="687"/>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87"/>
    <w:next w:val="687"/>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88"/>
    <w:link w:val="692"/>
    <w:uiPriority w:val="99"/>
    <w:pPr>
      <w:pBdr/>
      <w:spacing/>
      <w:ind/>
    </w:pPr>
  </w:style>
  <w:style w:type="character" w:styleId="45">
    <w:name w:val="Footer Char"/>
    <w:basedOn w:val="688"/>
    <w:link w:val="691"/>
    <w:uiPriority w:val="99"/>
    <w:pPr>
      <w:pBdr/>
      <w:spacing/>
      <w:ind/>
    </w:pPr>
  </w:style>
  <w:style w:type="paragraph" w:styleId="46">
    <w:name w:val="Caption"/>
    <w:basedOn w:val="687"/>
    <w:next w:val="687"/>
    <w:uiPriority w:val="35"/>
    <w:semiHidden/>
    <w:unhideWhenUsed/>
    <w:qFormat/>
    <w:pPr>
      <w:pBdr/>
      <w:spacing w:line="276" w:lineRule="auto"/>
      <w:ind/>
    </w:pPr>
    <w:rPr>
      <w:b/>
      <w:bCs/>
      <w:color w:val="4f81bd" w:themeColor="accent1"/>
      <w:sz w:val="18"/>
      <w:szCs w:val="18"/>
    </w:rPr>
  </w:style>
  <w:style w:type="character" w:styleId="47">
    <w:name w:val="Caption Char"/>
    <w:basedOn w:val="46"/>
    <w:link w:val="691"/>
    <w:uiPriority w:val="99"/>
    <w:pPr>
      <w:pBdr/>
      <w:spacing/>
      <w:ind/>
    </w:pPr>
  </w:style>
  <w:style w:type="table" w:styleId="48">
    <w:name w:val="Table Grid"/>
    <w:basedOn w:val="689"/>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8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8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8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8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8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8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8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8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8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8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8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8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8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8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8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8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8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8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8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8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8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8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8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8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8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8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8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8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8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8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8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8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8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8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8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8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8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8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8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8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8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8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8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8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8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8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8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8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8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8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8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8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8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8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8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8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8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8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8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8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8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8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8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8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8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8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8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8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8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87"/>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88"/>
    <w:uiPriority w:val="99"/>
    <w:unhideWhenUsed/>
    <w:pPr>
      <w:pBdr/>
      <w:spacing/>
      <w:ind/>
    </w:pPr>
    <w:rPr>
      <w:vertAlign w:val="superscript"/>
    </w:rPr>
  </w:style>
  <w:style w:type="paragraph" w:styleId="178">
    <w:name w:val="endnote text"/>
    <w:basedOn w:val="687"/>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88"/>
    <w:uiPriority w:val="99"/>
    <w:semiHidden/>
    <w:unhideWhenUsed/>
    <w:pPr>
      <w:pBdr/>
      <w:spacing/>
      <w:ind/>
    </w:pPr>
    <w:rPr>
      <w:vertAlign w:val="superscript"/>
    </w:rPr>
  </w:style>
  <w:style w:type="paragraph" w:styleId="181">
    <w:name w:val="toc 1"/>
    <w:basedOn w:val="687"/>
    <w:next w:val="687"/>
    <w:uiPriority w:val="39"/>
    <w:unhideWhenUsed/>
    <w:pPr>
      <w:pBdr/>
      <w:spacing w:after="57"/>
      <w:ind w:right="0" w:firstLine="0" w:left="0"/>
    </w:pPr>
  </w:style>
  <w:style w:type="paragraph" w:styleId="182">
    <w:name w:val="toc 2"/>
    <w:basedOn w:val="687"/>
    <w:next w:val="687"/>
    <w:uiPriority w:val="39"/>
    <w:unhideWhenUsed/>
    <w:pPr>
      <w:pBdr/>
      <w:spacing w:after="57"/>
      <w:ind w:right="0" w:firstLine="0" w:left="283"/>
    </w:pPr>
  </w:style>
  <w:style w:type="paragraph" w:styleId="183">
    <w:name w:val="toc 3"/>
    <w:basedOn w:val="687"/>
    <w:next w:val="687"/>
    <w:uiPriority w:val="39"/>
    <w:unhideWhenUsed/>
    <w:pPr>
      <w:pBdr/>
      <w:spacing w:after="57"/>
      <w:ind w:right="0" w:firstLine="0" w:left="567"/>
    </w:pPr>
  </w:style>
  <w:style w:type="paragraph" w:styleId="184">
    <w:name w:val="toc 4"/>
    <w:basedOn w:val="687"/>
    <w:next w:val="687"/>
    <w:uiPriority w:val="39"/>
    <w:unhideWhenUsed/>
    <w:pPr>
      <w:pBdr/>
      <w:spacing w:after="57"/>
      <w:ind w:right="0" w:firstLine="0" w:left="850"/>
    </w:pPr>
  </w:style>
  <w:style w:type="paragraph" w:styleId="185">
    <w:name w:val="toc 5"/>
    <w:basedOn w:val="687"/>
    <w:next w:val="687"/>
    <w:uiPriority w:val="39"/>
    <w:unhideWhenUsed/>
    <w:pPr>
      <w:pBdr/>
      <w:spacing w:after="57"/>
      <w:ind w:right="0" w:firstLine="0" w:left="1134"/>
    </w:pPr>
  </w:style>
  <w:style w:type="paragraph" w:styleId="186">
    <w:name w:val="toc 6"/>
    <w:basedOn w:val="687"/>
    <w:next w:val="687"/>
    <w:uiPriority w:val="39"/>
    <w:unhideWhenUsed/>
    <w:pPr>
      <w:pBdr/>
      <w:spacing w:after="57"/>
      <w:ind w:right="0" w:firstLine="0" w:left="1417"/>
    </w:pPr>
  </w:style>
  <w:style w:type="paragraph" w:styleId="187">
    <w:name w:val="toc 7"/>
    <w:basedOn w:val="687"/>
    <w:next w:val="687"/>
    <w:uiPriority w:val="39"/>
    <w:unhideWhenUsed/>
    <w:pPr>
      <w:pBdr/>
      <w:spacing w:after="57"/>
      <w:ind w:right="0" w:firstLine="0" w:left="1701"/>
    </w:pPr>
  </w:style>
  <w:style w:type="paragraph" w:styleId="188">
    <w:name w:val="toc 8"/>
    <w:basedOn w:val="687"/>
    <w:next w:val="687"/>
    <w:uiPriority w:val="39"/>
    <w:unhideWhenUsed/>
    <w:pPr>
      <w:pBdr/>
      <w:spacing w:after="57"/>
      <w:ind w:right="0" w:firstLine="0" w:left="1984"/>
    </w:pPr>
  </w:style>
  <w:style w:type="paragraph" w:styleId="189">
    <w:name w:val="toc 9"/>
    <w:basedOn w:val="687"/>
    <w:next w:val="687"/>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7"/>
    <w:next w:val="687"/>
    <w:uiPriority w:val="99"/>
    <w:unhideWhenUsed/>
    <w:pPr>
      <w:pBdr/>
      <w:spacing w:after="0" w:afterAutospacing="0"/>
      <w:ind/>
    </w:pPr>
  </w:style>
  <w:style w:type="paragraph" w:styleId="687" w:default="1">
    <w:name w:val="Normal"/>
    <w:qFormat/>
    <w:pPr>
      <w:widowControl w:val="false"/>
      <w:pBdr/>
      <w:spacing/>
      <w:ind/>
      <w:jc w:val="both"/>
    </w:pPr>
    <w:rPr>
      <w:rFonts w:ascii="Times New Roman" w:hAnsi="Times New Roman" w:eastAsia="仿宋_GB2312"/>
      <w:sz w:val="32"/>
      <w:szCs w:val="24"/>
    </w:rPr>
  </w:style>
  <w:style w:type="character" w:styleId="688" w:default="1">
    <w:name w:val="Default Paragraph Font"/>
    <w:uiPriority w:val="1"/>
    <w:semiHidden/>
    <w:unhideWhenUsed/>
    <w:pPr>
      <w:pBdr/>
      <w:spacing/>
      <w:ind/>
    </w:pPr>
  </w:style>
  <w:style w:type="table" w:styleId="68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0" w:default="1">
    <w:name w:val="No List"/>
    <w:uiPriority w:val="99"/>
    <w:semiHidden/>
    <w:unhideWhenUsed/>
    <w:pPr>
      <w:pBdr/>
      <w:spacing/>
      <w:ind/>
    </w:pPr>
  </w:style>
  <w:style w:type="paragraph" w:styleId="691">
    <w:name w:val="Footer"/>
    <w:basedOn w:val="687"/>
    <w:link w:val="694"/>
    <w:uiPriority w:val="99"/>
    <w:qFormat/>
    <w:pPr>
      <w:pBdr/>
      <w:tabs>
        <w:tab w:val="center" w:leader="none" w:pos="4153"/>
        <w:tab w:val="right" w:leader="none" w:pos="8306"/>
      </w:tabs>
      <w:spacing/>
      <w:ind/>
      <w:jc w:val="left"/>
    </w:pPr>
    <w:rPr>
      <w:rFonts w:ascii="Calibri" w:hAnsi="Calibri" w:eastAsia="宋体"/>
      <w:sz w:val="18"/>
      <w:szCs w:val="18"/>
    </w:rPr>
  </w:style>
  <w:style w:type="paragraph" w:styleId="692">
    <w:name w:val="Header"/>
    <w:basedOn w:val="687"/>
    <w:link w:val="693"/>
    <w:uiPriority w:val="99"/>
    <w:qFormat/>
    <w:pPr>
      <w:pBdr>
        <w:bottom w:val="single" w:color="000000" w:sz="6" w:space="1"/>
      </w:pBdr>
      <w:tabs>
        <w:tab w:val="center" w:leader="none" w:pos="4153"/>
        <w:tab w:val="right" w:leader="none" w:pos="8306"/>
      </w:tabs>
      <w:spacing/>
      <w:ind/>
      <w:jc w:val="center"/>
    </w:pPr>
    <w:rPr>
      <w:rFonts w:ascii="Calibri" w:hAnsi="Calibri" w:eastAsia="宋体"/>
      <w:sz w:val="18"/>
      <w:szCs w:val="18"/>
    </w:rPr>
  </w:style>
  <w:style w:type="character" w:styleId="693" w:customStyle="1">
    <w:name w:val="页眉 Char"/>
    <w:link w:val="692"/>
    <w:uiPriority w:val="99"/>
    <w:qFormat/>
    <w:pPr>
      <w:pBdr/>
      <w:spacing/>
      <w:ind/>
    </w:pPr>
    <w:rPr>
      <w:rFonts w:cs="Times New Roman"/>
      <w:sz w:val="18"/>
      <w:szCs w:val="18"/>
    </w:rPr>
  </w:style>
  <w:style w:type="character" w:styleId="694" w:customStyle="1">
    <w:name w:val="页脚 Char"/>
    <w:link w:val="691"/>
    <w:uiPriority w:val="99"/>
    <w:qFormat/>
    <w:pPr>
      <w:pBdr/>
      <w:spacing/>
      <w:ind/>
    </w:pPr>
    <w:rPr>
      <w:rFonts w:cs="Times New Roman"/>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customXml" Target="../customXml/item1.xml" /><Relationship Id="rId10" Type="http://schemas.openxmlformats.org/officeDocument/2006/relationships/customXml" Target="../customXml/item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0A62A9DE-7499-49C5-B25E-E96B85903F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冯妍妍/预算绩效管理处（行资处）/湖北省财政厅</dc:creator>
  <cp:lastModifiedBy>匿名</cp:lastModifiedBy>
  <cp:revision>148</cp:revision>
  <dcterms:created xsi:type="dcterms:W3CDTF">2018-07-23T09:39:00Z</dcterms:created>
  <dcterms:modified xsi:type="dcterms:W3CDTF">2025-05-15T03:46:59Z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