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2DB30">
      <w:pPr>
        <w:widowControl/>
        <w:jc w:val="center"/>
        <w:rPr>
          <w:rFonts w:ascii="宋体" w:hAnsi="宋体"/>
          <w:color w:val="3D3D3D"/>
          <w:kern w:val="0"/>
          <w:sz w:val="23"/>
          <w:szCs w:val="23"/>
        </w:rPr>
      </w:pPr>
      <w:bookmarkStart w:id="0" w:name="_GoBack"/>
      <w:r>
        <w:rPr>
          <w:rFonts w:hint="eastAsia" w:ascii="宋体" w:hAnsi="宋体"/>
          <w:b/>
          <w:bCs/>
          <w:color w:val="3D3D3D"/>
          <w:kern w:val="0"/>
          <w:sz w:val="33"/>
          <w:szCs w:val="33"/>
        </w:rPr>
        <w:t>随州市公路管理局2018年决算分析报告</w:t>
      </w:r>
    </w:p>
    <w:bookmarkEnd w:id="0"/>
    <w:p w14:paraId="05D584F6">
      <w:pPr>
        <w:widowControl/>
        <w:jc w:val="left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</w:t>
      </w:r>
    </w:p>
    <w:p w14:paraId="26271423">
      <w:pPr>
        <w:widowControl/>
        <w:ind w:firstLine="462" w:firstLineChars="200"/>
        <w:jc w:val="left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b/>
          <w:bCs/>
          <w:color w:val="3D3D3D"/>
          <w:kern w:val="0"/>
          <w:sz w:val="23"/>
          <w:szCs w:val="23"/>
        </w:rPr>
        <w:t>一、部门概况</w:t>
      </w:r>
      <w:r>
        <w:rPr>
          <w:rFonts w:hint="eastAsia" w:ascii="宋体" w:hAnsi="宋体"/>
          <w:color w:val="3D3D3D"/>
          <w:kern w:val="0"/>
          <w:sz w:val="23"/>
          <w:szCs w:val="23"/>
        </w:rPr>
        <w:br w:type="textWrapping"/>
      </w: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   随州市公路管理局成立于2000年12月，为副处级公益一类事业单位，隶属于随州市交通运输局。单位现有事业编制50个，实有在职50人（在职在编人员42人），退休人员17人。</w:t>
      </w:r>
      <w:r>
        <w:rPr>
          <w:rFonts w:hint="eastAsia" w:ascii="宋体" w:hAnsi="宋体"/>
          <w:color w:val="3D3D3D"/>
          <w:kern w:val="0"/>
          <w:sz w:val="23"/>
          <w:szCs w:val="23"/>
        </w:rPr>
        <w:br w:type="textWrapping"/>
      </w: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   (一）主要职责</w:t>
      </w:r>
      <w:r>
        <w:rPr>
          <w:rFonts w:hint="eastAsia" w:ascii="宋体" w:hAnsi="宋体"/>
          <w:color w:val="3D3D3D"/>
          <w:kern w:val="0"/>
          <w:sz w:val="23"/>
          <w:szCs w:val="23"/>
        </w:rPr>
        <w:br w:type="textWrapping"/>
      </w: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   为随州市境内的公路畅通提供养护与路政管理保障。公路养护：负责随州市境内的公路养护与改建、公路养护质量监督检查与路况评定、公路灾害抢修与保通、公路绿化。路政管理：负责随州市境内的公路行政执法、路产路权维护、公路巡查、公路命名编号管理、超限运输管理。</w:t>
      </w:r>
    </w:p>
    <w:p w14:paraId="7AD85815">
      <w:pPr>
        <w:widowControl/>
        <w:jc w:val="left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   （二）内设机构</w:t>
      </w:r>
      <w:r>
        <w:rPr>
          <w:rFonts w:hint="eastAsia" w:ascii="宋体" w:hAnsi="宋体"/>
          <w:color w:val="3D3D3D"/>
          <w:kern w:val="0"/>
          <w:sz w:val="23"/>
          <w:szCs w:val="23"/>
        </w:rPr>
        <w:br w:type="textWrapping"/>
      </w: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   经随州市机构编制委员会批准（随编发〔2008〕56号），随州市公路管理局设置内设机构6个，包含办公室、工程科、养护科、路政科（随州市公路管理局路政支队）、财务审计科、计划统计科。单位领导职数由一正二副调整为一正三副，工会主任按规定配置。</w:t>
      </w:r>
    </w:p>
    <w:p w14:paraId="16F86D2E">
      <w:pPr>
        <w:widowControl/>
        <w:ind w:firstLine="462" w:firstLineChars="200"/>
        <w:jc w:val="left"/>
        <w:rPr>
          <w:rFonts w:ascii="宋体" w:hAnsi="宋体"/>
          <w:b/>
          <w:bCs/>
          <w:color w:val="3D3D3D"/>
          <w:kern w:val="0"/>
          <w:sz w:val="23"/>
          <w:szCs w:val="23"/>
        </w:rPr>
      </w:pPr>
      <w:r>
        <w:rPr>
          <w:rFonts w:hint="eastAsia" w:ascii="宋体" w:hAnsi="宋体"/>
          <w:b/>
          <w:bCs/>
          <w:color w:val="3D3D3D"/>
          <w:kern w:val="0"/>
          <w:sz w:val="23"/>
          <w:szCs w:val="23"/>
        </w:rPr>
        <w:t>二、2018年目标任务完成情况</w:t>
      </w:r>
    </w:p>
    <w:p w14:paraId="702B8A84">
      <w:pPr>
        <w:widowControl/>
        <w:ind w:firstLine="460" w:firstLineChars="200"/>
        <w:jc w:val="left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（一）公路建设：计划完成公路固定资产投资12.3776亿元，包括一级公路路基53.50公里、路面28.47公里；二级公路路基23.15公里、路面 31 公里。截至目前，完成一级公路路基11.43公里，路面7公里；二级公路路基18公里，路面25.81公里。</w:t>
      </w:r>
    </w:p>
    <w:p w14:paraId="0DFBB002">
      <w:pPr>
        <w:widowControl/>
        <w:ind w:firstLine="460" w:firstLineChars="200"/>
        <w:jc w:val="left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（二）公路养护：计划完成“455”安全生命防护工程97.471公里，截止10月底共完成43.941公里，占任务的45.1%，计划12月底全部完成；计划完成大修工程32.304公里，中修6.167公里，已全部完成；计划完成国省道移交275.551公里，接养工作任务为433.797公里，截止10月底，已完成全部移交任务，完成接养任务113.178公里；计划完成3个公路管理站站房扩改建任务，已完成2个；2016-2018年全市服务区设施建设计划7处，曾都张畈已完成并投入使用，其余6处正在建设中，年底前将陆续建成；2018年全市国省道计划新建和改造交通厕所5座，已完成7座（其中，随县规划新建3座，曾都规划新建2座，广水规划新建2座）。</w:t>
      </w:r>
    </w:p>
    <w:p w14:paraId="358B987C">
      <w:pPr>
        <w:widowControl/>
        <w:ind w:firstLine="460" w:firstLineChars="200"/>
        <w:jc w:val="left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（三）路政管理：全年共清理公路及用地范围内堆积物325处，共计2682立方米；拆除非交通标志97块；清理占道经营55处，共计727平方米；制止打场晒粮、路面堆积物等各类路政违法行为40处；查处路政案件35件，其中立案20件，结案20件。截止10月底，各治超站点全年共检测车辆20707台，查处超限车辆738台，卸载货物39917吨；公安交警处理车辆512台，处罚474640元，扣分3181分；运管部门处理非法改装车辆121台，罚款612001元。</w:t>
      </w:r>
    </w:p>
    <w:p w14:paraId="145A6D6A">
      <w:pPr>
        <w:widowControl/>
        <w:ind w:firstLine="460" w:firstLineChars="200"/>
        <w:jc w:val="left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（四）安全管理：公路安全管理意识进一步加强，一批安全隐患及时得到治理。2018年计划完成危桥改造3座，已完工2座，广水公铁立交桥、涢水大桥已竣工通车，广水郝店街街西小桥因省补资金未到位，暂未开工。</w:t>
      </w:r>
    </w:p>
    <w:p w14:paraId="28D47BBD">
      <w:pPr>
        <w:ind w:firstLine="462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b/>
          <w:bCs/>
          <w:color w:val="3D3D3D"/>
          <w:kern w:val="0"/>
          <w:sz w:val="23"/>
          <w:szCs w:val="23"/>
        </w:rPr>
        <w:t>三、2018年部门预算编制情况说明</w:t>
      </w:r>
      <w:r>
        <w:rPr>
          <w:rFonts w:hint="eastAsia" w:ascii="宋体" w:hAnsi="宋体"/>
          <w:color w:val="3D3D3D"/>
          <w:kern w:val="0"/>
          <w:sz w:val="23"/>
          <w:szCs w:val="23"/>
        </w:rPr>
        <w:br w:type="textWrapping"/>
      </w: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   2018年，市公路局严格贯彻落实</w:t>
      </w:r>
      <w:r>
        <w:rPr>
          <w:rFonts w:hint="eastAsia" w:ascii="宋体" w:hAnsi="宋体"/>
          <w:color w:val="3D3D3D"/>
          <w:kern w:val="0"/>
          <w:sz w:val="23"/>
          <w:szCs w:val="23"/>
          <w:lang w:eastAsia="zh-CN"/>
        </w:rPr>
        <w:t>中央八项规定</w:t>
      </w:r>
      <w:r>
        <w:rPr>
          <w:rFonts w:hint="eastAsia" w:ascii="宋体" w:hAnsi="宋体"/>
          <w:color w:val="3D3D3D"/>
          <w:kern w:val="0"/>
          <w:sz w:val="23"/>
          <w:szCs w:val="23"/>
        </w:rPr>
        <w:t>、国务院“约法三章”和省委、省政府及市委、市政府有关文件精神，厉行节约，精减会议，合理压缩一般行政性开支，严格控制“三公”经费支出，切实减少各项经费开支，合理编制2018年部门决算。</w:t>
      </w:r>
      <w:r>
        <w:rPr>
          <w:rFonts w:hint="eastAsia" w:ascii="宋体" w:hAnsi="宋体"/>
          <w:color w:val="3D3D3D"/>
          <w:kern w:val="0"/>
          <w:sz w:val="23"/>
          <w:szCs w:val="23"/>
        </w:rPr>
        <w:br w:type="textWrapping"/>
      </w: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   （一）收入编制情况</w:t>
      </w:r>
      <w:r>
        <w:rPr>
          <w:rFonts w:hint="eastAsia" w:ascii="宋体" w:hAnsi="宋体"/>
          <w:color w:val="3D3D3D"/>
          <w:kern w:val="0"/>
          <w:sz w:val="23"/>
          <w:szCs w:val="23"/>
        </w:rPr>
        <w:br w:type="textWrapping"/>
      </w: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   2018年财政拨款收入总额为2377.37万元，其中：一般预算拨款基本支出经费1229万元（含县市区公路局基本支出经费），项目小修保养经费585万元，纳入预算管理的非税收入179.37万元,上级专项转移支付384万元。</w:t>
      </w:r>
    </w:p>
    <w:p w14:paraId="06A7B399">
      <w:pPr>
        <w:numPr>
          <w:ilvl w:val="0"/>
          <w:numId w:val="1"/>
        </w:num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支出情况</w:t>
      </w:r>
    </w:p>
    <w:p w14:paraId="0184A3A1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2018年总支出2265.43万元其中：</w:t>
      </w:r>
      <w:r>
        <w:rPr>
          <w:rFonts w:hint="eastAsia" w:ascii="宋体" w:hAnsi="宋体"/>
          <w:color w:val="3D3D3D"/>
          <w:kern w:val="0"/>
          <w:sz w:val="23"/>
          <w:szCs w:val="23"/>
        </w:rPr>
        <w:br w:type="textWrapping"/>
      </w: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  1、 2018年实际基本支出1428.83万元。占总支出的63%</w:t>
      </w:r>
    </w:p>
    <w:p w14:paraId="5627B76C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人员支出：基本工资支出1038.34万元（含县市区公路部门基本支出），占人员支出的72%；奖金0.5万元，占人员支出的0.003%；养老保险179.16万元，占人员支出的17.25%；职业年金10.8万元，占人员支出的1%；职工医疗保险28.98万元，占人员支出的2.7%；其他社会保险3.08万元，占人员支出的0.02%；住房公积金36.82万元占人员支出的0.35%，其他工资及福利支出3.96万元，占人员支出的0.02%；     </w:t>
      </w:r>
    </w:p>
    <w:p w14:paraId="498E61A3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日常公用支出：商品和服务支出127.23万元，占基本支出的37%。</w:t>
      </w:r>
    </w:p>
    <w:p w14:paraId="441849FD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基本支出比上年增加199.83万元，主要原因是一是补缴2014年10至2017年11月社保养保和职业年金72.6万元，二是商品和服务支出没有预算资金安排。</w:t>
      </w:r>
    </w:p>
    <w:p w14:paraId="5C8BD81D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2、项目支出836.59万元，其中：拨下级单位公路小修保养资金836.59万元。</w:t>
      </w:r>
      <w:r>
        <w:rPr>
          <w:rFonts w:hint="eastAsia" w:ascii="宋体" w:hAnsi="宋体"/>
          <w:color w:val="3D3D3D"/>
          <w:kern w:val="0"/>
          <w:sz w:val="23"/>
          <w:szCs w:val="23"/>
        </w:rPr>
        <w:br w:type="textWrapping"/>
      </w: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   （三）支出按经济分类科目分析</w:t>
      </w:r>
    </w:p>
    <w:p w14:paraId="5380CC49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1、“三公”经费支出说明：2018年公路局三公用经费20.18万元。其中：因公出国（境）费0万元；公务用车17.30万元，与上年同期相比增加0.84万元，同比增加比率5.08%，主要原因是单位5辆小车车辆年限比较久，维修费用增高；公务接待费2.87万元，接待36次，接待人员368人，同比下降6.5万元，下降率69%，主要原因是按照中央八项制定制定了本单位公务接待管理办法，坚决遏制不合理的接待活动，加大厉行节约反对浪费的宣传力度，尽量减少公务接待开支。</w:t>
      </w:r>
    </w:p>
    <w:p w14:paraId="30494B04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2、会议费支出情况：2018年累计支出0.61万元，2017年累计支出0.34万元，同比去年同期增加0.27万元，同比增长比率79%。增长原因是内部食堂会议用餐费0.36万元。</w:t>
      </w:r>
    </w:p>
    <w:p w14:paraId="763768A3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3、培训费支出情况：2018年累计支出2.75万元，2017年累计支出15.47万元，同比去年同期减少12.72万元，同比下降比率82%，下降较大的原因为2017年局开展路政集训费11.59万元。</w:t>
      </w:r>
    </w:p>
    <w:p w14:paraId="23B0E536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本单位建立了完善的内部管理制度，严格执行各项费用开支的审批程序，严格控制各项费用开支。</w:t>
      </w:r>
    </w:p>
    <w:p w14:paraId="06C07788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（四）资金结转情况</w:t>
      </w:r>
    </w:p>
    <w:p w14:paraId="1E47626A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基本支出结转-199.83万元，项目支出结转311.77万元，项目资金结转较大原因，是下级县市区公路部门项目建设周期较长，有些项目资金是2018年12月才收到。</w:t>
      </w:r>
    </w:p>
    <w:p w14:paraId="3618BA3A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（五）绩效目标完成情况。</w:t>
      </w:r>
    </w:p>
    <w:p w14:paraId="6400D2DF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2018年完成了普通公路建养资金项目绩效，完成福兰线G316白鹤山至十岗公路大修项目，832万元，完成率100%，服务对象满意度90%，公路养护质量指标数80%。</w:t>
      </w:r>
    </w:p>
    <w:p w14:paraId="5E7D0D1F">
      <w:pPr>
        <w:ind w:firstLine="462" w:firstLineChars="200"/>
        <w:rPr>
          <w:rFonts w:ascii="宋体" w:hAnsi="宋体"/>
          <w:b/>
          <w:bCs/>
          <w:color w:val="3D3D3D"/>
          <w:kern w:val="0"/>
          <w:sz w:val="23"/>
          <w:szCs w:val="23"/>
        </w:rPr>
      </w:pPr>
      <w:r>
        <w:rPr>
          <w:rFonts w:hint="eastAsia" w:ascii="宋体" w:hAnsi="宋体"/>
          <w:b/>
          <w:bCs/>
          <w:color w:val="3D3D3D"/>
          <w:kern w:val="0"/>
          <w:sz w:val="23"/>
          <w:szCs w:val="23"/>
        </w:rPr>
        <w:t>四、资产负债情况分析</w:t>
      </w:r>
    </w:p>
    <w:p w14:paraId="1BC75ADE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2018年年末单位资产总值为24742.46万元，比上年26150.95减少1408.55万元，主要原因是还贷款冲减拨出工程借款，其中流动资产为23440.32万元（主要是拨出工程借款和省统贷)。负债总值为13708.82万元，其中流动负债为287.65万元，长期借款13421.17。年末净资产为11033.64万元。</w:t>
      </w:r>
    </w:p>
    <w:p w14:paraId="5D533944">
      <w:pPr>
        <w:ind w:firstLine="462" w:firstLineChars="200"/>
        <w:rPr>
          <w:rFonts w:ascii="宋体" w:hAnsi="宋体"/>
          <w:b/>
          <w:bCs/>
          <w:color w:val="3D3D3D"/>
          <w:kern w:val="0"/>
          <w:sz w:val="23"/>
          <w:szCs w:val="23"/>
        </w:rPr>
      </w:pPr>
      <w:r>
        <w:rPr>
          <w:rFonts w:hint="eastAsia" w:ascii="宋体" w:hAnsi="宋体"/>
          <w:b/>
          <w:bCs/>
          <w:color w:val="3D3D3D"/>
          <w:kern w:val="0"/>
          <w:sz w:val="23"/>
          <w:szCs w:val="23"/>
        </w:rPr>
        <w:t>五、本年度部门决算等财务工作开展情况</w:t>
      </w:r>
    </w:p>
    <w:p w14:paraId="47F92373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（一）决算数据真实性：本单位严格执行财经制度，严格财务管理，本次决算组织、编制、审核工作严格按照账务实际发生数据填报，确保决算数据的真实性。</w:t>
      </w:r>
    </w:p>
    <w:p w14:paraId="51144C04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（二）绩效评价范围更加全面：2018年我们配合省交通厅、省财政厅、省公路局及随州市财政局完成了五项绩效评价项目的绩效自评工作，涵盖了我市基本支出、车购税资金、公路养护管理资金等全部资金支出。</w:t>
      </w:r>
    </w:p>
    <w:p w14:paraId="032708B1">
      <w:pPr>
        <w:ind w:firstLine="460" w:firstLineChars="200"/>
        <w:rPr>
          <w:rFonts w:ascii="宋体" w:hAnsi="宋体"/>
          <w:color w:val="3D3D3D"/>
          <w:kern w:val="0"/>
          <w:sz w:val="23"/>
          <w:szCs w:val="23"/>
        </w:rPr>
      </w:pPr>
      <w:r>
        <w:rPr>
          <w:rFonts w:hint="eastAsia" w:ascii="宋体" w:hAnsi="宋体"/>
          <w:color w:val="3D3D3D"/>
          <w:kern w:val="0"/>
          <w:sz w:val="23"/>
          <w:szCs w:val="23"/>
        </w:rPr>
        <w:t>（三）2019年，我们将积极适应各项改革措施，紧紧围绕上级部门的安排部署，以资金保障、预算管理、基础工作、审计监督为要点，加强资金使用管理、加强单位财务监督管理、完成日常会计核算及各项报表的及时报送。</w:t>
      </w:r>
    </w:p>
    <w:p w14:paraId="7B36336B">
      <w:pPr>
        <w:snapToGrid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21656677">
      <w:pPr>
        <w:ind w:firstLine="460" w:firstLineChars="200"/>
      </w:pP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                                        </w:t>
      </w:r>
      <w:r>
        <w:rPr>
          <w:rFonts w:hint="eastAsia" w:ascii="宋体" w:hAnsi="宋体"/>
          <w:color w:val="3D3D3D"/>
          <w:kern w:val="0"/>
          <w:sz w:val="23"/>
          <w:szCs w:val="23"/>
        </w:rPr>
        <w:br w:type="textWrapping"/>
      </w:r>
      <w:r>
        <w:rPr>
          <w:rFonts w:hint="eastAsia" w:ascii="宋体" w:hAnsi="宋体"/>
          <w:color w:val="3D3D3D"/>
          <w:kern w:val="0"/>
          <w:sz w:val="23"/>
          <w:szCs w:val="23"/>
        </w:rPr>
        <w:t xml:space="preserve">   </w:t>
      </w:r>
    </w:p>
    <w:p w14:paraId="659935E9">
      <w:pPr>
        <w:rPr>
          <w:rFonts w:hint="eastAsia"/>
        </w:rPr>
      </w:pPr>
      <w:r>
        <w:rPr>
          <w:rFonts w:hint="eastAsia"/>
        </w:rPr>
        <w:t xml:space="preserve">                                                   随州市公路管理局</w:t>
      </w:r>
    </w:p>
    <w:p w14:paraId="66614670">
      <w:pPr>
        <w:rPr>
          <w:rFonts w:hint="eastAsia"/>
        </w:rPr>
      </w:pPr>
    </w:p>
    <w:p w14:paraId="5C5E651A">
      <w:pPr>
        <w:rPr>
          <w:rFonts w:hint="eastAsia"/>
        </w:rPr>
      </w:pPr>
    </w:p>
    <w:p w14:paraId="74A011BD">
      <w:pPr>
        <w:rPr>
          <w:rFonts w:hint="eastAsia"/>
        </w:rPr>
      </w:pPr>
    </w:p>
    <w:p w14:paraId="6BC1372A">
      <w:pPr>
        <w:rPr>
          <w:rFonts w:hint="eastAsia"/>
        </w:rPr>
      </w:pPr>
    </w:p>
    <w:p w14:paraId="07410A98">
      <w:pPr>
        <w:rPr>
          <w:rFonts w:hint="eastAsia"/>
        </w:rPr>
      </w:pPr>
    </w:p>
    <w:p w14:paraId="7C93ED28">
      <w:pPr>
        <w:rPr>
          <w:rFonts w:hint="eastAsia"/>
        </w:rPr>
      </w:pPr>
    </w:p>
    <w:p w14:paraId="51D01DD9">
      <w:pPr>
        <w:rPr>
          <w:rFonts w:hint="eastAsia"/>
        </w:rPr>
      </w:pPr>
    </w:p>
    <w:p w14:paraId="5F0CB2D3">
      <w:pPr>
        <w:rPr>
          <w:rFonts w:hint="eastAsia"/>
        </w:rPr>
      </w:pPr>
    </w:p>
    <w:p w14:paraId="77F64F46">
      <w:pPr>
        <w:rPr>
          <w:rFonts w:hint="eastAsia"/>
        </w:rPr>
      </w:pPr>
    </w:p>
    <w:p w14:paraId="4F2D3CCA">
      <w:pPr>
        <w:rPr>
          <w:rFonts w:hint="eastAsia"/>
        </w:rPr>
      </w:pPr>
    </w:p>
    <w:p w14:paraId="0785D1CF">
      <w:pPr>
        <w:rPr>
          <w:rFonts w:hint="eastAsia"/>
        </w:rPr>
      </w:pPr>
    </w:p>
    <w:p w14:paraId="1C9FCF3C">
      <w:pPr>
        <w:rPr>
          <w:rFonts w:hint="eastAsia"/>
        </w:rPr>
      </w:pPr>
    </w:p>
    <w:p w14:paraId="68478D94">
      <w:pPr>
        <w:rPr>
          <w:rFonts w:hint="eastAsia"/>
        </w:rPr>
      </w:pPr>
    </w:p>
    <w:p w14:paraId="5B058966">
      <w:pPr>
        <w:rPr>
          <w:rFonts w:hint="eastAsia"/>
        </w:rPr>
      </w:pPr>
    </w:p>
    <w:p w14:paraId="63051DC4">
      <w:pPr>
        <w:rPr>
          <w:rFonts w:hint="eastAsia"/>
        </w:rPr>
      </w:pPr>
    </w:p>
    <w:p w14:paraId="1584EA25">
      <w:pPr>
        <w:rPr>
          <w:rFonts w:hint="eastAsia"/>
        </w:rPr>
      </w:pPr>
    </w:p>
    <w:p w14:paraId="2F257585">
      <w:pPr>
        <w:rPr>
          <w:rFonts w:hint="eastAsia"/>
        </w:rPr>
      </w:pPr>
    </w:p>
    <w:p w14:paraId="292B918D">
      <w:pPr>
        <w:rPr>
          <w:rFonts w:hint="eastAsia"/>
        </w:rPr>
      </w:pPr>
    </w:p>
    <w:p w14:paraId="15C7AFDD">
      <w:pPr>
        <w:rPr>
          <w:rFonts w:hint="eastAsia"/>
        </w:rPr>
      </w:pPr>
      <w:r>
        <w:rPr>
          <w:rFonts w:ascii="宋体" w:hAnsi="宋体" w:cs="宋体"/>
          <w:kern w:val="0"/>
          <w:sz w:val="24"/>
          <w:szCs w:val="24"/>
        </w:rPr>
        <w:drawing>
          <wp:inline distT="0" distB="0" distL="0" distR="0">
            <wp:extent cx="5886450" cy="3503930"/>
            <wp:effectExtent l="19050" t="0" r="0" b="0"/>
            <wp:docPr id="2" name="图片 1" descr="C:\Users\Administrator\AppData\Roaming\Tencent\Users\7833033\QQ\WinTemp\RichOle\`S%OJ35O0~~XU}J`LCFYD`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AppData\Roaming\Tencent\Users\7833033\QQ\WinTemp\RichOle\`S%OJ35O0~~XU}J`LCFYD`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50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831F41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 w14:paraId="42C68CBB">
      <w:pPr>
        <w:rPr>
          <w:rFonts w:hint="eastAsia"/>
        </w:rPr>
      </w:pPr>
    </w:p>
    <w:p w14:paraId="00839555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drawing>
          <wp:inline distT="0" distB="0" distL="0" distR="0">
            <wp:extent cx="5929630" cy="2790825"/>
            <wp:effectExtent l="19050" t="0" r="0" b="0"/>
            <wp:docPr id="3" name="图片 3" descr="C:\Users\Administrator\AppData\Roaming\Tencent\Users\7833033\QQ\WinTemp\RichOle\{}DY$]K8O2GQ71TEDJ(O5[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AppData\Roaming\Tencent\Users\7833033\QQ\WinTemp\RichOle\{}DY$]K8O2GQ71TEDJ(O5[X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9697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AB76EF">
      <w:pPr>
        <w:rPr>
          <w:rFonts w:hint="eastAsia"/>
        </w:rPr>
      </w:pPr>
    </w:p>
    <w:p w14:paraId="1C2F4C9B">
      <w:pPr>
        <w:rPr>
          <w:rFonts w:hint="eastAsia"/>
        </w:rPr>
      </w:pPr>
    </w:p>
    <w:p w14:paraId="6A016E97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drawing>
          <wp:inline distT="0" distB="0" distL="0" distR="0">
            <wp:extent cx="5933440" cy="2527300"/>
            <wp:effectExtent l="19050" t="0" r="0" b="0"/>
            <wp:docPr id="5" name="图片 5" descr="C:\Users\Administrator\AppData\Roaming\Tencent\Users\7833033\QQ\WinTemp\RichOle\%WSP[M8X%7MG75YZXYBXSN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AppData\Roaming\Tencent\Users\7833033\QQ\WinTemp\RichOle\%WSP[M8X%7MG75YZXYBXSN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110" cy="253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4A854">
      <w:pPr>
        <w:rPr>
          <w:rFonts w:hint="eastAsia"/>
        </w:rPr>
      </w:pPr>
    </w:p>
    <w:p w14:paraId="434539C7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drawing>
          <wp:inline distT="0" distB="0" distL="0" distR="0">
            <wp:extent cx="5953125" cy="4023360"/>
            <wp:effectExtent l="19050" t="0" r="9525" b="0"/>
            <wp:docPr id="7" name="图片 7" descr="C:\Users\Administrator\AppData\Roaming\Tencent\Users\7833033\QQ\WinTemp\RichOle\5R]RW_7CN91J6)37ZQKVCQ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AppData\Roaming\Tencent\Users\7833033\QQ\WinTemp\RichOle\5R]RW_7CN91J6)37ZQKVCQ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40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EDEEE3">
      <w:pPr>
        <w:rPr>
          <w:rFonts w:hint="eastAsia"/>
        </w:rPr>
      </w:pPr>
    </w:p>
    <w:p w14:paraId="5641BEB2">
      <w:pPr>
        <w:rPr>
          <w:rFonts w:hint="eastAsia"/>
        </w:rPr>
      </w:pPr>
    </w:p>
    <w:p w14:paraId="282B8A7D">
      <w:pPr>
        <w:rPr>
          <w:rFonts w:hint="eastAsia"/>
        </w:rPr>
      </w:pPr>
    </w:p>
    <w:p w14:paraId="60607941">
      <w:pPr>
        <w:rPr>
          <w:rFonts w:hint="eastAsia"/>
        </w:rPr>
      </w:pPr>
    </w:p>
    <w:p w14:paraId="61085BC3">
      <w:pPr>
        <w:rPr>
          <w:rFonts w:hint="eastAsia"/>
        </w:rPr>
      </w:pPr>
    </w:p>
    <w:p w14:paraId="182BABF4">
      <w:pPr>
        <w:rPr>
          <w:rFonts w:hint="eastAsia"/>
        </w:rPr>
      </w:pPr>
    </w:p>
    <w:p w14:paraId="77C45643">
      <w:pPr>
        <w:rPr>
          <w:rFonts w:hint="eastAsia"/>
        </w:rPr>
      </w:pPr>
    </w:p>
    <w:p w14:paraId="02D736CB">
      <w:pPr>
        <w:rPr>
          <w:rFonts w:hint="eastAsia"/>
        </w:rPr>
      </w:pPr>
    </w:p>
    <w:p w14:paraId="6401994F">
      <w:pPr>
        <w:rPr>
          <w:rFonts w:hint="eastAsia"/>
        </w:rPr>
      </w:pPr>
    </w:p>
    <w:p w14:paraId="548A00C4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drawing>
          <wp:inline distT="0" distB="0" distL="0" distR="0">
            <wp:extent cx="5886450" cy="2552700"/>
            <wp:effectExtent l="19050" t="0" r="0" b="0"/>
            <wp:docPr id="9" name="图片 9" descr="C:\Users\Administrator\AppData\Roaming\Tencent\Users\7833033\QQ\WinTemp\RichOle\H`IYJJ4AY~@XD$E6ZQZW~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AppData\Roaming\Tencent\Users\7833033\QQ\WinTemp\RichOle\H`IYJJ4AY~@XD$E6ZQZW~F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9155" cy="255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D19953">
      <w:pPr>
        <w:rPr>
          <w:rFonts w:hint="eastAsia"/>
        </w:rPr>
      </w:pPr>
    </w:p>
    <w:p w14:paraId="2478FC56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drawing>
          <wp:inline distT="0" distB="0" distL="0" distR="0">
            <wp:extent cx="5819775" cy="4416425"/>
            <wp:effectExtent l="19050" t="0" r="9525" b="0"/>
            <wp:docPr id="11" name="图片 11" descr="C:\Users\Administrator\AppData\Roaming\Tencent\Users\7833033\QQ\WinTemp\RichOle\}EZFL%FIJ7W7(%F%1O6(7$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AppData\Roaming\Tencent\Users\7833033\QQ\WinTemp\RichOle\}EZFL%FIJ7W7(%F%1O6(7$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7776" cy="442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44B613">
      <w:pPr>
        <w:rPr>
          <w:rFonts w:hint="eastAsia"/>
        </w:rPr>
      </w:pPr>
    </w:p>
    <w:p w14:paraId="16B551FB">
      <w:pPr>
        <w:rPr>
          <w:rFonts w:hint="eastAsia"/>
        </w:rPr>
      </w:pPr>
    </w:p>
    <w:p w14:paraId="067C5D03">
      <w:pPr>
        <w:rPr>
          <w:rFonts w:hint="eastAsia"/>
        </w:rPr>
      </w:pPr>
    </w:p>
    <w:p w14:paraId="38052D95">
      <w:pPr>
        <w:rPr>
          <w:rFonts w:hint="eastAsia"/>
        </w:rPr>
      </w:pPr>
    </w:p>
    <w:p w14:paraId="4DF23A12">
      <w:pPr>
        <w:rPr>
          <w:rFonts w:hint="eastAsia"/>
        </w:rPr>
      </w:pPr>
    </w:p>
    <w:p w14:paraId="5578084F">
      <w:pPr>
        <w:rPr>
          <w:rFonts w:hint="eastAsia"/>
        </w:rPr>
      </w:pPr>
    </w:p>
    <w:p w14:paraId="0F607B32">
      <w:pPr>
        <w:rPr>
          <w:rFonts w:hint="eastAsia"/>
        </w:rPr>
      </w:pPr>
    </w:p>
    <w:p w14:paraId="74DA3FA8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drawing>
          <wp:inline distT="0" distB="0" distL="0" distR="0">
            <wp:extent cx="5734050" cy="1779270"/>
            <wp:effectExtent l="19050" t="0" r="0" b="0"/>
            <wp:docPr id="13" name="图片 13" descr="C:\Users\Administrator\AppData\Roaming\Tencent\Users\7833033\QQ\WinTemp\RichOle\PKP{P$~ZZCVAK@Y43VG0D0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AppData\Roaming\Tencent\Users\7833033\QQ\WinTemp\RichOle\PKP{P$~ZZCVAK@Y43VG0D0V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7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CCD817">
      <w:pPr>
        <w:rPr>
          <w:rFonts w:hint="eastAsia"/>
        </w:rPr>
      </w:pPr>
    </w:p>
    <w:p w14:paraId="492C4ADD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drawing>
          <wp:inline distT="0" distB="0" distL="0" distR="0">
            <wp:extent cx="5629275" cy="2171700"/>
            <wp:effectExtent l="19050" t="0" r="9525" b="0"/>
            <wp:docPr id="15" name="图片 15" descr="C:\Users\Administrator\AppData\Roaming\Tencent\Users\7833033\QQ\WinTemp\RichOle\N]@XU0TM7W0S6_UQ`YU9H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AppData\Roaming\Tencent\Users\7833033\QQ\WinTemp\RichOle\N]@XU0TM7W0S6_UQ`YU9H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0683" cy="2176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3F8A87">
      <w:pPr>
        <w:rPr>
          <w:rFonts w:hint="eastAsia"/>
        </w:rPr>
      </w:pPr>
    </w:p>
    <w:p w14:paraId="49CCB0DF">
      <w:pPr>
        <w:rPr>
          <w:rFonts w:hint="eastAsia"/>
        </w:rPr>
      </w:pPr>
    </w:p>
    <w:p w14:paraId="6227E6D7">
      <w:pPr>
        <w:rPr>
          <w:rFonts w:hint="eastAsia"/>
        </w:rPr>
      </w:pPr>
    </w:p>
    <w:p w14:paraId="6447F62E">
      <w:pPr>
        <w:rPr>
          <w:rFonts w:hint="eastAsia"/>
        </w:rPr>
      </w:pPr>
    </w:p>
    <w:p w14:paraId="115635A7">
      <w:pPr>
        <w:rPr>
          <w:rFonts w:hint="eastAsia"/>
        </w:rPr>
      </w:pPr>
    </w:p>
    <w:p w14:paraId="2AFDB23B">
      <w:pPr>
        <w:rPr>
          <w:rFonts w:hint="eastAsia"/>
        </w:rPr>
      </w:pPr>
    </w:p>
    <w:p w14:paraId="0A4AC2F1">
      <w:pPr>
        <w:rPr>
          <w:rFonts w:hint="eastAsia"/>
        </w:rPr>
      </w:pPr>
    </w:p>
    <w:p w14:paraId="12C76DAC">
      <w:pPr>
        <w:rPr>
          <w:rFonts w:hint="eastAsia"/>
        </w:rPr>
      </w:pPr>
    </w:p>
    <w:p w14:paraId="32330259">
      <w:pPr>
        <w:rPr>
          <w:rFonts w:hint="eastAsia"/>
        </w:rPr>
      </w:pPr>
    </w:p>
    <w:p w14:paraId="4821A35C">
      <w:pPr>
        <w:rPr>
          <w:rFonts w:hint="eastAsia"/>
        </w:rPr>
      </w:pPr>
    </w:p>
    <w:p w14:paraId="5F30DFA3">
      <w:pPr>
        <w:rPr>
          <w:rFonts w:hint="eastAsia"/>
        </w:rPr>
      </w:pPr>
    </w:p>
    <w:p w14:paraId="1BCB56EB">
      <w:pPr>
        <w:rPr>
          <w:rFonts w:hint="eastAsia"/>
        </w:rPr>
      </w:pPr>
    </w:p>
    <w:p w14:paraId="749B78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2E09D8"/>
    <w:multiLevelType w:val="singleLevel"/>
    <w:tmpl w:val="382E09D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E8"/>
    <w:rsid w:val="001451BD"/>
    <w:rsid w:val="00182C4B"/>
    <w:rsid w:val="0028034F"/>
    <w:rsid w:val="003226DC"/>
    <w:rsid w:val="005174E8"/>
    <w:rsid w:val="00564130"/>
    <w:rsid w:val="00720EF8"/>
    <w:rsid w:val="007721EF"/>
    <w:rsid w:val="007D08C7"/>
    <w:rsid w:val="00935134"/>
    <w:rsid w:val="00A5381A"/>
    <w:rsid w:val="00AB08DC"/>
    <w:rsid w:val="00E07FCE"/>
    <w:rsid w:val="00E14B6F"/>
    <w:rsid w:val="00EB7AA0"/>
    <w:rsid w:val="00ED6D4D"/>
    <w:rsid w:val="00FB15B6"/>
    <w:rsid w:val="0608612F"/>
    <w:rsid w:val="06461298"/>
    <w:rsid w:val="066140AF"/>
    <w:rsid w:val="07AC6FCE"/>
    <w:rsid w:val="07CD1545"/>
    <w:rsid w:val="08A00E67"/>
    <w:rsid w:val="09C016FB"/>
    <w:rsid w:val="0DF6490E"/>
    <w:rsid w:val="0ECB1588"/>
    <w:rsid w:val="0EF51160"/>
    <w:rsid w:val="11806589"/>
    <w:rsid w:val="12007257"/>
    <w:rsid w:val="12D0030C"/>
    <w:rsid w:val="14ED456A"/>
    <w:rsid w:val="157C7B99"/>
    <w:rsid w:val="160D694E"/>
    <w:rsid w:val="16484CB3"/>
    <w:rsid w:val="164C4EE8"/>
    <w:rsid w:val="19EF014F"/>
    <w:rsid w:val="1A3568EC"/>
    <w:rsid w:val="1B667404"/>
    <w:rsid w:val="1C063DA3"/>
    <w:rsid w:val="1DE62699"/>
    <w:rsid w:val="1EFE26F3"/>
    <w:rsid w:val="1F551E58"/>
    <w:rsid w:val="20B97474"/>
    <w:rsid w:val="22364CF4"/>
    <w:rsid w:val="228843BC"/>
    <w:rsid w:val="2311791E"/>
    <w:rsid w:val="23EB79D3"/>
    <w:rsid w:val="25AB54B7"/>
    <w:rsid w:val="27700C9F"/>
    <w:rsid w:val="299F6E5A"/>
    <w:rsid w:val="2B683F76"/>
    <w:rsid w:val="2E747AC0"/>
    <w:rsid w:val="2ECD4D7C"/>
    <w:rsid w:val="3269315B"/>
    <w:rsid w:val="327509A4"/>
    <w:rsid w:val="33BD0B4C"/>
    <w:rsid w:val="345520F2"/>
    <w:rsid w:val="3542012B"/>
    <w:rsid w:val="3759464B"/>
    <w:rsid w:val="3A1B462E"/>
    <w:rsid w:val="3A63219B"/>
    <w:rsid w:val="3BE754D1"/>
    <w:rsid w:val="3BF9014A"/>
    <w:rsid w:val="3D3D1C96"/>
    <w:rsid w:val="3E291B69"/>
    <w:rsid w:val="3F6921DE"/>
    <w:rsid w:val="3FDE48D8"/>
    <w:rsid w:val="401E319D"/>
    <w:rsid w:val="417518CB"/>
    <w:rsid w:val="41C7442F"/>
    <w:rsid w:val="44B31CB5"/>
    <w:rsid w:val="47885914"/>
    <w:rsid w:val="494A3BF9"/>
    <w:rsid w:val="4C2165ED"/>
    <w:rsid w:val="4D2B7E61"/>
    <w:rsid w:val="4E135EBA"/>
    <w:rsid w:val="4E444FAA"/>
    <w:rsid w:val="4F4C2A62"/>
    <w:rsid w:val="50F27D82"/>
    <w:rsid w:val="526B46AA"/>
    <w:rsid w:val="530E3975"/>
    <w:rsid w:val="56574A34"/>
    <w:rsid w:val="59B775F6"/>
    <w:rsid w:val="59C05C2A"/>
    <w:rsid w:val="5AB4105A"/>
    <w:rsid w:val="5B9F43D0"/>
    <w:rsid w:val="5D5E6564"/>
    <w:rsid w:val="5E165A13"/>
    <w:rsid w:val="5E4C76B2"/>
    <w:rsid w:val="5E4E1C95"/>
    <w:rsid w:val="5F0854B8"/>
    <w:rsid w:val="61F425AE"/>
    <w:rsid w:val="62224E4C"/>
    <w:rsid w:val="624B6EB8"/>
    <w:rsid w:val="626437CE"/>
    <w:rsid w:val="62B44CFD"/>
    <w:rsid w:val="63524240"/>
    <w:rsid w:val="67A82C95"/>
    <w:rsid w:val="6BB217B2"/>
    <w:rsid w:val="6E5903A8"/>
    <w:rsid w:val="6FFB7C17"/>
    <w:rsid w:val="70A23F20"/>
    <w:rsid w:val="70E42838"/>
    <w:rsid w:val="71253DD0"/>
    <w:rsid w:val="72764062"/>
    <w:rsid w:val="79A01103"/>
    <w:rsid w:val="7A415774"/>
    <w:rsid w:val="7BE67ACE"/>
    <w:rsid w:val="7C7C05C3"/>
    <w:rsid w:val="7DD55D01"/>
    <w:rsid w:val="7E32653F"/>
    <w:rsid w:val="7F6D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semiHidden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2471</Words>
  <Characters>2925</Characters>
  <Lines>22</Lines>
  <Paragraphs>6</Paragraphs>
  <TotalTime>44</TotalTime>
  <ScaleCrop>false</ScaleCrop>
  <LinksUpToDate>false</LinksUpToDate>
  <CharactersWithSpaces>3068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2017-12-12T08:48:00Z</dcterms:created>
  <dc:creator>Administrator</dc:creator>
  <cp:lastModifiedBy>pc</cp:lastModifiedBy>
  <cp:lastPrinted>2019-10-11T03:04:00Z</cp:lastPrinted>
  <dcterms:modified xsi:type="dcterms:W3CDTF">2025-10-30T04:07:22Z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eyJoZGlkIjoiZTRkZTZiM2M4ZjA5ZDcxYWU1MTVhZTAzZjFhZmVkZmYifQ==</vt:lpwstr>
  </property>
  <property fmtid="{D5CDD505-2E9C-101B-9397-08002B2CF9AE}" pid="4" name="ICV">
    <vt:lpwstr>A83A5199D7144939A0F6EF76F0F0EF6C_13</vt:lpwstr>
  </property>
</Properties>
</file>