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934"/>
        <w:pageBreakBefore w:val="false"/>
        <w:widowControl w:val="false"/>
        <w:pBdr/>
        <w:spacing w:line="540" w:lineRule="exact"/>
        <w:ind/>
        <w:jc w:val="right"/>
        <w:rPr>
          <w:rFonts w:ascii="Arial Narrow" w:hAnsi="Arial Narrow" w:eastAsia="仿宋_GB2312" w:cs="Arial Narrow"/>
          <w:color w:val="000000"/>
          <w:sz w:val="24"/>
          <w:szCs w:val="24"/>
          <w:lang w:bidi="ar-SA"/>
        </w:rPr>
      </w:pPr>
      <w:r>
        <w:rPr>
          <w:rFonts w:ascii="Arial Narrow" w:hAnsi="Arial Narrow" w:eastAsia="仿宋_GB2312" w:cs="Arial Narrow"/>
          <w:color w:val="000000"/>
          <w:sz w:val="24"/>
          <w:szCs w:val="24"/>
          <w:lang w:bidi="ar-SA"/>
        </w:rPr>
      </w:r>
      <w:r>
        <w:rPr>
          <w:rFonts w:ascii="Arial Narrow" w:hAnsi="Arial Narrow" w:eastAsia="仿宋_GB2312" w:cs="Arial Narrow"/>
          <w:color w:val="000000"/>
          <w:sz w:val="24"/>
          <w:szCs w:val="24"/>
          <w:lang w:bidi="ar-SA"/>
        </w:rPr>
      </w:r>
      <w:r>
        <w:rPr>
          <w:rFonts w:ascii="Arial Narrow" w:hAnsi="Arial Narrow" w:eastAsia="仿宋_GB2312" w:cs="Arial Narrow"/>
          <w:color w:val="000000"/>
          <w:sz w:val="24"/>
          <w:szCs w:val="24"/>
          <w:lang w:bidi="ar-SA"/>
        </w:rPr>
      </w:r>
    </w:p>
    <w:p>
      <w:pPr>
        <w:pStyle w:val="934"/>
        <w:pageBreakBefore w:val="false"/>
        <w:widowControl w:val="false"/>
        <w:pBdr/>
        <w:spacing w:line="540" w:lineRule="exact"/>
        <w:ind/>
        <w:jc w:val="center"/>
        <w:rPr>
          <w:rFonts w:ascii="Arial Narrow" w:hAnsi="Arial Narrow" w:eastAsia="仿宋_GB2312" w:cs="Arial Narrow"/>
          <w:b/>
          <w:color w:val="000000"/>
          <w:sz w:val="24"/>
          <w:szCs w:val="24"/>
          <w:lang w:bidi="ar-SA"/>
        </w:rPr>
      </w:pPr>
      <w:r>
        <w:rPr>
          <w:rFonts w:ascii="Arial Narrow" w:hAnsi="Arial Narrow" w:eastAsia="仿宋_GB2312" w:cs="Arial Narrow"/>
          <w:b/>
          <w:color w:val="000000"/>
          <w:sz w:val="24"/>
          <w:szCs w:val="24"/>
          <w:lang w:bidi="ar-SA"/>
        </w:rPr>
      </w:r>
      <w:r>
        <w:rPr>
          <w:rFonts w:ascii="Arial Narrow" w:hAnsi="Arial Narrow" w:eastAsia="仿宋_GB2312" w:cs="Arial Narrow"/>
          <w:b/>
          <w:color w:val="000000"/>
          <w:sz w:val="24"/>
          <w:szCs w:val="24"/>
          <w:lang w:bidi="ar-SA"/>
        </w:rPr>
      </w:r>
      <w:r>
        <w:rPr>
          <w:rFonts w:ascii="Arial Narrow" w:hAnsi="Arial Narrow" w:eastAsia="仿宋_GB2312" w:cs="Arial Narrow"/>
          <w:b/>
          <w:color w:val="000000"/>
          <w:sz w:val="24"/>
          <w:szCs w:val="24"/>
          <w:lang w:bidi="ar-SA"/>
        </w:rPr>
      </w:r>
    </w:p>
    <w:p>
      <w:pPr>
        <w:pStyle w:val="934"/>
        <w:pageBreakBefore w:val="false"/>
        <w:widowControl w:val="false"/>
        <w:pBdr/>
        <w:spacing w:line="540" w:lineRule="exact"/>
        <w:ind/>
        <w:jc w:val="both"/>
        <w:rPr>
          <w:rFonts w:hint="eastAsia" w:ascii="Arial Narrow" w:hAnsi="Arial Narrow" w:eastAsia="仿宋_GB2312" w:cs="Arial Narrow"/>
          <w:b/>
          <w:color w:val="000000"/>
          <w:sz w:val="44"/>
          <w:szCs w:val="44"/>
          <w:lang w:val="en-US" w:eastAsia="zh-CN" w:bidi="ar-SA"/>
        </w:rPr>
      </w:pPr>
      <w:r>
        <w:rPr>
          <w:rFonts w:hint="eastAsia" w:ascii="Arial Narrow" w:hAnsi="Arial Narrow" w:eastAsia="仿宋_GB2312" w:cs="Arial Narrow"/>
          <w:b/>
          <w:color w:val="000000"/>
          <w:sz w:val="44"/>
          <w:szCs w:val="44"/>
          <w:lang w:val="en-US" w:eastAsia="zh-CN" w:bidi="ar-SA"/>
        </w:rPr>
      </w:r>
      <w:r>
        <w:rPr>
          <w:rFonts w:hint="eastAsia" w:ascii="Arial Narrow" w:hAnsi="Arial Narrow" w:eastAsia="仿宋_GB2312" w:cs="Arial Narrow"/>
          <w:b/>
          <w:color w:val="000000"/>
          <w:sz w:val="44"/>
          <w:szCs w:val="44"/>
          <w:lang w:val="en-US" w:eastAsia="zh-CN" w:bidi="ar-SA"/>
        </w:rPr>
      </w:r>
      <w:r>
        <w:rPr>
          <w:rFonts w:hint="eastAsia" w:ascii="Arial Narrow" w:hAnsi="Arial Narrow" w:eastAsia="仿宋_GB2312" w:cs="Arial Narrow"/>
          <w:b/>
          <w:color w:val="000000"/>
          <w:sz w:val="44"/>
          <w:szCs w:val="44"/>
          <w:lang w:val="en-US" w:eastAsia="zh-CN" w:bidi="ar-SA"/>
        </w:rPr>
      </w:r>
    </w:p>
    <w:p>
      <w:pPr>
        <w:pStyle w:val="934"/>
        <w:pageBreakBefore w:val="false"/>
        <w:widowControl w:val="false"/>
        <w:pBdr/>
        <w:spacing w:line="540" w:lineRule="exact"/>
        <w:ind/>
        <w:jc w:val="center"/>
        <w:rPr>
          <w:rFonts w:hint="eastAsia" w:ascii="方正小标宋简体" w:hAnsi="方正小标宋简体" w:eastAsia="方正小标宋简体" w:cs="方正小标宋简体"/>
          <w:b w:val="0"/>
          <w:bCs/>
          <w:color w:val="000000"/>
          <w:sz w:val="44"/>
          <w:szCs w:val="44"/>
          <w:lang w:bidi="ar-SA"/>
        </w:rPr>
      </w:pPr>
      <w:r>
        <w:rPr>
          <w:rFonts w:hint="eastAsia" w:ascii="方正小标宋简体" w:hAnsi="方正小标宋简体" w:eastAsia="方正小标宋简体" w:cs="方正小标宋简体"/>
          <w:b w:val="0"/>
          <w:bCs/>
          <w:color w:val="000000"/>
          <w:sz w:val="44"/>
          <w:szCs w:val="44"/>
          <w:lang w:bidi="ar-SA"/>
        </w:rPr>
        <w:t xml:space="preserve">201</w:t>
      </w:r>
      <w:r>
        <w:rPr>
          <w:rFonts w:hint="eastAsia" w:ascii="方正小标宋简体" w:hAnsi="方正小标宋简体" w:eastAsia="方正小标宋简体" w:cs="方正小标宋简体"/>
          <w:b w:val="0"/>
          <w:bCs/>
          <w:color w:val="000000"/>
          <w:sz w:val="44"/>
          <w:szCs w:val="44"/>
          <w:lang w:val="en-US" w:eastAsia="zh-CN" w:bidi="ar-SA"/>
        </w:rPr>
        <w:t xml:space="preserve">9</w:t>
      </w:r>
      <w:r>
        <w:rPr>
          <w:rFonts w:hint="eastAsia" w:ascii="方正小标宋简体" w:hAnsi="方正小标宋简体" w:eastAsia="方正小标宋简体" w:cs="方正小标宋简体"/>
          <w:b w:val="0"/>
          <w:bCs/>
          <w:color w:val="000000"/>
          <w:sz w:val="44"/>
          <w:szCs w:val="44"/>
          <w:lang w:bidi="ar-SA"/>
        </w:rPr>
        <w:t xml:space="preserve">年整体支出绩效自评报告</w:t>
      </w:r>
      <w:r>
        <w:rPr>
          <w:rFonts w:hint="eastAsia" w:ascii="方正小标宋简体" w:hAnsi="方正小标宋简体" w:eastAsia="方正小标宋简体" w:cs="方正小标宋简体"/>
          <w:b w:val="0"/>
          <w:bCs/>
          <w:color w:val="000000"/>
          <w:sz w:val="44"/>
          <w:szCs w:val="44"/>
          <w:lang w:bidi="ar-SA"/>
        </w:rPr>
      </w:r>
      <w:r>
        <w:rPr>
          <w:rFonts w:hint="eastAsia" w:ascii="方正小标宋简体" w:hAnsi="方正小标宋简体" w:eastAsia="方正小标宋简体" w:cs="方正小标宋简体"/>
          <w:b w:val="0"/>
          <w:bCs/>
          <w:color w:val="000000"/>
          <w:sz w:val="44"/>
          <w:szCs w:val="44"/>
          <w:lang w:bidi="ar-SA"/>
        </w:rPr>
      </w:r>
    </w:p>
    <w:p>
      <w:pPr>
        <w:pStyle w:val="934"/>
        <w:pageBreakBefore w:val="false"/>
        <w:widowControl w:val="false"/>
        <w:pBdr/>
        <w:tabs>
          <w:tab w:val="left" w:leader="none" w:pos="1460"/>
        </w:tabs>
        <w:spacing w:line="540" w:lineRule="exact"/>
        <w:ind w:firstLine="482"/>
        <w:rPr>
          <w:rFonts w:ascii="Arial" w:hAnsi="Arial" w:eastAsia="仿宋_GB2312" w:cs="Arial"/>
          <w:b/>
          <w:color w:val="000000"/>
          <w:sz w:val="24"/>
          <w:szCs w:val="24"/>
          <w:lang w:bidi="ar-SA"/>
        </w:rPr>
      </w:pPr>
      <w:r>
        <w:rPr>
          <w:rFonts w:ascii="Arial" w:hAnsi="Arial" w:eastAsia="仿宋_GB2312" w:cs="Arial"/>
          <w:b/>
          <w:color w:val="000000"/>
          <w:sz w:val="24"/>
          <w:szCs w:val="24"/>
          <w:lang w:bidi="ar-SA"/>
        </w:rPr>
        <w:tab/>
      </w:r>
      <w:r>
        <w:rPr>
          <w:rFonts w:ascii="Arial" w:hAnsi="Arial" w:eastAsia="仿宋_GB2312" w:cs="Arial"/>
          <w:b/>
          <w:color w:val="000000"/>
          <w:sz w:val="24"/>
          <w:szCs w:val="24"/>
          <w:lang w:bidi="ar-SA"/>
        </w:rPr>
      </w:r>
      <w:r>
        <w:rPr>
          <w:rFonts w:ascii="Arial" w:hAnsi="Arial" w:eastAsia="仿宋_GB2312" w:cs="Arial"/>
          <w:b/>
          <w:color w:val="000000"/>
          <w:sz w:val="24"/>
          <w:szCs w:val="24"/>
          <w:lang w:bidi="ar-SA"/>
        </w:rPr>
      </w:r>
    </w:p>
    <w:p>
      <w:pPr>
        <w:pStyle w:val="934"/>
        <w:pageBreakBefore w:val="false"/>
        <w:widowControl w:val="false"/>
        <w:pBdr/>
        <w:spacing w:line="540" w:lineRule="exact"/>
        <w:ind w:firstLine="482"/>
        <w:rPr>
          <w:rFonts w:ascii="Arial" w:hAnsi="Arial" w:eastAsia="仿宋_GB2312" w:cs="Arial"/>
          <w:b/>
          <w:color w:val="000000"/>
          <w:sz w:val="24"/>
          <w:szCs w:val="24"/>
          <w:lang w:bidi="ar-SA"/>
        </w:rPr>
      </w:pPr>
      <w:r>
        <w:rPr>
          <w:rFonts w:ascii="Arial" w:hAnsi="Arial" w:eastAsia="仿宋_GB2312" w:cs="Arial"/>
          <w:b/>
          <w:color w:val="000000"/>
          <w:sz w:val="24"/>
          <w:szCs w:val="24"/>
          <w:lang w:bidi="ar-SA"/>
        </w:rPr>
      </w:r>
      <w:r>
        <w:rPr>
          <w:rFonts w:ascii="Arial" w:hAnsi="Arial" w:eastAsia="仿宋_GB2312" w:cs="Arial"/>
          <w:b/>
          <w:color w:val="000000"/>
          <w:sz w:val="24"/>
          <w:szCs w:val="24"/>
          <w:lang w:bidi="ar-SA"/>
        </w:rPr>
      </w:r>
      <w:r>
        <w:rPr>
          <w:rFonts w:ascii="Arial" w:hAnsi="Arial" w:eastAsia="仿宋_GB2312" w:cs="Arial"/>
          <w:b/>
          <w:color w:val="000000"/>
          <w:sz w:val="24"/>
          <w:szCs w:val="24"/>
          <w:lang w:bidi="ar-SA"/>
        </w:rPr>
      </w:r>
    </w:p>
    <w:p>
      <w:pPr>
        <w:pStyle w:val="934"/>
        <w:pageBreakBefore w:val="false"/>
        <w:widowControl w:val="false"/>
        <w:pBdr/>
        <w:spacing w:line="540" w:lineRule="exact"/>
        <w:ind w:firstLine="790"/>
        <w:jc w:val="left"/>
        <w:rPr>
          <w:rFonts w:ascii="Arial" w:hAnsi="Arial" w:eastAsia="仿宋_GB2312" w:cs="Arial"/>
          <w:b/>
          <w:bCs/>
          <w:color w:val="000000"/>
          <w:sz w:val="32"/>
          <w:szCs w:val="24"/>
          <w:lang w:bidi="he-IL"/>
        </w:rPr>
      </w:pP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p>
    <w:p>
      <w:pPr>
        <w:pStyle w:val="934"/>
        <w:pageBreakBefore w:val="false"/>
        <w:widowControl w:val="false"/>
        <w:pBdr/>
        <w:spacing w:line="540" w:lineRule="exact"/>
        <w:ind w:firstLine="790"/>
        <w:jc w:val="left"/>
        <w:rPr>
          <w:rFonts w:ascii="Arial" w:hAnsi="Arial" w:eastAsia="仿宋_GB2312" w:cs="Arial"/>
          <w:b/>
          <w:bCs/>
          <w:color w:val="000000"/>
          <w:sz w:val="32"/>
          <w:szCs w:val="24"/>
          <w:lang w:bidi="he-IL"/>
        </w:rPr>
      </w:pP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p>
    <w:p>
      <w:pPr>
        <w:pStyle w:val="934"/>
        <w:pageBreakBefore w:val="false"/>
        <w:widowControl w:val="false"/>
        <w:pBdr/>
        <w:spacing w:line="540" w:lineRule="exact"/>
        <w:ind/>
        <w:jc w:val="left"/>
        <w:rPr>
          <w:rFonts w:ascii="Arial" w:hAnsi="Arial" w:eastAsia="仿宋_GB2312" w:cs="Arial"/>
          <w:b/>
          <w:bCs/>
          <w:color w:val="000000"/>
          <w:sz w:val="32"/>
          <w:szCs w:val="24"/>
          <w:lang w:bidi="he-IL"/>
        </w:rPr>
      </w:pP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p>
    <w:p>
      <w:pPr>
        <w:pStyle w:val="934"/>
        <w:pageBreakBefore w:val="false"/>
        <w:widowControl w:val="false"/>
        <w:pBdr/>
        <w:spacing w:line="540" w:lineRule="exact"/>
        <w:ind/>
        <w:jc w:val="left"/>
        <w:rPr>
          <w:rFonts w:ascii="Arial" w:hAnsi="Arial" w:eastAsia="仿宋_GB2312" w:cs="Arial"/>
          <w:b/>
          <w:bCs/>
          <w:color w:val="000000"/>
          <w:sz w:val="32"/>
          <w:szCs w:val="24"/>
          <w:lang w:bidi="he-IL"/>
        </w:rPr>
      </w:pP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p>
    <w:p>
      <w:pPr>
        <w:pStyle w:val="934"/>
        <w:pageBreakBefore w:val="false"/>
        <w:widowControl w:val="false"/>
        <w:pBdr/>
        <w:spacing w:line="540" w:lineRule="exact"/>
        <w:ind/>
        <w:jc w:val="left"/>
        <w:rPr>
          <w:rFonts w:ascii="Arial" w:hAnsi="Arial" w:eastAsia="仿宋_GB2312" w:cs="Arial"/>
          <w:b/>
          <w:bCs/>
          <w:color w:val="000000"/>
          <w:sz w:val="32"/>
          <w:szCs w:val="24"/>
          <w:lang w:bidi="he-IL"/>
        </w:rPr>
      </w:pP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r>
        <w:rPr>
          <w:rFonts w:ascii="Arial" w:hAnsi="Arial" w:eastAsia="仿宋_GB2312" w:cs="Arial"/>
          <w:b/>
          <w:bCs/>
          <w:color w:val="000000"/>
          <w:sz w:val="32"/>
          <w:szCs w:val="24"/>
          <w:lang w:bidi="he-IL"/>
        </w:rPr>
      </w:r>
    </w:p>
    <w:p>
      <w:pPr>
        <w:pStyle w:val="934"/>
        <w:keepNext w:val="true"/>
        <w:keepLines w:val="true"/>
        <w:pageBreakBefore w:val="false"/>
        <w:widowControl w:val="false"/>
        <w:pBdr/>
        <w:spacing w:before="480" w:line="520" w:lineRule="exact"/>
        <w:ind w:hanging="2249" w:left="3375"/>
        <w:jc w:val="left"/>
        <w:rPr>
          <w:rFonts w:ascii="Arial" w:hAnsi="Arial" w:cs="Arial"/>
          <w:b/>
          <w:bCs/>
          <w:color w:val="000000"/>
          <w:sz w:val="28"/>
          <w:szCs w:val="28"/>
          <w:lang w:val="zh-CN" w:eastAsia="zh-CN" w:bidi="ar-SA"/>
        </w:rPr>
      </w:pPr>
      <w:r>
        <w:rPr>
          <w:rFonts w:ascii="Arial" w:hAnsi="Arial" w:cs="Arial"/>
          <w:b/>
          <w:bCs/>
          <w:color w:val="000000"/>
          <w:sz w:val="28"/>
          <w:szCs w:val="28"/>
          <w:lang w:val="zh-CN" w:eastAsia="zh-CN" w:bidi="ar-SA"/>
        </w:rPr>
        <w:t xml:space="preserve"> </w:t>
      </w:r>
      <w:r>
        <w:rPr>
          <w:rFonts w:ascii="Arial" w:hAnsi="Arial" w:cs="Arial"/>
          <w:b/>
          <w:bCs/>
          <w:color w:val="000000"/>
          <w:sz w:val="28"/>
          <w:szCs w:val="28"/>
          <w:lang w:val="zh-CN" w:eastAsia="zh-CN" w:bidi="ar-SA"/>
        </w:rPr>
      </w:r>
      <w:r>
        <w:rPr>
          <w:rFonts w:ascii="Arial" w:hAnsi="Arial" w:cs="Arial"/>
          <w:b/>
          <w:bCs/>
          <w:color w:val="000000"/>
          <w:sz w:val="28"/>
          <w:szCs w:val="28"/>
          <w:lang w:val="zh-CN" w:eastAsia="zh-CN" w:bidi="ar-SA"/>
        </w:rPr>
      </w:r>
    </w:p>
    <w:p>
      <w:pPr>
        <w:pStyle w:val="934"/>
        <w:keepNext w:val="true"/>
        <w:keepLines w:val="true"/>
        <w:pageBreakBefore w:val="false"/>
        <w:widowControl w:val="false"/>
        <w:pBdr/>
        <w:spacing w:before="480" w:line="520" w:lineRule="exact"/>
        <w:ind w:firstLine="1405"/>
        <w:jc w:val="left"/>
        <w:rPr>
          <w:rFonts w:ascii="Arial" w:hAnsi="Arial" w:eastAsia="宋体" w:cs="Arial"/>
          <w:b/>
          <w:bCs/>
          <w:color w:val="000000"/>
          <w:sz w:val="28"/>
          <w:szCs w:val="28"/>
          <w:lang w:val="en-US" w:eastAsia="zh-CN" w:bidi="ar-SA"/>
        </w:rPr>
      </w:pPr>
      <w:r>
        <w:rPr>
          <w:rFonts w:ascii="Arial" w:hAnsi="Arial" w:cs="Arial"/>
          <w:b/>
          <w:bCs/>
          <w:color w:val="000000"/>
          <w:sz w:val="28"/>
          <w:szCs w:val="28"/>
          <w:lang w:val="zh-CN" w:eastAsia="zh-CN" w:bidi="ar-SA"/>
        </w:rPr>
        <w:t xml:space="preserve">自评项目名称：201</w:t>
      </w:r>
      <w:r>
        <w:rPr>
          <w:rFonts w:ascii="Arial" w:hAnsi="Arial" w:cs="Arial"/>
          <w:b/>
          <w:bCs/>
          <w:color w:val="000000"/>
          <w:sz w:val="28"/>
          <w:szCs w:val="28"/>
          <w:lang w:val="en-US" w:eastAsia="zh-CN" w:bidi="ar-SA"/>
        </w:rPr>
        <w:t xml:space="preserve">9</w:t>
      </w:r>
      <w:r>
        <w:rPr>
          <w:rFonts w:ascii="Arial" w:hAnsi="Arial" w:cs="Arial"/>
          <w:b/>
          <w:bCs/>
          <w:color w:val="000000"/>
          <w:sz w:val="28"/>
          <w:szCs w:val="28"/>
          <w:lang w:val="zh-CN" w:eastAsia="zh-CN" w:bidi="ar-SA"/>
        </w:rPr>
        <w:t xml:space="preserve">年度</w:t>
      </w:r>
      <w:r>
        <w:rPr>
          <w:rFonts w:ascii="Arial" w:hAnsi="Arial" w:cs="Arial"/>
          <w:b/>
          <w:bCs/>
          <w:color w:val="000000"/>
          <w:sz w:val="28"/>
          <w:szCs w:val="28"/>
          <w:lang w:val="en-US" w:eastAsia="zh-CN" w:bidi="ar-SA"/>
        </w:rPr>
        <w:t xml:space="preserve">整体支出绩效报告</w:t>
      </w:r>
      <w:r>
        <w:rPr>
          <w:rFonts w:ascii="Arial" w:hAnsi="Arial" w:eastAsia="宋体" w:cs="Arial"/>
          <w:b/>
          <w:bCs/>
          <w:color w:val="000000"/>
          <w:sz w:val="28"/>
          <w:szCs w:val="28"/>
          <w:lang w:val="en-US" w:eastAsia="zh-CN" w:bidi="ar-SA"/>
        </w:rPr>
      </w:r>
      <w:r>
        <w:rPr>
          <w:rFonts w:ascii="Arial" w:hAnsi="Arial" w:eastAsia="宋体" w:cs="Arial"/>
          <w:b/>
          <w:bCs/>
          <w:color w:val="000000"/>
          <w:sz w:val="28"/>
          <w:szCs w:val="28"/>
          <w:lang w:val="en-US" w:eastAsia="zh-CN" w:bidi="ar-SA"/>
        </w:rPr>
      </w:r>
    </w:p>
    <w:p>
      <w:pPr>
        <w:pStyle w:val="934"/>
        <w:keepNext w:val="true"/>
        <w:keepLines w:val="true"/>
        <w:pageBreakBefore w:val="false"/>
        <w:widowControl w:val="false"/>
        <w:pBdr/>
        <w:spacing w:before="480" w:line="260" w:lineRule="exact"/>
        <w:ind w:firstLine="1405"/>
        <w:rPr>
          <w:rFonts w:ascii="Arial" w:hAnsi="Arial" w:cs="Arial"/>
          <w:b/>
          <w:bCs/>
          <w:color w:val="000000"/>
          <w:sz w:val="28"/>
          <w:szCs w:val="28"/>
          <w:lang w:val="zh-CN" w:eastAsia="zh-CN" w:bidi="ar-SA"/>
        </w:rPr>
      </w:pPr>
      <w:r>
        <w:rPr>
          <w:rFonts w:ascii="Arial" w:hAnsi="Arial" w:cs="Arial"/>
          <w:b/>
          <w:bCs/>
          <w:color w:val="000000"/>
          <w:sz w:val="28"/>
          <w:szCs w:val="28"/>
          <w:lang w:val="zh-CN" w:eastAsia="zh-CN" w:bidi="ar-SA"/>
        </w:rPr>
        <w:t xml:space="preserve">项目实施单位：随州市住房和城乡建设局</w:t>
      </w:r>
      <w:r>
        <w:rPr>
          <w:rFonts w:ascii="Arial" w:hAnsi="Arial" w:cs="Arial"/>
          <w:b/>
          <w:bCs/>
          <w:color w:val="000000"/>
          <w:sz w:val="28"/>
          <w:szCs w:val="28"/>
          <w:lang w:val="zh-CN" w:eastAsia="zh-CN" w:bidi="ar-SA"/>
        </w:rPr>
      </w:r>
      <w:r>
        <w:rPr>
          <w:rFonts w:ascii="Arial" w:hAnsi="Arial" w:cs="Arial"/>
          <w:b/>
          <w:bCs/>
          <w:color w:val="000000"/>
          <w:sz w:val="28"/>
          <w:szCs w:val="28"/>
          <w:lang w:val="zh-CN" w:eastAsia="zh-CN" w:bidi="ar-SA"/>
        </w:rPr>
      </w:r>
    </w:p>
    <w:p>
      <w:pPr>
        <w:pStyle w:val="934"/>
        <w:keepNext w:val="true"/>
        <w:keepLines w:val="true"/>
        <w:pageBreakBefore w:val="false"/>
        <w:widowControl w:val="false"/>
        <w:pBdr/>
        <w:spacing w:before="480" w:line="260" w:lineRule="exact"/>
        <w:ind w:firstLine="1405"/>
        <w:rPr>
          <w:rFonts w:ascii="Arial" w:hAnsi="Arial" w:cs="Arial"/>
          <w:b/>
          <w:bCs/>
          <w:color w:val="000000"/>
          <w:sz w:val="28"/>
          <w:szCs w:val="28"/>
          <w:lang w:val="zh-CN" w:eastAsia="zh-CN" w:bidi="ar-SA"/>
        </w:rPr>
      </w:pPr>
      <w:r>
        <w:rPr>
          <w:rFonts w:ascii="Arial" w:hAnsi="Arial" w:cs="Arial"/>
          <w:b/>
          <w:bCs/>
          <w:color w:val="000000"/>
          <w:sz w:val="28"/>
          <w:szCs w:val="28"/>
          <w:lang w:val="zh-CN" w:eastAsia="zh-CN" w:bidi="ar-SA"/>
        </w:rPr>
        <w:t xml:space="preserve">委托自评单位：湖北佰盛会计师事务所（普通合伙）</w:t>
      </w:r>
      <w:r>
        <w:rPr>
          <w:rFonts w:ascii="Arial" w:hAnsi="Arial" w:cs="Arial"/>
          <w:b/>
          <w:bCs/>
          <w:color w:val="000000"/>
          <w:sz w:val="28"/>
          <w:szCs w:val="28"/>
          <w:lang w:val="zh-CN" w:eastAsia="zh-CN" w:bidi="ar-SA"/>
        </w:rPr>
      </w:r>
      <w:r>
        <w:rPr>
          <w:rFonts w:ascii="Arial" w:hAnsi="Arial" w:cs="Arial"/>
          <w:b/>
          <w:bCs/>
          <w:color w:val="000000"/>
          <w:sz w:val="28"/>
          <w:szCs w:val="28"/>
          <w:lang w:val="zh-CN" w:eastAsia="zh-CN" w:bidi="ar-SA"/>
        </w:rPr>
      </w:r>
    </w:p>
    <w:p>
      <w:pPr>
        <w:pStyle w:val="934"/>
        <w:pageBreakBefore w:val="false"/>
        <w:widowControl w:val="false"/>
        <w:pBdr/>
        <w:spacing w:line="540" w:lineRule="exact"/>
        <w:ind/>
        <w:jc w:val="left"/>
        <w:rPr>
          <w:rFonts w:hint="eastAsia" w:ascii="Arial Narrow" w:hAnsi="Arial Narrow" w:eastAsia="仿宋_GB2312" w:cs="Arial Narrow"/>
          <w:b/>
          <w:bCs/>
          <w:color w:val="000000"/>
          <w:sz w:val="32"/>
          <w:szCs w:val="24"/>
          <w:lang w:val="en-US" w:eastAsia="zh-CN" w:bidi="he-IL"/>
        </w:rPr>
      </w:pPr>
      <w:r>
        <w:rPr>
          <w:rFonts w:hint="eastAsia" w:ascii="Arial Narrow" w:hAnsi="Arial Narrow" w:eastAsia="仿宋_GB2312" w:cs="Arial Narrow"/>
          <w:b/>
          <w:bCs/>
          <w:color w:val="000000"/>
          <w:sz w:val="32"/>
          <w:szCs w:val="24"/>
          <w:lang w:val="en-US" w:eastAsia="zh-CN" w:bidi="he-IL"/>
        </w:rPr>
        <w:t xml:space="preserve"> </w:t>
      </w:r>
      <w:r>
        <w:rPr>
          <w:rFonts w:hint="eastAsia" w:ascii="Arial Narrow" w:hAnsi="Arial Narrow" w:eastAsia="仿宋_GB2312" w:cs="Arial Narrow"/>
          <w:b/>
          <w:bCs/>
          <w:color w:val="000000"/>
          <w:sz w:val="32"/>
          <w:szCs w:val="24"/>
          <w:lang w:val="en-US" w:eastAsia="zh-CN" w:bidi="he-IL"/>
        </w:rPr>
      </w:r>
      <w:r>
        <w:rPr>
          <w:rFonts w:hint="eastAsia" w:ascii="Arial Narrow" w:hAnsi="Arial Narrow" w:eastAsia="仿宋_GB2312" w:cs="Arial Narrow"/>
          <w:b/>
          <w:bCs/>
          <w:color w:val="000000"/>
          <w:sz w:val="32"/>
          <w:szCs w:val="24"/>
          <w:lang w:val="en-US" w:eastAsia="zh-CN" w:bidi="he-IL"/>
        </w:rPr>
      </w:r>
    </w:p>
    <w:p>
      <w:pPr>
        <w:pStyle w:val="934"/>
        <w:pageBreakBefore w:val="false"/>
        <w:widowControl w:val="false"/>
        <w:pBdr/>
        <w:spacing w:line="540" w:lineRule="exact"/>
        <w:ind w:firstLine="964"/>
        <w:jc w:val="both"/>
        <w:rPr>
          <w:rFonts w:ascii="Arial Narrow" w:hAnsi="Arial Narrow" w:eastAsia="仿宋_GB2312" w:cs="Arial Narrow"/>
          <w:b/>
          <w:bCs/>
          <w:color w:val="000000"/>
          <w:sz w:val="32"/>
          <w:szCs w:val="24"/>
          <w:lang w:bidi="he-IL"/>
        </w:rPr>
      </w:pPr>
      <w:r>
        <w:rPr>
          <w:rFonts w:ascii="Arial Narrow" w:hAnsi="Arial Narrow" w:eastAsia="仿宋_GB2312" w:cs="Arial Narrow"/>
          <w:b/>
          <w:bCs/>
          <w:color w:val="000000"/>
          <w:sz w:val="32"/>
          <w:szCs w:val="24"/>
          <w:lang w:bidi="he-IL"/>
        </w:rPr>
      </w:r>
      <w:r>
        <w:rPr>
          <w:rFonts w:ascii="Arial Narrow" w:hAnsi="Arial Narrow" w:eastAsia="仿宋_GB2312" w:cs="Arial Narrow"/>
          <w:b/>
          <w:bCs/>
          <w:color w:val="000000"/>
          <w:sz w:val="32"/>
          <w:szCs w:val="24"/>
          <w:lang w:bidi="he-IL"/>
        </w:rPr>
      </w:r>
      <w:r>
        <w:rPr>
          <w:rFonts w:ascii="Arial Narrow" w:hAnsi="Arial Narrow" w:eastAsia="仿宋_GB2312" w:cs="Arial Narrow"/>
          <w:b/>
          <w:bCs/>
          <w:color w:val="000000"/>
          <w:sz w:val="32"/>
          <w:szCs w:val="24"/>
          <w:lang w:bidi="he-IL"/>
        </w:rPr>
      </w:r>
    </w:p>
    <w:p>
      <w:pPr>
        <w:pStyle w:val="934"/>
        <w:pageBreakBefore w:val="false"/>
        <w:widowControl w:val="false"/>
        <w:pBdr/>
        <w:spacing w:line="540" w:lineRule="exact"/>
        <w:ind/>
        <w:rPr>
          <w:rFonts w:ascii="Arial Narrow" w:hAnsi="Arial Narrow" w:eastAsia="仿宋_GB2312" w:cs="Arial Narrow"/>
          <w:b/>
          <w:color w:val="000000"/>
          <w:sz w:val="24"/>
          <w:szCs w:val="24"/>
          <w:lang w:bidi="ar-SA"/>
        </w:rPr>
      </w:pPr>
      <w:r>
        <w:rPr>
          <w:rFonts w:ascii="Arial Narrow" w:hAnsi="Arial Narrow" w:eastAsia="仿宋_GB2312" w:cs="Arial Narrow"/>
          <w:b/>
          <w:color w:val="000000"/>
          <w:sz w:val="24"/>
          <w:szCs w:val="24"/>
          <w:lang w:bidi="ar-SA"/>
        </w:rPr>
      </w:r>
      <w:r>
        <w:rPr>
          <w:rFonts w:ascii="Arial Narrow" w:hAnsi="Arial Narrow" w:eastAsia="仿宋_GB2312" w:cs="Arial Narrow"/>
          <w:b/>
          <w:color w:val="000000"/>
          <w:sz w:val="24"/>
          <w:szCs w:val="24"/>
          <w:lang w:bidi="ar-SA"/>
        </w:rPr>
      </w:r>
      <w:r>
        <w:rPr>
          <w:rFonts w:ascii="Arial Narrow" w:hAnsi="Arial Narrow" w:eastAsia="仿宋_GB2312" w:cs="Arial Narrow"/>
          <w:b/>
          <w:color w:val="000000"/>
          <w:sz w:val="24"/>
          <w:szCs w:val="24"/>
          <w:lang w:bidi="ar-SA"/>
        </w:rPr>
      </w:r>
    </w:p>
    <w:p>
      <w:pPr>
        <w:pStyle w:val="934"/>
        <w:pageBreakBefore w:val="false"/>
        <w:widowControl w:val="false"/>
        <w:pBdr/>
        <w:spacing w:line="540" w:lineRule="exact"/>
        <w:ind/>
        <w:jc w:val="center"/>
        <w:rPr>
          <w:rFonts w:hint="eastAsia" w:ascii="Arial Narrow" w:hAnsi="Arial Narrow" w:eastAsia="仿宋_GB2312" w:cs="Arial Narrow"/>
          <w:color w:val="000000"/>
          <w:lang w:eastAsia="zh-CN" w:bidi="ar-SA"/>
        </w:rPr>
        <w:sectPr>
          <w:headerReference w:type="default" r:id="rId8"/>
          <w:headerReference w:type="first" r:id="rId9"/>
          <w:footnotePr/>
          <w:endnotePr/>
          <w:type w:val="nextPage"/>
          <w:pgSz w:h="16838" w:orient="landscape" w:w="11906"/>
          <w:pgMar w:top="2098" w:right="1474" w:bottom="1985" w:left="1588" w:header="851" w:footer="992" w:gutter="0"/>
          <w:pgNumType w:start="0"/>
          <w:cols w:num="1" w:sep="0" w:space="1701" w:equalWidth="1"/>
          <w:titlePg/>
        </w:sectPr>
      </w:pPr>
      <w:r>
        <w:rPr>
          <w:rFonts w:ascii="Arial Narrow" w:hAnsi="Arial Narrow" w:eastAsia="仿宋_GB2312" w:cs="Arial Narrow"/>
          <w:b/>
          <w:bCs/>
          <w:color w:val="000000"/>
          <w:sz w:val="32"/>
          <w:szCs w:val="32"/>
          <w:lang w:bidi="he-IL"/>
        </w:rPr>
        <w:t xml:space="preserve">二</w:t>
      </w:r>
      <w:r>
        <w:rPr>
          <w:rFonts w:ascii="Arial Narrow" w:hAnsi="Arial Narrow" w:eastAsia="仿宋_GB2312" w:cs="Arial Narrow"/>
          <w:b/>
          <w:bCs/>
          <w:color w:val="000000"/>
          <w:sz w:val="32"/>
          <w:szCs w:val="32"/>
          <w:lang w:val="en-US" w:eastAsia="zh-CN" w:bidi="he-IL"/>
        </w:rPr>
        <w:t xml:space="preserve">〇</w:t>
      </w:r>
      <w:r>
        <w:rPr>
          <w:rFonts w:hint="eastAsia" w:ascii="Arial Narrow" w:hAnsi="Arial Narrow" w:eastAsia="仿宋_GB2312" w:cs="Arial Narrow"/>
          <w:b/>
          <w:bCs/>
          <w:color w:val="000000"/>
          <w:sz w:val="32"/>
          <w:szCs w:val="32"/>
          <w:lang w:val="en-US" w:eastAsia="zh-CN" w:bidi="he-IL"/>
        </w:rPr>
        <w:t xml:space="preserve">二</w:t>
      </w:r>
      <w:r>
        <w:rPr>
          <w:rFonts w:ascii="Arial Narrow" w:hAnsi="Arial Narrow" w:eastAsia="仿宋_GB2312" w:cs="Arial Narrow"/>
          <w:b/>
          <w:bCs/>
          <w:color w:val="000000"/>
          <w:sz w:val="32"/>
          <w:szCs w:val="32"/>
          <w:lang w:val="en-US" w:eastAsia="zh-CN" w:bidi="he-IL"/>
        </w:rPr>
        <w:t xml:space="preserve">〇</w:t>
      </w:r>
      <w:r>
        <w:rPr>
          <w:rFonts w:ascii="Arial Narrow" w:hAnsi="Arial Narrow" w:eastAsia="仿宋_GB2312" w:cs="Arial Narrow"/>
          <w:b/>
          <w:bCs/>
          <w:color w:val="000000"/>
          <w:sz w:val="32"/>
          <w:szCs w:val="32"/>
          <w:lang w:bidi="he-IL"/>
        </w:rPr>
        <w:t xml:space="preserve">年</w:t>
      </w:r>
      <w:r>
        <w:rPr>
          <w:rFonts w:hint="eastAsia" w:ascii="Arial Narrow" w:hAnsi="Arial Narrow" w:eastAsia="仿宋_GB2312" w:cs="Arial Narrow"/>
          <w:b/>
          <w:bCs/>
          <w:color w:val="000000"/>
          <w:sz w:val="32"/>
          <w:szCs w:val="32"/>
          <w:lang w:val="en-US" w:eastAsia="zh-CN" w:bidi="he-IL"/>
        </w:rPr>
        <w:t xml:space="preserve">七</w:t>
      </w:r>
      <w:r>
        <w:rPr>
          <w:rFonts w:ascii="Arial Narrow" w:hAnsi="Arial Narrow" w:eastAsia="仿宋_GB2312" w:cs="Arial Narrow"/>
          <w:b/>
          <w:bCs/>
          <w:color w:val="000000"/>
          <w:sz w:val="32"/>
          <w:szCs w:val="32"/>
          <w:lang w:bidi="he-IL"/>
        </w:rPr>
        <w:t xml:space="preserve">月</w:t>
      </w:r>
      <w:r>
        <w:rPr>
          <w:rFonts w:hint="eastAsia" w:ascii="Arial Narrow" w:hAnsi="Arial Narrow" w:eastAsia="仿宋_GB2312" w:cs="Arial Narrow"/>
          <w:b/>
          <w:bCs/>
          <w:color w:val="000000"/>
          <w:sz w:val="32"/>
          <w:szCs w:val="32"/>
          <w:lang w:eastAsia="zh-CN" w:bidi="he-IL"/>
        </w:rPr>
        <w:t xml:space="preserve">六日</w:t>
      </w:r>
      <w:r>
        <w:rPr>
          <w:rFonts w:hint="eastAsia" w:ascii="Arial Narrow" w:hAnsi="Arial Narrow" w:eastAsia="仿宋_GB2312" w:cs="Arial Narrow"/>
          <w:color w:val="000000"/>
          <w:lang w:eastAsia="zh-CN" w:bidi="ar-SA"/>
        </w:rPr>
      </w:r>
      <w:r>
        <w:rPr>
          <w:rFonts w:hint="eastAsia" w:ascii="Arial Narrow" w:hAnsi="Arial Narrow" w:eastAsia="仿宋_GB2312" w:cs="Arial Narrow"/>
          <w:color w:val="000000"/>
          <w:lang w:eastAsia="zh-CN" w:bidi="ar-SA"/>
        </w:rPr>
      </w:r>
    </w:p>
    <w:p>
      <w:pPr>
        <w:pStyle w:val="936"/>
        <w:keepNext w:val="false"/>
        <w:keepLines w:val="false"/>
        <w:pageBreakBefore w:val="false"/>
        <w:widowControl w:val="false"/>
        <w:pBdr/>
        <w:spacing w:after="0" w:before="0" w:line="560" w:lineRule="exact"/>
        <w:ind w:firstLine="560" w:left="0"/>
        <w:jc w:val="both"/>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bidi="ar-SA"/>
        </w:rPr>
        <w:t xml:space="preserve">一、绩效得分情况</w:t>
      </w:r>
      <w:r>
        <w:rPr>
          <w:rFonts w:hint="eastAsia" w:ascii="黑体" w:hAnsi="黑体" w:eastAsia="黑体" w:cs="黑体"/>
          <w:b w:val="0"/>
          <w:bCs w:val="0"/>
          <w:color w:val="000000"/>
          <w:sz w:val="28"/>
          <w:szCs w:val="28"/>
          <w:lang w:val="en-US" w:eastAsia="zh-CN" w:bidi="ar-SA"/>
        </w:rPr>
      </w:r>
      <w:r>
        <w:rPr>
          <w:rFonts w:hint="eastAsia" w:ascii="黑体" w:hAnsi="黑体" w:eastAsia="黑体" w:cs="黑体"/>
          <w:b w:val="0"/>
          <w:bCs w:val="0"/>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color w:val="000000"/>
          <w:sz w:val="28"/>
          <w:szCs w:val="28"/>
          <w:lang w:bidi="ar-SA"/>
        </w:rPr>
      </w:pPr>
      <w:r>
        <w:rPr>
          <w:rFonts w:ascii="Arial" w:hAnsi="Arial" w:eastAsia="仿宋_GB2312" w:cs="Arial"/>
          <w:b w:val="0"/>
          <w:color w:val="000000"/>
          <w:sz w:val="28"/>
          <w:szCs w:val="28"/>
          <w:lang w:val="en-US" w:eastAsia="zh-CN" w:bidi="ar-SA"/>
        </w:rPr>
        <w:t xml:space="preserve">“2019年整体支出绩效自评报告”绩效评价综合得分为97分，评价等级为优。其中投入指标得分14分，过程指标得分30分，产出指标得分38分，效益指标得分15分、约束性指标不计分。</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6"/>
        <w:keepNext w:val="false"/>
        <w:keepLines w:val="false"/>
        <w:pageBreakBefore w:val="false"/>
        <w:widowControl w:val="false"/>
        <w:pBdr/>
        <w:spacing w:after="0" w:before="0" w:line="560" w:lineRule="exact"/>
        <w:ind w:firstLine="560" w:left="0"/>
        <w:jc w:val="both"/>
        <w:rPr>
          <w:rFonts w:ascii="黑体" w:hAnsi="黑体" w:eastAsia="黑体" w:cs="黑体"/>
          <w:b w:val="0"/>
          <w:bCs w:val="0"/>
          <w:color w:val="000000"/>
          <w:sz w:val="28"/>
          <w:szCs w:val="28"/>
          <w:lang w:bidi="ar-SA"/>
        </w:rPr>
      </w:pPr>
      <w:r>
        <w:rPr>
          <w:rFonts w:ascii="黑体" w:hAnsi="黑体" w:eastAsia="黑体" w:cs="黑体"/>
          <w:b w:val="0"/>
          <w:bCs w:val="0"/>
          <w:color w:val="000000"/>
          <w:sz w:val="28"/>
          <w:szCs w:val="28"/>
          <w:lang w:bidi="ar-SA"/>
        </w:rPr>
        <w:t xml:space="preserve">二、部门支出情况</w:t>
      </w:r>
      <w:r>
        <w:rPr>
          <w:rFonts w:ascii="黑体" w:hAnsi="黑体" w:eastAsia="黑体" w:cs="黑体"/>
          <w:b w:val="0"/>
          <w:bCs w:val="0"/>
          <w:color w:val="000000"/>
          <w:sz w:val="28"/>
          <w:szCs w:val="28"/>
          <w:lang w:bidi="ar-SA"/>
        </w:rPr>
      </w:r>
      <w:r>
        <w:rPr>
          <w:rFonts w:ascii="黑体" w:hAnsi="黑体" w:eastAsia="黑体" w:cs="黑体"/>
          <w:b w:val="0"/>
          <w:bCs w:val="0"/>
          <w:color w:val="000000"/>
          <w:sz w:val="28"/>
          <w:szCs w:val="28"/>
          <w:lang w:bidi="ar-SA"/>
        </w:rPr>
      </w:r>
    </w:p>
    <w:p>
      <w:pPr>
        <w:pStyle w:val="936"/>
        <w:keepNext w:val="false"/>
        <w:keepLines w:val="false"/>
        <w:pageBreakBefore w:val="false"/>
        <w:widowControl w:val="false"/>
        <w:pBdr/>
        <w:spacing w:after="0" w:before="0" w:line="560" w:lineRule="exact"/>
        <w:ind w:firstLine="560" w:left="0"/>
        <w:jc w:val="both"/>
        <w:rPr>
          <w:rFonts w:hint="eastAsia" w:ascii="楷体_GB2312" w:hAnsi="楷体_GB2312" w:eastAsia="楷体_GB2312" w:cs="楷体_GB2312"/>
          <w:b w:val="0"/>
          <w:bCs w:val="0"/>
          <w:color w:val="000000"/>
          <w:sz w:val="28"/>
          <w:szCs w:val="28"/>
          <w:lang w:val="en-US" w:eastAsia="zh-CN" w:bidi="ar-SA"/>
        </w:rPr>
      </w:pPr>
      <w:r>
        <w:rPr>
          <w:rFonts w:hint="eastAsia" w:ascii="楷体_GB2312" w:hAnsi="楷体_GB2312" w:eastAsia="楷体_GB2312" w:cs="楷体_GB2312"/>
          <w:b w:val="0"/>
          <w:bCs w:val="0"/>
          <w:color w:val="000000"/>
          <w:sz w:val="28"/>
          <w:szCs w:val="28"/>
          <w:lang w:bidi="ar-SA"/>
        </w:rPr>
        <w:t xml:space="preserve">（一）部门</w:t>
      </w:r>
      <w:r>
        <w:rPr>
          <w:rFonts w:hint="eastAsia" w:ascii="楷体_GB2312" w:hAnsi="楷体_GB2312" w:eastAsia="楷体_GB2312" w:cs="楷体_GB2312"/>
          <w:b w:val="0"/>
          <w:bCs w:val="0"/>
          <w:color w:val="000000"/>
          <w:sz w:val="28"/>
          <w:szCs w:val="28"/>
          <w:lang w:eastAsia="zh-CN" w:bidi="ar-SA"/>
        </w:rPr>
        <w:t xml:space="preserve">基本情况</w:t>
      </w:r>
      <w:r>
        <w:rPr>
          <w:rFonts w:hint="eastAsia" w:ascii="楷体_GB2312" w:hAnsi="楷体_GB2312" w:eastAsia="楷体_GB2312" w:cs="楷体_GB2312"/>
          <w:b w:val="0"/>
          <w:bCs w:val="0"/>
          <w:color w:val="000000"/>
          <w:sz w:val="28"/>
          <w:szCs w:val="28"/>
          <w:lang w:val="en-US" w:eastAsia="zh-CN" w:bidi="ar-SA"/>
        </w:rPr>
      </w:r>
      <w:r>
        <w:rPr>
          <w:rFonts w:hint="eastAsia" w:ascii="楷体_GB2312" w:hAnsi="楷体_GB2312" w:eastAsia="楷体_GB2312" w:cs="楷体_GB2312"/>
          <w:b w:val="0"/>
          <w:bCs w:val="0"/>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color w:val="000000"/>
          <w:sz w:val="28"/>
          <w:szCs w:val="28"/>
          <w:lang w:val="en-US" w:eastAsia="zh-CN" w:bidi="ar-SA"/>
        </w:rPr>
      </w:pPr>
      <w:r>
        <w:rPr>
          <w:rFonts w:ascii="Arial" w:hAnsi="Arial" w:eastAsia="仿宋_GB2312" w:cs="Arial"/>
          <w:b w:val="0"/>
          <w:color w:val="000000"/>
          <w:sz w:val="28"/>
          <w:szCs w:val="28"/>
          <w:lang w:val="en-US" w:eastAsia="zh-CN" w:bidi="ar-SA"/>
        </w:rPr>
        <w:t xml:space="preserve">2019年底，实有在职人员34人，离休人员2人；另有随州住建委财会核算中心和重点项目服务中心与住建合署办公，其中财务核算中心编制3人，实有3人;重点项目服务中心编制3人实有1人。</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楷体_GB2312" w:hAnsi="楷体_GB2312" w:eastAsia="楷体_GB2312" w:cs="楷体_GB2312"/>
          <w:b w:val="0"/>
          <w:bCs w:val="0"/>
          <w:color w:val="000000"/>
          <w:sz w:val="28"/>
          <w:szCs w:val="28"/>
          <w:lang w:val="en-US" w:eastAsia="zh-CN" w:bidi="ar-SA"/>
        </w:rPr>
      </w:pPr>
      <w:r>
        <w:rPr>
          <w:rFonts w:ascii="楷体_GB2312" w:hAnsi="楷体_GB2312" w:eastAsia="楷体_GB2312" w:cs="楷体_GB2312"/>
          <w:b w:val="0"/>
          <w:bCs w:val="0"/>
          <w:color w:val="000000"/>
          <w:sz w:val="28"/>
          <w:szCs w:val="28"/>
          <w:lang w:val="en-US" w:eastAsia="zh-CN" w:bidi="ar-SA"/>
        </w:rPr>
        <w:t xml:space="preserve">（二）部门具体职能情况</w:t>
      </w:r>
      <w:r>
        <w:rPr>
          <w:rFonts w:ascii="楷体_GB2312" w:hAnsi="楷体_GB2312" w:eastAsia="楷体_GB2312" w:cs="楷体_GB2312"/>
          <w:b w:val="0"/>
          <w:bCs w:val="0"/>
          <w:color w:val="000000"/>
          <w:sz w:val="28"/>
          <w:szCs w:val="28"/>
          <w:lang w:val="en-US" w:eastAsia="zh-CN" w:bidi="ar-SA"/>
        </w:rPr>
      </w:r>
      <w:r>
        <w:rPr>
          <w:rFonts w:ascii="楷体_GB2312" w:hAnsi="楷体_GB2312" w:eastAsia="楷体_GB2312" w:cs="楷体_GB2312"/>
          <w:b w:val="0"/>
          <w:bCs w:val="0"/>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val="en-US" w:eastAsia="zh-CN" w:bidi="ar-SA"/>
        </w:rPr>
      </w:pPr>
      <w:r>
        <w:rPr>
          <w:rFonts w:ascii="Arial" w:hAnsi="Arial" w:eastAsia="仿宋_GB2312" w:cs="Arial"/>
          <w:b w:val="0"/>
          <w:bCs w:val="0"/>
          <w:color w:val="000000"/>
          <w:spacing w:val="0"/>
          <w:sz w:val="28"/>
          <w:szCs w:val="28"/>
          <w:shd w:val="clear" w:color="auto" w:fill="ffffff"/>
          <w:lang w:val="en-US" w:eastAsia="zh-CN" w:bidi="ar-SA"/>
        </w:rPr>
        <w:t xml:space="preserve">1、</w:t>
      </w:r>
      <w:r>
        <w:rPr>
          <w:rFonts w:ascii="Arial" w:hAnsi="Arial" w:eastAsia="仿宋_GB2312" w:cs="Arial"/>
          <w:b w:val="0"/>
          <w:bCs w:val="0"/>
          <w:color w:val="000000"/>
          <w:spacing w:val="0"/>
          <w:sz w:val="28"/>
          <w:szCs w:val="28"/>
          <w:shd w:val="clear" w:color="auto" w:fill="ffffff"/>
          <w:lang w:bidi="ar-SA"/>
        </w:rPr>
        <w:t xml:space="preserve">贯彻执行国家、省、市住房和城乡建设领域的方针政策和法律法规；研究拟订全市住房和城乡建设领域政策、规定及发展战略、中长期规划，并组织实施。</w:t>
      </w:r>
      <w:r>
        <w:rPr>
          <w:rFonts w:ascii="Arial" w:hAnsi="Arial" w:eastAsia="仿宋_GB2312" w:cs="Arial"/>
          <w:b w:val="0"/>
          <w:bCs w:val="0"/>
          <w:color w:val="000000"/>
          <w:spacing w:val="0"/>
          <w:sz w:val="28"/>
          <w:szCs w:val="28"/>
          <w:shd w:val="clear" w:color="auto" w:fill="ffffff"/>
          <w:lang w:val="en-US" w:eastAsia="zh-CN" w:bidi="ar-SA"/>
        </w:rPr>
      </w:r>
      <w:r>
        <w:rPr>
          <w:rFonts w:ascii="Arial" w:hAnsi="Arial" w:eastAsia="仿宋_GB2312" w:cs="Arial"/>
          <w:b w:val="0"/>
          <w:bCs w:val="0"/>
          <w:color w:val="000000"/>
          <w:spacing w:val="0"/>
          <w:sz w:val="28"/>
          <w:szCs w:val="28"/>
          <w:shd w:val="clear" w:color="auto" w:fill="ffffff"/>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val="en-US" w:eastAsia="zh-CN" w:bidi="ar-SA"/>
        </w:rPr>
      </w:pPr>
      <w:r>
        <w:rPr>
          <w:rFonts w:ascii="Arial" w:hAnsi="Arial" w:eastAsia="仿宋_GB2312" w:cs="Arial"/>
          <w:b w:val="0"/>
          <w:bCs w:val="0"/>
          <w:color w:val="000000"/>
          <w:spacing w:val="0"/>
          <w:sz w:val="28"/>
          <w:szCs w:val="28"/>
          <w:shd w:val="clear" w:color="auto" w:fill="ffffff"/>
          <w:lang w:val="en-US" w:eastAsia="zh-CN" w:bidi="ar-SA"/>
        </w:rPr>
        <w:t xml:space="preserve">2、</w:t>
      </w:r>
      <w:r>
        <w:rPr>
          <w:rFonts w:ascii="Arial" w:hAnsi="Arial" w:eastAsia="仿宋_GB2312" w:cs="Arial"/>
          <w:b w:val="0"/>
          <w:bCs w:val="0"/>
          <w:color w:val="000000"/>
          <w:spacing w:val="0"/>
          <w:sz w:val="28"/>
          <w:szCs w:val="28"/>
          <w:shd w:val="clear" w:color="auto" w:fill="ffffff"/>
          <w:lang w:bidi="ar-SA"/>
        </w:rPr>
        <w:t xml:space="preserve">指导全市保障性安居工程的建设与管理；指导全市深化住房制度改革工作；负责中心城区保障安居工程建设与管理；负责中心城区政策性住房产权变更的管理；承担市住房保障工作领导小组的日常工作。</w:t>
      </w:r>
      <w:r>
        <w:rPr>
          <w:rFonts w:ascii="Arial" w:hAnsi="Arial" w:eastAsia="仿宋_GB2312" w:cs="Arial"/>
          <w:b w:val="0"/>
          <w:bCs w:val="0"/>
          <w:color w:val="000000"/>
          <w:spacing w:val="0"/>
          <w:sz w:val="28"/>
          <w:szCs w:val="28"/>
          <w:shd w:val="clear" w:color="auto" w:fill="ffffff"/>
          <w:lang w:val="en-US" w:eastAsia="zh-CN" w:bidi="ar-SA"/>
        </w:rPr>
      </w:r>
      <w:r>
        <w:rPr>
          <w:rFonts w:ascii="Arial" w:hAnsi="Arial" w:eastAsia="仿宋_GB2312" w:cs="Arial"/>
          <w:b w:val="0"/>
          <w:bCs w:val="0"/>
          <w:color w:val="000000"/>
          <w:spacing w:val="0"/>
          <w:sz w:val="28"/>
          <w:szCs w:val="28"/>
          <w:shd w:val="clear" w:color="auto" w:fill="ffffff"/>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3、</w:t>
      </w:r>
      <w:r>
        <w:rPr>
          <w:rFonts w:ascii="Arial" w:hAnsi="Arial" w:eastAsia="仿宋_GB2312" w:cs="Arial"/>
          <w:b w:val="0"/>
          <w:bCs w:val="0"/>
          <w:color w:val="000000"/>
          <w:spacing w:val="0"/>
          <w:sz w:val="28"/>
          <w:szCs w:val="28"/>
          <w:shd w:val="clear" w:color="auto" w:fill="ffffff"/>
          <w:lang w:bidi="ar-SA"/>
        </w:rPr>
        <w:t xml:space="preserve">指导全市房产市场的管理；指导国有土地上房屋征收与补偿工作；指导全市房屋安全鉴定和白蚁防治管理工作；负责中心城区房地产市场管理；负责中心城区国有土地上房屋征收补偿方案的审查和实施情况的监督；负责中心城区房屋安全鉴定和白蚁防治管理；负责中心城区房屋租赁的管理工作。</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4、</w:t>
      </w:r>
      <w:r>
        <w:rPr>
          <w:rFonts w:ascii="Arial" w:hAnsi="Arial" w:eastAsia="仿宋_GB2312" w:cs="Arial"/>
          <w:b w:val="0"/>
          <w:bCs w:val="0"/>
          <w:color w:val="000000"/>
          <w:spacing w:val="0"/>
          <w:sz w:val="28"/>
          <w:szCs w:val="28"/>
          <w:shd w:val="clear" w:color="auto" w:fill="ffffff"/>
          <w:lang w:bidi="ar-SA"/>
        </w:rPr>
        <w:t xml:space="preserve">指导全市房产物业服务的管理工作；拟订规范发展物业服务管理的政策和规范性文件，健全物业服务管理制度，规范物业服务管理行为；负责中心城区住宅专项维修资金归集和使用的监督管理。</w:t>
      </w:r>
      <w:r>
        <w:rPr>
          <w:rFonts w:ascii="Arial" w:hAnsi="Arial" w:eastAsia="仿宋_GB2312" w:cs="Arial"/>
          <w:b w:val="0"/>
          <w:bCs w:val="0"/>
          <w:color w:val="000000"/>
          <w:spacing w:val="0"/>
          <w:sz w:val="28"/>
          <w:szCs w:val="28"/>
          <w:shd w:val="clear" w:color="auto" w:fill="ffffff"/>
          <w:lang w:val="en-US" w:eastAsia="zh-CN" w:bidi="ar-SA"/>
        </w:rPr>
        <w:t xml:space="preserve">5、</w:t>
      </w:r>
      <w:r>
        <w:rPr>
          <w:rFonts w:ascii="Arial" w:hAnsi="Arial" w:eastAsia="仿宋_GB2312" w:cs="Arial"/>
          <w:b w:val="0"/>
          <w:bCs w:val="0"/>
          <w:color w:val="000000"/>
          <w:spacing w:val="0"/>
          <w:sz w:val="28"/>
          <w:szCs w:val="28"/>
          <w:shd w:val="clear" w:color="auto" w:fill="ffffff"/>
          <w:lang w:bidi="ar-SA"/>
        </w:rPr>
        <w:t xml:space="preserve">指导和推进城市建设管理工作；负责城市建设发展与战略研究；拟订全市城市建设、城市供排水发展规划、地方性法规、政策规章和技术标准并监督实施；负责城市建设重点项目储备和前期编研工作；组织编制城市建设重点项目年度工作目标计划，指导、督促、推进城市建设重点项目的建设；负责全市城镇供水、用水管理工作；负责城市供排水、污水处理、污水设施建设和管理工作；参与城市防洪排涝和城区防汛工作；负责城市燃气的监督管理工作；指导全市地下综合管廊和海绵城市建设。</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6、</w:t>
      </w:r>
      <w:r>
        <w:rPr>
          <w:rFonts w:ascii="Arial" w:hAnsi="Arial" w:eastAsia="仿宋_GB2312" w:cs="Arial"/>
          <w:b w:val="0"/>
          <w:bCs w:val="0"/>
          <w:color w:val="000000"/>
          <w:spacing w:val="0"/>
          <w:sz w:val="28"/>
          <w:szCs w:val="28"/>
          <w:shd w:val="clear" w:color="auto" w:fill="ffffff"/>
          <w:lang w:bidi="ar-SA"/>
        </w:rPr>
        <w:t xml:space="preserve">指导住房和城乡建设普法、行政执法监督、行政复议和行政应诉；指导全市住房和城乡建设审批制度改革工作。指导和推进全市住房和城乡建设行业信息化、智能化建设工作；负责建设行政审批项目的审查、协调、综合上报工作。</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7、</w:t>
      </w:r>
      <w:r>
        <w:rPr>
          <w:rFonts w:ascii="Arial" w:hAnsi="Arial" w:eastAsia="仿宋_GB2312" w:cs="Arial"/>
          <w:b w:val="0"/>
          <w:bCs w:val="0"/>
          <w:color w:val="000000"/>
          <w:spacing w:val="0"/>
          <w:sz w:val="28"/>
          <w:szCs w:val="28"/>
          <w:shd w:val="clear" w:color="auto" w:fill="ffffff"/>
          <w:lang w:bidi="ar-SA"/>
        </w:rPr>
        <w:t xml:space="preserve">指导全市住房、建设市场和城市设计的监督管理工作；拟订勘察、设计、施工、监理、施工图设计审查的有关制度和规范性文件并组织实施；拟订市政行业、建筑业、勘察设计业、建设监理行业的发展战略、中长期规划、产业政策制度并组织实施；拟订规范建设市场各方主体行为和建设工程风险管理的制度和规范性文件并监督实施；组织和引导市政公用企业、建筑企业、勘察设计企业、建设中介服务企业参与市场劳务、技术合作，推进企业发展壮大。</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8、</w:t>
      </w:r>
      <w:r>
        <w:rPr>
          <w:rFonts w:ascii="Arial" w:hAnsi="Arial" w:eastAsia="仿宋_GB2312" w:cs="Arial"/>
          <w:b w:val="0"/>
          <w:bCs w:val="0"/>
          <w:color w:val="000000"/>
          <w:spacing w:val="0"/>
          <w:sz w:val="28"/>
          <w:szCs w:val="28"/>
          <w:shd w:val="clear" w:color="auto" w:fill="ffffff"/>
          <w:lang w:bidi="ar-SA"/>
        </w:rPr>
        <w:t xml:space="preserve">组织制定工程建设实施的地方标准；拟订建设项目可行性研究评价方法、经济参数、建设标准和工程造价的管理制度；拟订城镇公共服务设施（不含通信设施）建设标准并监督执行；组织实施房屋的抗震设计规范；组织工程建设标准设计的审定、编制和推广；指导监督各类工程建设标准定额的实施和工程造价计价；定期组织发布工程造价信息。</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9、</w:t>
      </w:r>
      <w:r>
        <w:rPr>
          <w:rFonts w:ascii="Arial" w:hAnsi="Arial" w:eastAsia="仿宋_GB2312" w:cs="Arial"/>
          <w:b w:val="0"/>
          <w:bCs w:val="0"/>
          <w:color w:val="000000"/>
          <w:spacing w:val="0"/>
          <w:sz w:val="28"/>
          <w:szCs w:val="28"/>
          <w:shd w:val="clear" w:color="auto" w:fill="ffffff"/>
          <w:lang w:bidi="ar-SA"/>
        </w:rPr>
        <w:t xml:space="preserve">指导村镇建设管理；拟订小城镇和村庄建设发展规划，制订相关政策并指导实施；指导农村住房建设管理以及农村危房改造；指导小城镇建设和特色示范镇创建工作；指导美丽宜居村庄建设工作。</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10、</w:t>
      </w:r>
      <w:r>
        <w:rPr>
          <w:rFonts w:ascii="Arial" w:hAnsi="Arial" w:eastAsia="仿宋_GB2312" w:cs="Arial"/>
          <w:b w:val="0"/>
          <w:bCs w:val="0"/>
          <w:color w:val="000000"/>
          <w:spacing w:val="0"/>
          <w:sz w:val="28"/>
          <w:szCs w:val="28"/>
          <w:shd w:val="clear" w:color="auto" w:fill="ffffff"/>
          <w:lang w:bidi="ar-SA"/>
        </w:rPr>
        <w:t xml:space="preserve">负责城市建设工程质量安全监督管理和消防设计审查验收工作；拟订建设工程质量、建设安全生产的政策、制度并监督执行；组织和参与各类建设工程质量、安全事故的鉴定和调查处理；拟订建筑业、工程勘察设计咨询业的技术政策并指导实施；对建筑工程质量安全违法违规行为实施查处。</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11、</w:t>
      </w:r>
      <w:r>
        <w:rPr>
          <w:rFonts w:ascii="Arial" w:hAnsi="Arial" w:eastAsia="仿宋_GB2312" w:cs="Arial"/>
          <w:b w:val="0"/>
          <w:bCs w:val="0"/>
          <w:color w:val="000000"/>
          <w:spacing w:val="0"/>
          <w:sz w:val="28"/>
          <w:szCs w:val="28"/>
          <w:shd w:val="clear" w:color="auto" w:fill="ffffff"/>
          <w:lang w:bidi="ar-SA"/>
        </w:rPr>
        <w:t xml:space="preserve">指导全市建筑节能和绿色建筑管理工作；负责建筑节能和绿色建筑、城镇节能减排、墙体材料革新和发展散装水泥的监督管理工作；拟订住房和城乡建设科技发展规划和行业产业政策、规章制度；推广应用新型墙体材料和发展散装水泥；指导和推进重大建筑节能和绿色建筑项目建设；组织实施重点建设科技项目的研究开发；推广应用建筑节能新技术、新工艺、新产品。</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12、</w:t>
      </w:r>
      <w:r>
        <w:rPr>
          <w:rFonts w:ascii="Arial" w:hAnsi="Arial" w:eastAsia="仿宋_GB2312" w:cs="Arial"/>
          <w:b w:val="0"/>
          <w:bCs w:val="0"/>
          <w:color w:val="000000"/>
          <w:spacing w:val="0"/>
          <w:sz w:val="28"/>
          <w:szCs w:val="28"/>
          <w:shd w:val="clear" w:color="auto" w:fill="ffffff"/>
          <w:lang w:bidi="ar-SA"/>
        </w:rPr>
        <w:t xml:space="preserve">指导全市的历史文化名城、名镇、名村、历史街区、传统村落、历史建筑的保护和监督管理工作；拟订名城保护的地方性法规和规范性文件；负责组织国家历史文化名城保护规划的编制、评审和报批工作，并监督组织实施；负责名城保护宣传、发展研究工作。</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bidi="ar-SA"/>
        </w:rPr>
      </w:pPr>
      <w:r>
        <w:rPr>
          <w:rFonts w:ascii="Arial" w:hAnsi="Arial" w:eastAsia="仿宋_GB2312" w:cs="Arial"/>
          <w:b w:val="0"/>
          <w:bCs w:val="0"/>
          <w:color w:val="000000"/>
          <w:spacing w:val="0"/>
          <w:sz w:val="28"/>
          <w:szCs w:val="28"/>
          <w:shd w:val="clear" w:color="auto" w:fill="ffffff"/>
          <w:lang w:val="en-US" w:eastAsia="zh-CN" w:bidi="ar-SA"/>
        </w:rPr>
        <w:t xml:space="preserve">13、</w:t>
      </w:r>
      <w:r>
        <w:rPr>
          <w:rFonts w:ascii="Arial" w:hAnsi="Arial" w:eastAsia="仿宋_GB2312" w:cs="Arial"/>
          <w:b w:val="0"/>
          <w:bCs w:val="0"/>
          <w:color w:val="000000"/>
          <w:spacing w:val="0"/>
          <w:sz w:val="28"/>
          <w:szCs w:val="28"/>
          <w:shd w:val="clear" w:color="auto" w:fill="ffffff"/>
          <w:lang w:bidi="ar-SA"/>
        </w:rPr>
        <w:t xml:space="preserve">指导全市城乡建设档案管理工作；拟订城乡建设档案管理的有关政策、规定并组织实施。</w:t>
      </w:r>
      <w:r>
        <w:rPr>
          <w:rFonts w:ascii="Arial" w:hAnsi="Arial" w:eastAsia="仿宋_GB2312" w:cs="Arial"/>
          <w:b w:val="0"/>
          <w:bCs w:val="0"/>
          <w:color w:val="000000"/>
          <w:spacing w:val="0"/>
          <w:sz w:val="28"/>
          <w:szCs w:val="28"/>
          <w:shd w:val="clear" w:color="auto" w:fill="ffffff"/>
          <w:lang w:bidi="ar-SA"/>
        </w:rPr>
      </w:r>
      <w:r>
        <w:rPr>
          <w:rFonts w:ascii="Arial" w:hAnsi="Arial" w:eastAsia="仿宋_GB2312" w:cs="Arial"/>
          <w:b w:val="0"/>
          <w:bCs w:val="0"/>
          <w:color w:val="000000"/>
          <w:spacing w:val="0"/>
          <w:sz w:val="28"/>
          <w:szCs w:val="28"/>
          <w:shd w:val="clear" w:color="auto" w:fill="ffffff"/>
          <w:lang w:bidi="ar-SA"/>
        </w:rPr>
      </w:r>
    </w:p>
    <w:p>
      <w:pPr>
        <w:pStyle w:val="936"/>
        <w:keepNext w:val="false"/>
        <w:keepLines w:val="false"/>
        <w:pageBreakBefore w:val="false"/>
        <w:widowControl w:val="false"/>
        <w:pBdr/>
        <w:spacing w:after="0" w:before="0" w:line="560" w:lineRule="exact"/>
        <w:ind w:firstLine="560" w:left="0"/>
        <w:jc w:val="both"/>
        <w:rPr>
          <w:rFonts w:ascii="Arial" w:hAnsi="Arial" w:eastAsia="仿宋_GB2312" w:cs="Arial"/>
          <w:b w:val="0"/>
          <w:bCs w:val="0"/>
          <w:color w:val="000000"/>
          <w:spacing w:val="0"/>
          <w:sz w:val="28"/>
          <w:szCs w:val="28"/>
          <w:shd w:val="clear" w:color="auto" w:fill="ffffff"/>
          <w:lang w:val="en-US" w:eastAsia="zh-CN" w:bidi="ar-SA"/>
        </w:rPr>
      </w:pPr>
      <w:r>
        <w:rPr>
          <w:rFonts w:ascii="Arial" w:hAnsi="Arial" w:eastAsia="仿宋_GB2312" w:cs="Arial"/>
          <w:b w:val="0"/>
          <w:bCs w:val="0"/>
          <w:color w:val="000000"/>
          <w:spacing w:val="0"/>
          <w:sz w:val="28"/>
          <w:szCs w:val="28"/>
          <w:shd w:val="clear" w:color="auto" w:fill="ffffff"/>
          <w:lang w:val="en-US" w:eastAsia="zh-CN" w:bidi="ar-SA"/>
        </w:rPr>
        <w:t xml:space="preserve">14、完成上级交办的其他任务。</w:t>
      </w:r>
      <w:r>
        <w:rPr>
          <w:rFonts w:ascii="Arial" w:hAnsi="Arial" w:eastAsia="仿宋_GB2312" w:cs="Arial"/>
          <w:b w:val="0"/>
          <w:bCs w:val="0"/>
          <w:color w:val="000000"/>
          <w:spacing w:val="0"/>
          <w:sz w:val="28"/>
          <w:szCs w:val="28"/>
          <w:shd w:val="clear" w:color="auto" w:fill="ffffff"/>
          <w:lang w:val="en-US" w:eastAsia="zh-CN" w:bidi="ar-SA"/>
        </w:rPr>
      </w:r>
      <w:r>
        <w:rPr>
          <w:rFonts w:ascii="Arial" w:hAnsi="Arial" w:eastAsia="仿宋_GB2312" w:cs="Arial"/>
          <w:b w:val="0"/>
          <w:bCs w:val="0"/>
          <w:color w:val="000000"/>
          <w:spacing w:val="0"/>
          <w:sz w:val="28"/>
          <w:szCs w:val="28"/>
          <w:shd w:val="clear" w:color="auto" w:fill="ffffff"/>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楷体_GB2312" w:hAnsi="楷体_GB2312" w:eastAsia="楷体_GB2312" w:cs="楷体_GB2312"/>
          <w:b w:val="0"/>
          <w:bCs w:val="0"/>
          <w:color w:val="000000"/>
          <w:sz w:val="28"/>
          <w:szCs w:val="28"/>
          <w:lang w:bidi="ar-SA"/>
        </w:rPr>
      </w:pPr>
      <w:r>
        <w:rPr>
          <w:rFonts w:ascii="楷体_GB2312" w:hAnsi="楷体_GB2312" w:eastAsia="楷体_GB2312" w:cs="楷体_GB2312"/>
          <w:b w:val="0"/>
          <w:bCs w:val="0"/>
          <w:color w:val="000000"/>
          <w:sz w:val="28"/>
          <w:szCs w:val="28"/>
          <w:lang w:bidi="ar-SA"/>
        </w:rPr>
        <w:t xml:space="preserve">（</w:t>
      </w:r>
      <w:r>
        <w:rPr>
          <w:rFonts w:ascii="楷体_GB2312" w:hAnsi="楷体_GB2312" w:eastAsia="楷体_GB2312" w:cs="楷体_GB2312"/>
          <w:b w:val="0"/>
          <w:bCs w:val="0"/>
          <w:color w:val="000000"/>
          <w:sz w:val="28"/>
          <w:szCs w:val="28"/>
          <w:lang w:eastAsia="zh-CN" w:bidi="ar-SA"/>
        </w:rPr>
        <w:t xml:space="preserve">三</w:t>
      </w:r>
      <w:r>
        <w:rPr>
          <w:rFonts w:ascii="楷体_GB2312" w:hAnsi="楷体_GB2312" w:eastAsia="楷体_GB2312" w:cs="楷体_GB2312"/>
          <w:b w:val="0"/>
          <w:bCs w:val="0"/>
          <w:color w:val="000000"/>
          <w:sz w:val="28"/>
          <w:szCs w:val="28"/>
          <w:lang w:bidi="ar-SA"/>
        </w:rPr>
        <w:t xml:space="preserve">）工作重点</w:t>
      </w:r>
      <w:r>
        <w:rPr>
          <w:rFonts w:ascii="楷体_GB2312" w:hAnsi="楷体_GB2312" w:eastAsia="楷体_GB2312" w:cs="楷体_GB2312"/>
          <w:b w:val="0"/>
          <w:bCs w:val="0"/>
          <w:color w:val="000000"/>
          <w:sz w:val="28"/>
          <w:szCs w:val="28"/>
          <w:lang w:bidi="ar-SA"/>
        </w:rPr>
      </w:r>
      <w:r>
        <w:rPr>
          <w:rFonts w:ascii="楷体_GB2312" w:hAnsi="楷体_GB2312" w:eastAsia="楷体_GB2312" w:cs="楷体_GB2312"/>
          <w:b w:val="0"/>
          <w:bCs w:val="0"/>
          <w:color w:val="000000"/>
          <w:sz w:val="28"/>
          <w:szCs w:val="28"/>
          <w:lang w:bidi="ar-SA"/>
        </w:rPr>
      </w:r>
    </w:p>
    <w:p>
      <w:pPr>
        <w:pStyle w:val="936"/>
        <w:keepNext w:val="false"/>
        <w:keepLines w:val="false"/>
        <w:pageBreakBefore w:val="false"/>
        <w:widowControl w:val="false"/>
        <w:pBdr/>
        <w:spacing w:after="0" w:before="0" w:line="560" w:lineRule="exact"/>
        <w:ind w:firstLine="562" w:left="0"/>
        <w:jc w:val="both"/>
        <w:rPr>
          <w:rFonts w:ascii="Arial" w:hAnsi="Arial" w:eastAsia="仿宋_GB2312" w:cs="Arial"/>
          <w:b w:val="0"/>
          <w:bCs w:val="0"/>
          <w:color w:val="000000"/>
          <w:sz w:val="28"/>
          <w:szCs w:val="28"/>
          <w:lang w:val="en-US" w:eastAsia="zh-CN" w:bidi="ar-SA"/>
        </w:rPr>
      </w:pPr>
      <w:r>
        <w:rPr>
          <w:rFonts w:ascii="Arial" w:hAnsi="Arial" w:eastAsia="仿宋_GB2312" w:cs="Arial"/>
          <w:b/>
          <w:bCs/>
          <w:color w:val="000000"/>
          <w:sz w:val="28"/>
          <w:szCs w:val="28"/>
          <w:lang w:val="en-US" w:eastAsia="zh-CN" w:bidi="ar-SA"/>
        </w:rPr>
        <w:t xml:space="preserve">第一，</w:t>
      </w:r>
      <w:r>
        <w:rPr>
          <w:rFonts w:ascii="Arial" w:hAnsi="Arial" w:eastAsia="仿宋_GB2312" w:cs="Arial"/>
          <w:b/>
          <w:bCs/>
          <w:color w:val="000000"/>
          <w:sz w:val="28"/>
          <w:szCs w:val="28"/>
          <w:lang w:val="en-US" w:eastAsia="zh-CN" w:bidi="ar-SA"/>
        </w:rPr>
        <w:t xml:space="preserve">重点任务圆满完成。</w:t>
      </w:r>
      <w:r>
        <w:rPr>
          <w:rFonts w:ascii="Arial" w:hAnsi="Arial" w:eastAsia="仿宋_GB2312" w:cs="Arial"/>
          <w:b w:val="0"/>
          <w:bCs w:val="0"/>
          <w:color w:val="000000"/>
          <w:sz w:val="28"/>
          <w:szCs w:val="28"/>
          <w:lang w:bidi="ar-SA"/>
        </w:rPr>
        <w:t xml:space="preserve">对中心城区实施的80项城市重点工程建设项目进行持续督查，有力促进了城市重点项目建设。2019年市重点工程建设项目80个大项99个子项，完工23项，在建55项，实现投资45亿元。随州南站、大润发和实小人行天桥、太山庙一路、万达广场等人民群众关切的民生项目建成投入使</w:t>
      </w:r>
      <w:r>
        <w:rPr>
          <w:rFonts w:ascii="Arial" w:hAnsi="Arial" w:eastAsia="仿宋_GB2312" w:cs="Arial"/>
          <w:b w:val="0"/>
          <w:bCs w:val="0"/>
          <w:color w:val="000000"/>
          <w:sz w:val="28"/>
          <w:szCs w:val="28"/>
          <w:lang w:val="en-US" w:eastAsia="zh-CN" w:bidi="ar-SA"/>
        </w:rPr>
        <w:t xml:space="preserve">用，</w:t>
      </w:r>
      <w:r>
        <w:rPr>
          <w:rFonts w:ascii="Arial" w:hAnsi="Arial" w:eastAsia="仿宋_GB2312" w:cs="Arial"/>
          <w:b w:val="0"/>
          <w:bCs w:val="0"/>
          <w:color w:val="000000"/>
          <w:sz w:val="28"/>
          <w:szCs w:val="28"/>
          <w:lang w:bidi="ar-SA"/>
        </w:rPr>
        <w:t xml:space="preserve">东西护城湖改造、文帝大道及综合管廊、吾悦广场、城际空间站等重点工程加快推进</w:t>
      </w:r>
      <w:r>
        <w:rPr>
          <w:rFonts w:ascii="Arial" w:hAnsi="Arial" w:eastAsia="仿宋_GB2312" w:cs="Arial"/>
          <w:b w:val="0"/>
          <w:bCs w:val="0"/>
          <w:color w:val="000000"/>
          <w:sz w:val="28"/>
          <w:szCs w:val="28"/>
          <w:lang w:val="en-US" w:eastAsia="zh-CN" w:bidi="ar-SA"/>
        </w:rPr>
        <w:t xml:space="preserve">。</w:t>
      </w:r>
      <w:r>
        <w:rPr>
          <w:rFonts w:ascii="Arial" w:hAnsi="Arial" w:eastAsia="仿宋_GB2312" w:cs="Arial"/>
          <w:b w:val="0"/>
          <w:bCs w:val="0"/>
          <w:color w:val="000000"/>
          <w:sz w:val="28"/>
          <w:szCs w:val="28"/>
          <w:lang w:val="en-US" w:eastAsia="zh-CN" w:bidi="ar-SA"/>
        </w:rPr>
      </w:r>
      <w:r>
        <w:rPr>
          <w:rFonts w:ascii="Arial" w:hAnsi="Arial" w:eastAsia="仿宋_GB2312" w:cs="Arial"/>
          <w:b w:val="0"/>
          <w:bCs w:val="0"/>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2" w:left="0"/>
        <w:jc w:val="both"/>
        <w:rPr>
          <w:rFonts w:ascii="Arial" w:hAnsi="Arial" w:eastAsia="仿宋_GB2312" w:cs="Arial"/>
          <w:b w:val="0"/>
          <w:bCs w:val="0"/>
          <w:color w:val="000000"/>
          <w:sz w:val="28"/>
          <w:szCs w:val="28"/>
          <w:lang w:bidi="ar-SA"/>
        </w:rPr>
      </w:pPr>
      <w:r>
        <w:rPr>
          <w:rFonts w:ascii="Arial" w:hAnsi="Arial" w:eastAsia="仿宋_GB2312" w:cs="Arial"/>
          <w:b/>
          <w:bCs/>
          <w:color w:val="000000"/>
          <w:sz w:val="28"/>
          <w:szCs w:val="28"/>
          <w:lang w:val="en-US" w:eastAsia="zh-CN" w:bidi="ar-SA"/>
        </w:rPr>
        <w:t xml:space="preserve">第二，住房保障稳中向好。</w:t>
      </w:r>
      <w:r>
        <w:rPr>
          <w:rFonts w:ascii="Arial" w:hAnsi="Arial" w:eastAsia="仿宋_GB2312" w:cs="Arial"/>
          <w:b w:val="0"/>
          <w:bCs w:val="0"/>
          <w:color w:val="000000"/>
          <w:sz w:val="28"/>
          <w:szCs w:val="28"/>
          <w:lang w:bidi="ar-SA"/>
        </w:rPr>
        <w:t xml:space="preserve">全市棚户区改造完成3143套，棚户区改造基本建成639套，政府投资公租房分配完成94.25%，租赁补贴发放847户，全面超额完成省定目标任务。紧紧围绕“稳地价、稳房价、稳预期”目标，加大房产物业市场风险排查，开展房产物业市场巡查督查和集中整治，下达整改通知书37份，开展住房租赁中介机构乱象专项整治，取缔房产中介机构7家。强化预售和备案监管，确保中心城区房价稳控在合理区间内，2019年全市新建商品房销售面积</w:t>
      </w:r>
      <w:r>
        <w:rPr>
          <w:rFonts w:ascii="Arial" w:hAnsi="Arial" w:eastAsia="仿宋_GB2312" w:cs="Arial"/>
          <w:b w:val="0"/>
          <w:bCs w:val="0"/>
          <w:color w:val="000000"/>
          <w:sz w:val="28"/>
          <w:szCs w:val="28"/>
          <w:lang w:bidi="ar-SA"/>
        </w:rPr>
        <w:t xml:space="preserve">完成185万平方米，中心城区商品住房均价控制在5900元/平方米以内。城东公租房、新城大自然等3个红色物业试点小区以及帝明世家、公园1978等3个规范化和标准化试点小区成功创建，推广红色物业试点小区创建工作经验，与市委组织部联合出台《开展“红色物业”创建 推动社区治理创新的实施意见》，成立全市物业行业党委，指导全市物业企业开展红色物业创建工作，全市物业管理和服务工作进一步规范。积极抢抓国家政策窗口机遇期，加快推进老旧小区改造工作，2019年纳入全省的11个省级老旧小区改造试点完成3个，其余8个全部开工建设。</w:t>
      </w:r>
      <w:r>
        <w:rPr>
          <w:rFonts w:ascii="Arial" w:hAnsi="Arial" w:eastAsia="仿宋_GB2312" w:cs="Arial"/>
          <w:b w:val="0"/>
          <w:bCs w:val="0"/>
          <w:color w:val="000000"/>
          <w:sz w:val="28"/>
          <w:szCs w:val="28"/>
          <w:lang w:bidi="ar-SA"/>
        </w:rPr>
      </w:r>
      <w:r>
        <w:rPr>
          <w:rFonts w:ascii="Arial" w:hAnsi="Arial" w:eastAsia="仿宋_GB2312" w:cs="Arial"/>
          <w:b w:val="0"/>
          <w:bCs w:val="0"/>
          <w:color w:val="000000"/>
          <w:sz w:val="28"/>
          <w:szCs w:val="28"/>
          <w:lang w:bidi="ar-SA"/>
        </w:rPr>
      </w:r>
    </w:p>
    <w:p>
      <w:pPr>
        <w:pStyle w:val="936"/>
        <w:keepNext w:val="false"/>
        <w:keepLines w:val="false"/>
        <w:pageBreakBefore w:val="false"/>
        <w:widowControl w:val="false"/>
        <w:pBdr/>
        <w:spacing w:after="0" w:before="0" w:line="560" w:lineRule="exact"/>
        <w:ind w:firstLine="562" w:left="0"/>
        <w:jc w:val="both"/>
        <w:rPr>
          <w:rFonts w:ascii="Arial" w:hAnsi="Arial" w:eastAsia="仿宋_GB2312" w:cs="Arial"/>
          <w:b w:val="0"/>
          <w:bCs w:val="0"/>
          <w:color w:val="000000"/>
          <w:sz w:val="28"/>
          <w:szCs w:val="28"/>
          <w:lang w:bidi="ar-SA"/>
        </w:rPr>
      </w:pPr>
      <w:r>
        <w:rPr>
          <w:rFonts w:ascii="Arial" w:hAnsi="Arial" w:eastAsia="仿宋_GB2312" w:cs="Arial"/>
          <w:b/>
          <w:bCs/>
          <w:color w:val="000000"/>
          <w:sz w:val="28"/>
          <w:szCs w:val="28"/>
          <w:lang w:val="en-US" w:eastAsia="zh-CN" w:bidi="ar-SA"/>
        </w:rPr>
        <w:t xml:space="preserve">第三，城市生态竞进提质。</w:t>
      </w:r>
      <w:r>
        <w:rPr>
          <w:rFonts w:ascii="Arial" w:hAnsi="Arial" w:eastAsia="仿宋_GB2312" w:cs="Arial"/>
          <w:b w:val="0"/>
          <w:bCs w:val="0"/>
          <w:color w:val="000000"/>
          <w:sz w:val="28"/>
          <w:szCs w:val="28"/>
          <w:lang w:bidi="ar-SA"/>
        </w:rPr>
        <w:t xml:space="preserve">坚决贯彻落实全省“长</w:t>
      </w:r>
      <w:r>
        <w:rPr>
          <w:rFonts w:ascii="Arial" w:hAnsi="Arial" w:eastAsia="仿宋_GB2312" w:cs="Arial"/>
          <w:b w:val="0"/>
          <w:bCs w:val="0"/>
          <w:color w:val="000000"/>
          <w:sz w:val="28"/>
          <w:szCs w:val="28"/>
          <w:lang w:bidi="ar-SA"/>
        </w:rPr>
        <w:t xml:space="preserve">江大保护十大标志性战役”战略部署，开展城市绿色发展三年行动。中心城区建成区内14条黑臭水体完成治理13条，消除比例达到90%以上。中心城区2座污水处理厂全部达到一级A排放标准；县市区3座污水处理厂正在进行一级A提标改造。白云湖73个排污口全部整治完成，武警支队明渠等9处雨污错接混接管网改造项目已启动，老城区文峰中学等3处易涝点前期手续已办理完毕，城市防洪排涝能力得到显著增强。大力推广绿色建筑和节能建筑，全市新建节能建筑178万㎡，发展绿色建筑234.13万㎡(其中新增二星级绿色建筑标识项目34.51万㎡)。</w:t>
      </w:r>
      <w:r>
        <w:rPr>
          <w:rFonts w:ascii="Arial" w:hAnsi="Arial" w:eastAsia="仿宋_GB2312" w:cs="Arial"/>
          <w:b w:val="0"/>
          <w:bCs w:val="0"/>
          <w:color w:val="000000"/>
          <w:sz w:val="28"/>
          <w:szCs w:val="28"/>
          <w:lang w:bidi="ar-SA"/>
        </w:rPr>
      </w:r>
      <w:r>
        <w:rPr>
          <w:rFonts w:ascii="Arial" w:hAnsi="Arial" w:eastAsia="仿宋_GB2312" w:cs="Arial"/>
          <w:b w:val="0"/>
          <w:bCs w:val="0"/>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Cs/>
          <w:color w:val="000000"/>
          <w:sz w:val="28"/>
          <w:szCs w:val="28"/>
          <w:lang w:bidi="ar-SA"/>
        </w:rPr>
      </w:pPr>
      <w:r>
        <w:rPr>
          <w:rFonts w:ascii="Arial" w:hAnsi="Arial" w:eastAsia="仿宋_GB2312" w:cs="Arial"/>
          <w:b/>
          <w:bCs/>
          <w:color w:val="000000"/>
          <w:sz w:val="28"/>
          <w:szCs w:val="28"/>
          <w:lang w:val="en-US" w:eastAsia="zh-CN" w:bidi="ar-SA"/>
        </w:rPr>
        <w:t xml:space="preserve">第四，村镇建设提质增效。</w:t>
      </w:r>
      <w:r>
        <w:rPr>
          <w:rFonts w:ascii="Arial" w:hAnsi="Arial" w:eastAsia="仿宋_GB2312" w:cs="Arial"/>
          <w:bCs/>
          <w:color w:val="000000"/>
          <w:sz w:val="28"/>
          <w:szCs w:val="28"/>
          <w:lang w:bidi="ar-SA"/>
        </w:rPr>
        <w:t xml:space="preserve">认真贯彻落实市委市政府农村人居环境整治三年行动和“四个三重大生态工程”战略部署，全省“四个三重大生态工程”建设现场推进会在广水召开。全市37个乡镇生活污水处理项目主体工程、主支管网基本建成，厂区污水处理设备已全部完成通水调试，在线监测设备全部安</w:t>
      </w:r>
      <w:r>
        <w:rPr>
          <w:rFonts w:ascii="Arial" w:hAnsi="Arial" w:eastAsia="仿宋_GB2312" w:cs="Arial"/>
          <w:bCs/>
          <w:color w:val="000000"/>
          <w:sz w:val="28"/>
          <w:szCs w:val="28"/>
          <w:lang w:bidi="ar-SA"/>
        </w:rPr>
        <w:t xml:space="preserve">装并接入省信息监测平台。全力打好精准扶贫攻坚战，3773户危房全部完成改造，结对扶贫村杨寨镇左榨村顺利脱贫出列。报请市政府印发《全市小城镇建设品质提升行动实施意见》，全面启动全市擦亮小城镇行动，随县洪山镇、曾都区府河镇、大洪山长岗镇等3个镇纳入全省首批试点镇。加大历史文化街区和历史建筑保护力度，《随州市历史文化街区和历史建筑保护条例》通过专家评审，草店子街、淅河老街、安居老街等3个街区获批湖北省首批历史文化街区，36处传统民居纳入了市级历史建筑进行保护，历史文化街区、建筑和名镇名村保护工作成效正在逐步显现。</w:t>
      </w:r>
      <w:r>
        <w:rPr>
          <w:rFonts w:ascii="Arial" w:hAnsi="Arial" w:eastAsia="仿宋_GB2312" w:cs="Arial"/>
          <w:bCs/>
          <w:color w:val="000000"/>
          <w:sz w:val="28"/>
          <w:szCs w:val="28"/>
          <w:lang w:bidi="ar-SA"/>
        </w:rPr>
      </w:r>
      <w:r>
        <w:rPr>
          <w:rFonts w:ascii="Arial" w:hAnsi="Arial" w:eastAsia="仿宋_GB2312" w:cs="Arial"/>
          <w:bCs/>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Cs/>
          <w:color w:val="000000"/>
          <w:sz w:val="28"/>
          <w:szCs w:val="28"/>
          <w:lang w:bidi="ar-SA"/>
        </w:rPr>
      </w:pPr>
      <w:r>
        <w:rPr>
          <w:rFonts w:ascii="Arial" w:hAnsi="Arial" w:eastAsia="仿宋_GB2312" w:cs="Arial"/>
          <w:b/>
          <w:bCs/>
          <w:color w:val="000000"/>
          <w:sz w:val="28"/>
          <w:szCs w:val="28"/>
          <w:lang w:val="en-US" w:eastAsia="zh-CN" w:bidi="ar-SA"/>
        </w:rPr>
        <w:t xml:space="preserve">第五，行业监管规范有序。</w:t>
      </w:r>
      <w:r>
        <w:rPr>
          <w:rFonts w:ascii="Arial" w:hAnsi="Arial" w:eastAsia="仿宋_GB2312" w:cs="Arial"/>
          <w:color w:val="000000"/>
          <w:sz w:val="28"/>
          <w:szCs w:val="28"/>
          <w:lang w:bidi="ar-SA"/>
        </w:rPr>
        <w:t xml:space="preserve">扎实开展“服务企业提质年”行动，1家建筑企业晋升一级总承包资质</w:t>
      </w:r>
      <w:r>
        <w:rPr>
          <w:rFonts w:ascii="Arial" w:hAnsi="Arial" w:eastAsia="仿宋_GB2312" w:cs="Arial"/>
          <w:bCs/>
          <w:color w:val="000000"/>
          <w:sz w:val="28"/>
          <w:szCs w:val="28"/>
          <w:lang w:bidi="ar-SA"/>
        </w:rPr>
        <w:t xml:space="preserve">，2家建筑企业纳入湖北省重点培育名单。全市资质内建筑企业完成施工</w:t>
      </w:r>
      <w:r>
        <w:rPr>
          <w:rFonts w:ascii="Arial" w:hAnsi="Arial" w:eastAsia="仿宋_GB2312" w:cs="Arial"/>
          <w:color w:val="000000"/>
          <w:sz w:val="28"/>
          <w:szCs w:val="28"/>
          <w:lang w:bidi="ar-SA"/>
        </w:rPr>
        <w:t xml:space="preserve">总产值达到135亿元，同比增长10.8%，建筑施工安全工作继续走在全省前列。主动承接建设工程消防设计审查验收职能，建设工程消防各项工作顺利开展。工程建设项目审批制度改革成效显著，将128个审批事项精减到61个，审批流程整合为四个阶段并行</w:t>
      </w:r>
      <w:r>
        <w:rPr>
          <w:rFonts w:ascii="Arial" w:hAnsi="Arial" w:eastAsia="仿宋_GB2312" w:cs="Arial"/>
          <w:bCs/>
          <w:color w:val="000000"/>
          <w:sz w:val="28"/>
          <w:szCs w:val="28"/>
          <w:lang w:bidi="ar-SA"/>
        </w:rPr>
        <w:t xml:space="preserve">推进，工程建设领域</w:t>
      </w:r>
      <w:r>
        <w:rPr>
          <w:rFonts w:ascii="Arial" w:hAnsi="Arial" w:eastAsia="仿宋_GB2312" w:cs="Arial"/>
          <w:bCs/>
          <w:color w:val="000000"/>
          <w:sz w:val="28"/>
          <w:szCs w:val="28"/>
          <w:lang w:bidi="ar-SA"/>
        </w:rPr>
        <w:t xml:space="preserve">审批质效极大提升，先建后验、“50+100”、联合验收等58个制度相继出台实施，随州工程建设项目审批制度改革工作跻身全省前列，在全省实现“三个率先”：率先印发工作方案，率先实现国家省市三级审批管理系统的数据传输，率先在全省上线运行，我市改革工作在全省作经验交流，工程建设审批改革工作受到省住建厅和市委市政府的充分肯定。紧紧围绕“维护市场秩序、促进行业发展”目标，严肃查处房产市场、建筑市场、燃气市场违法违规行为，拖欠工程款和农民工工资问题得到有效治理，违建别墅清理工作不断取得实效，各类违法违规行为得到有力震慑。</w:t>
      </w:r>
      <w:r>
        <w:rPr>
          <w:rFonts w:ascii="Arial" w:hAnsi="Arial" w:eastAsia="仿宋_GB2312" w:cs="Arial"/>
          <w:bCs/>
          <w:color w:val="000000"/>
          <w:sz w:val="28"/>
          <w:szCs w:val="28"/>
          <w:lang w:bidi="ar-SA"/>
        </w:rPr>
      </w:r>
      <w:r>
        <w:rPr>
          <w:rFonts w:ascii="Arial" w:hAnsi="Arial" w:eastAsia="仿宋_GB2312" w:cs="Arial"/>
          <w:bCs/>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第六，自身建设不断加强</w:t>
      </w:r>
      <w:r>
        <w:rPr>
          <w:rFonts w:ascii="Arial" w:hAnsi="Arial" w:eastAsia="仿宋_GB2312" w:cs="Arial"/>
          <w:color w:val="000000"/>
          <w:sz w:val="28"/>
          <w:szCs w:val="28"/>
          <w:lang w:bidi="ar-SA"/>
        </w:rPr>
        <w:t xml:space="preserve">。深入开展“不忘初心、牢记使命”主题教育，坚持问题导向，将省市巡察、各类专项督查及群众反映集中的涉房涉建等方面227个问题中未整改到位的25个问题列入先行先改</w:t>
      </w:r>
      <w:r>
        <w:rPr>
          <w:rFonts w:ascii="Arial" w:hAnsi="Arial" w:eastAsia="仿宋_GB2312" w:cs="Arial"/>
          <w:color w:val="000000"/>
          <w:sz w:val="28"/>
          <w:szCs w:val="28"/>
          <w:lang w:bidi="ar-SA"/>
        </w:rPr>
        <w:t xml:space="preserve">的重点内容，实行清单化管理，即知即改、立行立改。尤其是把房产办证等群众最急迫最需求的问题列入主题教育的首要内容，以清河星苑小区为代表的一批房产办证问题得到有效解决。切实加强干部作风建设，以“转作风、优环境、促发展”、“双评双治双促”、“贴近群众面对面·听期盼”、“服务企业提质年”和“双提双促”等活动为载体，大力提升干部素质，转变干部作风。狠抓党风廉政建设，全面压实“两个责任”，以第二十个党风廉政建设宣教月、“十进十建”等活动为抓手，推动全面从严治党向基层延伸，确保住建系统风清气正。认真践行“一线工作法”，做</w:t>
      </w:r>
      <w:r>
        <w:rPr>
          <w:rFonts w:ascii="Arial" w:hAnsi="Arial" w:eastAsia="仿宋_GB2312" w:cs="Arial"/>
          <w:bCs/>
          <w:color w:val="000000"/>
          <w:sz w:val="28"/>
          <w:szCs w:val="28"/>
          <w:lang w:bidi="ar-SA"/>
        </w:rPr>
        <w:t xml:space="preserve">到问题在一线</w:t>
      </w:r>
      <w:r>
        <w:rPr>
          <w:rFonts w:ascii="Arial" w:hAnsi="Arial" w:eastAsia="仿宋_GB2312" w:cs="Arial"/>
          <w:bCs/>
          <w:color w:val="000000"/>
          <w:sz w:val="28"/>
          <w:szCs w:val="28"/>
          <w:lang w:bidi="ar-SA"/>
        </w:rPr>
        <w:t xml:space="preserve">解决、干部在一线锻炼、经验在一线总结。开展21项专项整治，班子成员领办民生实事6件，牵头整治城市居民用水安全保障、农村危房改造、住房租赁市场等领域问题，营商环境13个突出问题全部整改销号。深入推进“逢四说事”活动，先后处理各类涉房、涉建、涉军信访案件833件、议提案50件，办理市长热线600余件，切实做到件件有着落，事事有回音，住建干部队伍能力和作风在一线的问题整改中得到有力提升，保持了住建系统整体稳定的良好态势。深化精神文明创建，机关办公环境、管理服务和老干部工作等进一步增强，工青妇等群团组织作用得到有效</w:t>
      </w:r>
      <w:r>
        <w:rPr>
          <w:rFonts w:ascii="Arial" w:hAnsi="Arial" w:eastAsia="仿宋_GB2312" w:cs="Arial"/>
          <w:bCs/>
          <w:color w:val="000000"/>
          <w:sz w:val="28"/>
          <w:szCs w:val="28"/>
          <w:lang w:val="en-US" w:eastAsia="zh-CN" w:bidi="ar-SA"/>
        </w:rPr>
        <w:t xml:space="preserve">发挥。</w:t>
      </w:r>
      <w:r>
        <w:rPr>
          <w:rFonts w:ascii="Arial" w:hAnsi="Arial" w:eastAsia="仿宋_GB2312" w:cs="Arial"/>
          <w:bCs/>
          <w:color w:val="000000"/>
          <w:sz w:val="28"/>
          <w:szCs w:val="28"/>
          <w:lang w:val="en-US" w:eastAsia="zh-CN" w:bidi="ar-SA"/>
        </w:rPr>
      </w:r>
      <w:r>
        <w:rPr>
          <w:rFonts w:ascii="Arial" w:hAnsi="Arial" w:eastAsia="仿宋_GB2312" w:cs="Arial"/>
          <w:bCs/>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楷体_GB2312" w:hAnsi="楷体_GB2312" w:eastAsia="楷体_GB2312" w:cs="楷体_GB2312"/>
          <w:b w:val="0"/>
          <w:bCs w:val="0"/>
          <w:color w:val="000000"/>
          <w:sz w:val="28"/>
          <w:szCs w:val="28"/>
          <w:lang w:bidi="ar-SA"/>
        </w:rPr>
      </w:pPr>
      <w:r>
        <w:rPr>
          <w:rFonts w:ascii="楷体_GB2312" w:hAnsi="楷体_GB2312" w:eastAsia="楷体_GB2312" w:cs="楷体_GB2312"/>
          <w:b w:val="0"/>
          <w:bCs w:val="0"/>
          <w:color w:val="000000"/>
          <w:sz w:val="28"/>
          <w:szCs w:val="28"/>
          <w:lang w:bidi="ar-SA"/>
        </w:rPr>
        <w:t xml:space="preserve">（</w:t>
      </w:r>
      <w:r>
        <w:rPr>
          <w:rFonts w:ascii="楷体_GB2312" w:hAnsi="楷体_GB2312" w:eastAsia="楷体_GB2312" w:cs="楷体_GB2312"/>
          <w:b w:val="0"/>
          <w:bCs w:val="0"/>
          <w:color w:val="000000"/>
          <w:sz w:val="28"/>
          <w:szCs w:val="28"/>
          <w:lang w:eastAsia="zh-CN" w:bidi="ar-SA"/>
        </w:rPr>
        <w:t xml:space="preserve">四</w:t>
      </w:r>
      <w:r>
        <w:rPr>
          <w:rFonts w:ascii="楷体_GB2312" w:hAnsi="楷体_GB2312" w:eastAsia="楷体_GB2312" w:cs="楷体_GB2312"/>
          <w:b w:val="0"/>
          <w:bCs w:val="0"/>
          <w:color w:val="000000"/>
          <w:sz w:val="28"/>
          <w:szCs w:val="28"/>
          <w:lang w:bidi="ar-SA"/>
        </w:rPr>
        <w:t xml:space="preserve">）部门支出情况</w:t>
      </w:r>
      <w:r>
        <w:rPr>
          <w:rFonts w:ascii="楷体_GB2312" w:hAnsi="楷体_GB2312" w:eastAsia="楷体_GB2312" w:cs="楷体_GB2312"/>
          <w:b w:val="0"/>
          <w:bCs w:val="0"/>
          <w:color w:val="000000"/>
          <w:sz w:val="28"/>
          <w:szCs w:val="28"/>
          <w:lang w:bidi="ar-SA"/>
        </w:rPr>
      </w:r>
      <w:r>
        <w:rPr>
          <w:rFonts w:ascii="楷体_GB2312" w:hAnsi="楷体_GB2312" w:eastAsia="楷体_GB2312" w:cs="楷体_GB2312"/>
          <w:b w:val="0"/>
          <w:bCs w:val="0"/>
          <w:color w:val="000000"/>
          <w:sz w:val="28"/>
          <w:szCs w:val="28"/>
          <w:lang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根据市住建局提供的</w:t>
      </w:r>
      <w:r>
        <w:rPr>
          <w:rFonts w:ascii="Arial" w:hAnsi="Arial" w:eastAsia="仿宋_GB2312" w:cs="Arial"/>
          <w:color w:val="000000"/>
          <w:sz w:val="28"/>
          <w:szCs w:val="28"/>
          <w:lang w:val="en-US" w:eastAsia="zh-CN" w:bidi="ar-SA"/>
        </w:rPr>
        <w:t xml:space="preserve">调整后预算：2019年收入预算3174.53万元，其中：公共预算财政拨款2843.53万元，其他收入331万元；2019年支出预算3174.53万元，其中：工资福利性支出472.45万元，对个人和家庭补助支出58.91万元，商品和服务支出257.40万元，其他资本性支出263万元，其他2122.77万元。</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根据市住建局提供的年末收入支出表，2019年度</w:t>
      </w:r>
      <w:r>
        <w:rPr>
          <w:rFonts w:ascii="Arial" w:hAnsi="Arial" w:eastAsia="仿宋_GB2312" w:cs="Arial"/>
          <w:color w:val="000000"/>
          <w:sz w:val="28"/>
          <w:szCs w:val="28"/>
          <w:lang w:bidi="ar-SA"/>
        </w:rPr>
        <w:t xml:space="preserve">收入总计</w:t>
      </w:r>
      <w:r>
        <w:rPr>
          <w:rFonts w:ascii="Arial" w:hAnsi="Arial" w:eastAsia="仿宋_GB2312" w:cs="Arial"/>
          <w:color w:val="000000"/>
          <w:sz w:val="28"/>
          <w:szCs w:val="28"/>
          <w:lang w:val="en-US" w:eastAsia="zh-CN" w:bidi="ar-SA"/>
        </w:rPr>
        <w:t xml:space="preserve">3098.71万</w:t>
      </w:r>
      <w:r>
        <w:rPr>
          <w:rFonts w:ascii="Arial" w:hAnsi="Arial" w:eastAsia="仿宋_GB2312" w:cs="Arial"/>
          <w:color w:val="000000"/>
          <w:sz w:val="28"/>
          <w:szCs w:val="28"/>
          <w:lang w:bidi="ar-SA"/>
        </w:rPr>
        <w:t xml:space="preserve">元</w:t>
      </w:r>
      <w:r>
        <w:rPr>
          <w:rFonts w:ascii="Arial" w:hAnsi="Arial" w:eastAsia="仿宋_GB2312" w:cs="Arial"/>
          <w:color w:val="000000"/>
          <w:sz w:val="28"/>
          <w:szCs w:val="28"/>
          <w:lang w:eastAsia="zh-CN" w:bidi="ar-SA"/>
        </w:rPr>
        <w:t xml:space="preserve">，</w:t>
      </w:r>
      <w:r>
        <w:rPr>
          <w:rFonts w:ascii="Arial" w:hAnsi="Arial" w:eastAsia="仿宋_GB2312" w:cs="Arial"/>
          <w:color w:val="000000"/>
          <w:sz w:val="28"/>
          <w:szCs w:val="28"/>
          <w:lang w:val="en-US" w:eastAsia="zh-CN" w:bidi="ar-SA"/>
        </w:rPr>
        <w:t xml:space="preserve">其中:财政拨款收入2619.89万元,其他资金收入7.07万元</w:t>
      </w:r>
      <w:r>
        <w:rPr>
          <w:rFonts w:ascii="Arial" w:hAnsi="Arial" w:eastAsia="仿宋_GB2312" w:cs="Arial"/>
          <w:color w:val="000000"/>
          <w:sz w:val="28"/>
          <w:szCs w:val="28"/>
          <w:lang w:eastAsia="zh-CN" w:bidi="ar-SA"/>
        </w:rPr>
        <w:t xml:space="preserve">。</w:t>
      </w:r>
      <w:r>
        <w:rPr>
          <w:rFonts w:ascii="Arial" w:hAnsi="Arial" w:eastAsia="仿宋_GB2312" w:cs="Arial"/>
          <w:color w:val="000000"/>
          <w:sz w:val="28"/>
          <w:szCs w:val="28"/>
          <w:lang w:val="en-US" w:eastAsia="zh-CN" w:bidi="ar-SA"/>
        </w:rPr>
        <w:t xml:space="preserve">上年结转收入471.75万元。</w:t>
      </w:r>
      <w:r>
        <w:rPr>
          <w:rFonts w:ascii="Arial" w:hAnsi="Arial" w:eastAsia="仿宋_GB2312" w:cs="Arial"/>
          <w:color w:val="000000"/>
          <w:sz w:val="28"/>
          <w:szCs w:val="28"/>
          <w:lang w:bidi="ar-SA"/>
        </w:rPr>
        <w:t xml:space="preserve">201</w:t>
      </w:r>
      <w:r>
        <w:rPr>
          <w:rFonts w:ascii="Arial" w:hAnsi="Arial" w:eastAsia="仿宋_GB2312" w:cs="Arial"/>
          <w:color w:val="000000"/>
          <w:sz w:val="28"/>
          <w:szCs w:val="28"/>
          <w:lang w:val="en-US" w:eastAsia="zh-CN" w:bidi="ar-SA"/>
        </w:rPr>
        <w:t xml:space="preserve">9</w:t>
      </w:r>
      <w:r>
        <w:rPr>
          <w:rFonts w:ascii="Arial" w:hAnsi="Arial" w:eastAsia="仿宋_GB2312" w:cs="Arial"/>
          <w:color w:val="000000"/>
          <w:sz w:val="28"/>
          <w:szCs w:val="28"/>
          <w:lang w:bidi="ar-SA"/>
        </w:rPr>
        <w:t xml:space="preserve">年度实际共支出</w:t>
      </w:r>
      <w:r>
        <w:rPr>
          <w:rFonts w:ascii="Arial" w:hAnsi="Arial" w:eastAsia="仿宋_GB2312" w:cs="Arial"/>
          <w:color w:val="000000"/>
          <w:sz w:val="28"/>
          <w:szCs w:val="28"/>
          <w:lang w:val="en-US" w:eastAsia="zh-CN" w:bidi="ar-SA"/>
        </w:rPr>
        <w:t xml:space="preserve">3036.79</w:t>
      </w:r>
      <w:r>
        <w:rPr>
          <w:rFonts w:ascii="Arial" w:hAnsi="Arial" w:eastAsia="仿宋_GB2312" w:cs="Arial"/>
          <w:color w:val="000000"/>
          <w:sz w:val="28"/>
          <w:szCs w:val="28"/>
          <w:lang w:bidi="ar-SA"/>
        </w:rPr>
        <w:t xml:space="preserve">万元，</w:t>
      </w:r>
      <w:r>
        <w:rPr>
          <w:rFonts w:ascii="Arial" w:hAnsi="Arial" w:eastAsia="仿宋_GB2312" w:cs="Arial"/>
          <w:color w:val="000000"/>
          <w:sz w:val="28"/>
          <w:szCs w:val="28"/>
          <w:lang w:val="en-US" w:eastAsia="zh-CN" w:bidi="ar-SA"/>
        </w:rPr>
        <w:t xml:space="preserve">其中:财政拨款支出3029.72万,元,其他支出7.07万元，年末财政拨款收支结余61.92万元。</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黑体" w:hAnsi="黑体" w:eastAsia="黑体" w:cs="黑体"/>
          <w:b w:val="0"/>
          <w:bCs w:val="0"/>
          <w:color w:val="000000"/>
          <w:sz w:val="28"/>
          <w:szCs w:val="28"/>
          <w:lang w:bidi="ar-SA"/>
        </w:rPr>
      </w:pPr>
      <w:r>
        <w:rPr>
          <w:rFonts w:ascii="黑体" w:hAnsi="黑体" w:eastAsia="黑体" w:cs="黑体"/>
          <w:b w:val="0"/>
          <w:bCs w:val="0"/>
          <w:color w:val="000000"/>
          <w:sz w:val="28"/>
          <w:szCs w:val="28"/>
          <w:lang w:bidi="ar-SA"/>
        </w:rPr>
        <w:t xml:space="preserve">三、绩效评价情况</w:t>
      </w:r>
      <w:r>
        <w:rPr>
          <w:rFonts w:ascii="黑体" w:hAnsi="黑体" w:eastAsia="黑体" w:cs="黑体"/>
          <w:b w:val="0"/>
          <w:bCs w:val="0"/>
          <w:color w:val="000000"/>
          <w:sz w:val="28"/>
          <w:szCs w:val="28"/>
          <w:lang w:bidi="ar-SA"/>
        </w:rPr>
      </w:r>
      <w:r>
        <w:rPr>
          <w:rFonts w:ascii="黑体" w:hAnsi="黑体" w:eastAsia="黑体" w:cs="黑体"/>
          <w:b w:val="0"/>
          <w:bCs w:val="0"/>
          <w:color w:val="000000"/>
          <w:sz w:val="28"/>
          <w:szCs w:val="28"/>
          <w:lang w:bidi="ar-SA"/>
        </w:rPr>
      </w:r>
    </w:p>
    <w:p>
      <w:pPr>
        <w:pStyle w:val="936"/>
        <w:keepNext w:val="false"/>
        <w:keepLines w:val="false"/>
        <w:pageBreakBefore w:val="false"/>
        <w:widowControl w:val="false"/>
        <w:pBdr/>
        <w:spacing w:after="0" w:before="0" w:line="560" w:lineRule="exact"/>
        <w:ind w:firstLine="560" w:left="0"/>
        <w:jc w:val="both"/>
        <w:rPr>
          <w:rFonts w:ascii="楷体_GB2312" w:hAnsi="楷体_GB2312" w:eastAsia="楷体_GB2312" w:cs="楷体_GB2312"/>
          <w:b w:val="0"/>
          <w:bCs w:val="0"/>
          <w:color w:val="000000"/>
          <w:sz w:val="28"/>
          <w:szCs w:val="28"/>
          <w:lang w:val="en-US" w:eastAsia="zh-CN" w:bidi="ar-SA"/>
        </w:rPr>
      </w:pPr>
      <w:r>
        <w:rPr>
          <w:rFonts w:ascii="楷体_GB2312" w:hAnsi="楷体_GB2312" w:eastAsia="楷体_GB2312" w:cs="楷体_GB2312"/>
          <w:b w:val="0"/>
          <w:bCs w:val="0"/>
          <w:color w:val="000000"/>
          <w:sz w:val="28"/>
          <w:szCs w:val="28"/>
          <w:lang w:val="en-US" w:eastAsia="zh-CN" w:bidi="ar-SA"/>
        </w:rPr>
        <w:t xml:space="preserve">（一）年度绩效目标：</w:t>
      </w:r>
      <w:r>
        <w:rPr>
          <w:rFonts w:ascii="楷体_GB2312" w:hAnsi="楷体_GB2312" w:eastAsia="楷体_GB2312" w:cs="楷体_GB2312"/>
          <w:b w:val="0"/>
          <w:bCs w:val="0"/>
          <w:color w:val="000000"/>
          <w:sz w:val="28"/>
          <w:szCs w:val="28"/>
          <w:lang w:val="en-US" w:eastAsia="zh-CN" w:bidi="ar-SA"/>
        </w:rPr>
      </w:r>
      <w:r>
        <w:rPr>
          <w:rFonts w:ascii="楷体_GB2312" w:hAnsi="楷体_GB2312" w:eastAsia="楷体_GB2312" w:cs="楷体_GB2312"/>
          <w:b w:val="0"/>
          <w:bCs w:val="0"/>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1.</w:t>
      </w:r>
      <w:r>
        <w:rPr>
          <w:rFonts w:ascii="Arial" w:hAnsi="Arial" w:eastAsia="仿宋_GB2312" w:cs="Arial"/>
          <w:color w:val="000000"/>
          <w:sz w:val="28"/>
          <w:szCs w:val="28"/>
          <w:lang w:bidi="ar-SA"/>
        </w:rPr>
        <w:t xml:space="preserve">中心城区实施城市重点工程</w:t>
      </w:r>
      <w:r>
        <w:rPr>
          <w:rFonts w:ascii="Arial" w:hAnsi="Arial" w:eastAsia="仿宋_GB2312" w:cs="Arial"/>
          <w:color w:val="000000"/>
          <w:sz w:val="28"/>
          <w:szCs w:val="28"/>
          <w:lang w:val="en-US" w:eastAsia="zh-CN" w:bidi="ar-SA"/>
        </w:rPr>
        <w:t xml:space="preserve">80</w:t>
      </w:r>
      <w:r>
        <w:rPr>
          <w:rFonts w:ascii="Arial" w:hAnsi="Arial" w:eastAsia="仿宋_GB2312" w:cs="Arial"/>
          <w:color w:val="000000"/>
          <w:sz w:val="28"/>
          <w:szCs w:val="28"/>
          <w:lang w:bidi="ar-SA"/>
        </w:rPr>
        <w:t xml:space="preserve">项，计划完成投资</w:t>
      </w:r>
      <w:r>
        <w:rPr>
          <w:rFonts w:ascii="Arial" w:hAnsi="Arial" w:eastAsia="仿宋_GB2312" w:cs="Arial"/>
          <w:color w:val="000000"/>
          <w:sz w:val="28"/>
          <w:szCs w:val="28"/>
          <w:lang w:val="en-US" w:eastAsia="zh-CN" w:bidi="ar-SA"/>
        </w:rPr>
        <w:t xml:space="preserve">45</w:t>
      </w:r>
      <w:r>
        <w:rPr>
          <w:rFonts w:ascii="Arial" w:hAnsi="Arial" w:eastAsia="仿宋_GB2312" w:cs="Arial"/>
          <w:color w:val="000000"/>
          <w:sz w:val="28"/>
          <w:szCs w:val="28"/>
          <w:lang w:bidi="ar-SA"/>
        </w:rPr>
        <w:t xml:space="preserve">亿元</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2.</w:t>
      </w:r>
      <w:r>
        <w:rPr>
          <w:rFonts w:ascii="Arial" w:hAnsi="Arial" w:eastAsia="仿宋_GB2312" w:cs="Arial"/>
          <w:color w:val="000000"/>
          <w:sz w:val="28"/>
          <w:szCs w:val="28"/>
          <w:lang w:bidi="ar-SA"/>
        </w:rPr>
        <w:t xml:space="preserve">提标升级望城岗污水处理厂，基本完成东护城河等黑臭水体治理，督促县市区建成并营运37个乡镇污水厂</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3.</w:t>
      </w:r>
      <w:r>
        <w:rPr>
          <w:rFonts w:ascii="Arial" w:hAnsi="Arial" w:eastAsia="仿宋_GB2312" w:cs="Arial"/>
          <w:color w:val="000000"/>
          <w:sz w:val="28"/>
          <w:szCs w:val="28"/>
          <w:lang w:bidi="ar-SA"/>
        </w:rPr>
        <w:t xml:space="preserve">推进3个以上小区物业服务标准化试点建设；改造</w:t>
      </w:r>
      <w:r>
        <w:rPr>
          <w:rFonts w:ascii="Arial" w:hAnsi="Arial" w:eastAsia="仿宋_GB2312" w:cs="Arial"/>
          <w:color w:val="000000"/>
          <w:sz w:val="28"/>
          <w:szCs w:val="28"/>
          <w:lang w:val="en-US" w:eastAsia="zh-CN" w:bidi="ar-SA"/>
        </w:rPr>
        <w:t xml:space="preserve">11</w:t>
      </w:r>
      <w:r>
        <w:rPr>
          <w:rFonts w:ascii="Arial" w:hAnsi="Arial" w:eastAsia="仿宋_GB2312" w:cs="Arial"/>
          <w:color w:val="000000"/>
          <w:sz w:val="28"/>
          <w:szCs w:val="28"/>
          <w:lang w:bidi="ar-SA"/>
        </w:rPr>
        <w:t xml:space="preserve">个老旧小区</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4.</w:t>
      </w:r>
      <w:r>
        <w:rPr>
          <w:rFonts w:ascii="Arial" w:hAnsi="Arial" w:eastAsia="仿宋_GB2312" w:cs="Arial"/>
          <w:color w:val="000000"/>
          <w:sz w:val="28"/>
          <w:szCs w:val="28"/>
          <w:lang w:bidi="ar-SA"/>
        </w:rPr>
        <w:t xml:space="preserve">改造各类棚户区</w:t>
      </w:r>
      <w:r>
        <w:rPr>
          <w:rFonts w:ascii="Arial" w:hAnsi="Arial" w:eastAsia="仿宋_GB2312" w:cs="Arial"/>
          <w:color w:val="000000"/>
          <w:sz w:val="28"/>
          <w:szCs w:val="28"/>
          <w:lang w:val="en-US" w:eastAsia="zh-CN" w:bidi="ar-SA"/>
        </w:rPr>
        <w:t xml:space="preserve">3782</w:t>
      </w:r>
      <w:r>
        <w:rPr>
          <w:rFonts w:ascii="Arial" w:hAnsi="Arial" w:eastAsia="仿宋_GB2312" w:cs="Arial"/>
          <w:color w:val="000000"/>
          <w:sz w:val="28"/>
          <w:szCs w:val="28"/>
          <w:lang w:bidi="ar-SA"/>
        </w:rPr>
        <w:t xml:space="preserve">户，公租房分配入住率达到90%以上</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46"/>
        <w:keepNext w:val="false"/>
        <w:keepLines w:val="false"/>
        <w:pageBreakBefore w:val="false"/>
        <w:widowControl w:val="false"/>
        <w:suppressLineNumbers w:val="false"/>
        <w:pBdr>
          <w:top w:val="none" w:color="000000" w:sz="0" w:space="0"/>
          <w:left w:val="none" w:color="000000" w:sz="0" w:space="0"/>
          <w:bottom w:val="none" w:color="000000" w:sz="0" w:space="0"/>
          <w:right w:val="none" w:color="000000" w:sz="0" w:space="0"/>
        </w:pBdr>
        <w:shd w:val="clear" w:color="auto" w:fill="ffffff"/>
        <w:spacing w:after="0" w:afterAutospacing="0" w:before="0" w:beforeAutospacing="0" w:line="560" w:lineRule="exact"/>
        <w:ind w:right="0" w:firstLine="560" w:left="0"/>
        <w:jc w:val="both"/>
        <w:rPr>
          <w:rFonts w:ascii="Arial" w:hAnsi="Arial" w:eastAsia="仿宋_GB2312" w:cs="Arial"/>
          <w:color w:val="000000"/>
          <w:spacing w:val="0"/>
          <w:sz w:val="28"/>
          <w:szCs w:val="28"/>
          <w:lang w:bidi="ar-SA"/>
        </w:rPr>
      </w:pPr>
      <w:r>
        <w:rPr>
          <w:rFonts w:ascii="Arial" w:hAnsi="Arial" w:eastAsia="仿宋_GB2312" w:cs="Arial"/>
          <w:color w:val="000000"/>
          <w:sz w:val="28"/>
          <w:szCs w:val="28"/>
          <w:lang w:val="en-US" w:eastAsia="zh-CN" w:bidi="ar-SA"/>
        </w:rPr>
        <w:t xml:space="preserve">5.继续打造“洁美家园”</w:t>
      </w:r>
      <w:r>
        <w:rPr>
          <w:rFonts w:ascii="Arial" w:hAnsi="Arial" w:eastAsia="仿宋_GB2312" w:cs="Arial"/>
          <w:color w:val="000000"/>
          <w:sz w:val="28"/>
          <w:szCs w:val="28"/>
          <w:lang w:bidi="ar-SA"/>
        </w:rPr>
        <w:t xml:space="preserve">，</w:t>
      </w:r>
      <w:r>
        <w:rPr>
          <w:rFonts w:ascii="Arial" w:hAnsi="Arial" w:eastAsia="仿宋_GB2312" w:cs="Arial"/>
          <w:color w:val="000000"/>
          <w:spacing w:val="0"/>
          <w:sz w:val="28"/>
          <w:szCs w:val="28"/>
          <w:shd w:val="clear" w:color="auto" w:fill="ffffff"/>
          <w:lang w:bidi="ar-SA"/>
        </w:rPr>
        <w:t xml:space="preserve">指导小城镇建设和特色示范镇创建工作；指导美丽宜居村庄建设工作。</w:t>
      </w:r>
      <w:r>
        <w:rPr>
          <w:rFonts w:ascii="Arial" w:hAnsi="Arial" w:eastAsia="仿宋_GB2312" w:cs="Arial"/>
          <w:color w:val="000000"/>
          <w:sz w:val="28"/>
          <w:szCs w:val="28"/>
          <w:lang w:bidi="ar-SA"/>
        </w:rPr>
        <w:t xml:space="preserve">高标准推进随州未来中心城、擂鼓墩编钟青铜古镇、草店子城市综合体、桃李春风时光记忆小镇、大隋文化创意产业园、随州城际空间站建设，打造宜居宜业宜游宜养的新型城市综合体。切实</w:t>
      </w:r>
      <w:r>
        <w:rPr>
          <w:rFonts w:ascii="Arial" w:hAnsi="Arial" w:eastAsia="仿宋_GB2312" w:cs="Arial"/>
          <w:color w:val="000000"/>
          <w:sz w:val="28"/>
          <w:szCs w:val="28"/>
          <w:lang w:bidi="ar-SA"/>
        </w:rPr>
        <w:t xml:space="preserve">提升群众幸福感、获得感和满意度。</w:t>
      </w:r>
      <w:r>
        <w:rPr>
          <w:rFonts w:ascii="Arial" w:hAnsi="Arial" w:eastAsia="仿宋_GB2312" w:cs="Arial"/>
          <w:color w:val="000000"/>
          <w:spacing w:val="0"/>
          <w:sz w:val="28"/>
          <w:szCs w:val="28"/>
          <w:lang w:bidi="ar-SA"/>
        </w:rPr>
      </w:r>
      <w:r>
        <w:rPr>
          <w:rFonts w:ascii="Arial" w:hAnsi="Arial" w:eastAsia="仿宋_GB2312" w:cs="Arial"/>
          <w:color w:val="000000"/>
          <w:spacing w:val="0"/>
          <w:sz w:val="28"/>
          <w:szCs w:val="28"/>
          <w:lang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6、</w:t>
      </w:r>
      <w:r>
        <w:rPr>
          <w:rFonts w:ascii="Arial" w:hAnsi="Arial" w:eastAsia="仿宋_GB2312" w:cs="Arial"/>
          <w:color w:val="000000"/>
          <w:sz w:val="28"/>
          <w:szCs w:val="28"/>
          <w:lang w:bidi="ar-SA"/>
        </w:rPr>
        <w:t xml:space="preserve">建筑施工安全工作继续走在全省前列。</w:t>
      </w:r>
      <w:r>
        <w:rPr>
          <w:rFonts w:ascii="Arial" w:hAnsi="Arial" w:eastAsia="仿宋_GB2312" w:cs="Arial"/>
          <w:bCs/>
          <w:color w:val="000000"/>
          <w:sz w:val="28"/>
          <w:szCs w:val="28"/>
          <w:lang w:bidi="ar-SA"/>
        </w:rPr>
        <w:t xml:space="preserve">随州工程建设项目审批制度改革工作跻身全省前列，</w:t>
      </w:r>
      <w:r>
        <w:rPr>
          <w:rFonts w:ascii="Arial" w:hAnsi="Arial" w:eastAsia="仿宋_GB2312" w:cs="Arial"/>
          <w:color w:val="000000"/>
          <w:sz w:val="28"/>
          <w:szCs w:val="28"/>
          <w:lang w:bidi="ar-SA"/>
        </w:rPr>
        <w:t xml:space="preserve">力争实现安全生产零死亡的目标，确保全市建设工程验收合格率100%，备案率96%，工程创优率30%以上。</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6"/>
        <w:keepNext w:val="false"/>
        <w:keepLines w:val="false"/>
        <w:pageBreakBefore w:val="false"/>
        <w:widowControl w:val="false"/>
        <w:pBdr/>
        <w:spacing w:after="0" w:before="0" w:line="560" w:lineRule="exact"/>
        <w:ind w:firstLine="560" w:left="0"/>
        <w:jc w:val="both"/>
        <w:rPr>
          <w:rFonts w:ascii="楷体_GB2312" w:hAnsi="楷体_GB2312" w:eastAsia="楷体_GB2312" w:cs="楷体_GB2312"/>
          <w:b w:val="0"/>
          <w:bCs w:val="0"/>
          <w:color w:val="000000"/>
          <w:sz w:val="28"/>
          <w:szCs w:val="28"/>
          <w:lang w:val="en-US" w:eastAsia="zh-CN" w:bidi="ar-SA"/>
        </w:rPr>
      </w:pPr>
      <w:r>
        <w:rPr>
          <w:rFonts w:ascii="楷体_GB2312" w:hAnsi="楷体_GB2312" w:eastAsia="楷体_GB2312" w:cs="楷体_GB2312"/>
          <w:b w:val="0"/>
          <w:bCs w:val="0"/>
          <w:color w:val="000000"/>
          <w:sz w:val="28"/>
          <w:szCs w:val="28"/>
          <w:lang w:val="en-US" w:eastAsia="zh-CN" w:bidi="ar-SA"/>
        </w:rPr>
        <w:t xml:space="preserve">（二）绩效目标分析及评价结论</w:t>
      </w:r>
      <w:bookmarkStart w:id="0" w:name="_Toc452659704"/>
      <w:r>
        <w:rPr>
          <w:rFonts w:ascii="楷体_GB2312" w:hAnsi="楷体_GB2312" w:eastAsia="楷体_GB2312" w:cs="楷体_GB2312"/>
          <w:b w:val="0"/>
          <w:bCs w:val="0"/>
          <w:color w:val="000000"/>
          <w:sz w:val="28"/>
          <w:szCs w:val="28"/>
          <w:lang w:val="en-US" w:eastAsia="zh-CN" w:bidi="ar-SA"/>
        </w:rPr>
      </w:r>
      <w:r>
        <w:rPr>
          <w:rFonts w:ascii="楷体_GB2312" w:hAnsi="楷体_GB2312" w:eastAsia="楷体_GB2312" w:cs="楷体_GB2312"/>
          <w:b w:val="0"/>
          <w:bCs w:val="0"/>
          <w:color w:val="000000"/>
          <w:sz w:val="28"/>
          <w:szCs w:val="28"/>
          <w:lang w:val="en-US"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1、投 入</w:t>
      </w:r>
      <w:bookmarkEnd w:id="0"/>
      <w:r/>
      <w:bookmarkStart w:id="1" w:name="_Toc452655110"/>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47"/>
        <w:keepNext w:val="false"/>
        <w:keepLines w:val="false"/>
        <w:pageBreakBefore w:val="false"/>
        <w:widowControl w:val="false"/>
        <w:pBdr/>
        <w:spacing w:after="0" w:before="0" w:line="560" w:lineRule="exact"/>
        <w:ind w:firstLine="562"/>
        <w:jc w:val="both"/>
        <w:outlineLvl w:val="0"/>
        <w:rPr>
          <w:rFonts w:ascii="Arial" w:hAnsi="Arial" w:eastAsia="仿宋_GB2312" w:cs="Arial"/>
          <w:color w:val="000000"/>
          <w:sz w:val="28"/>
          <w:szCs w:val="28"/>
          <w:lang w:bidi="ar-SA"/>
        </w:rPr>
      </w:pPr>
      <w:r>
        <w:rPr>
          <w:rFonts w:ascii="Arial" w:hAnsi="Arial" w:eastAsia="仿宋_GB2312" w:cs="Arial"/>
          <w:color w:val="000000"/>
          <w:sz w:val="28"/>
          <w:szCs w:val="28"/>
          <w:lang w:val="en-US" w:eastAsia="zh-CN" w:bidi="ar-SA"/>
        </w:rPr>
        <w:t xml:space="preserve">1.1</w:t>
      </w:r>
      <w:r>
        <w:rPr>
          <w:rFonts w:ascii="Arial" w:hAnsi="Arial" w:eastAsia="仿宋_GB2312" w:cs="Arial"/>
          <w:color w:val="000000"/>
          <w:sz w:val="28"/>
          <w:szCs w:val="28"/>
          <w:lang w:bidi="ar-SA"/>
        </w:rPr>
        <w:t xml:space="preserve">绩效目标合理性</w:t>
      </w:r>
      <w:bookmarkEnd w:id="1"/>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eastAsia="zh-CN" w:bidi="ar-SA"/>
        </w:rPr>
      </w:pPr>
      <w:r>
        <w:rPr>
          <w:rFonts w:ascii="Arial" w:hAnsi="Arial" w:eastAsia="仿宋_GB2312" w:cs="Arial"/>
          <w:color w:val="000000"/>
          <w:sz w:val="28"/>
          <w:szCs w:val="28"/>
          <w:lang w:eastAsia="zh-CN" w:bidi="ar-SA"/>
        </w:rPr>
        <w:t xml:space="preserve">市住建局制定了</w:t>
      </w:r>
      <w:r>
        <w:rPr>
          <w:rFonts w:ascii="Arial" w:hAnsi="Arial" w:eastAsia="仿宋_GB2312" w:cs="Arial"/>
          <w:color w:val="000000"/>
          <w:sz w:val="28"/>
          <w:szCs w:val="28"/>
          <w:lang w:bidi="ar-SA"/>
        </w:rPr>
        <w:t xml:space="preserve">年度目标</w:t>
      </w:r>
      <w:r>
        <w:rPr>
          <w:rFonts w:ascii="Arial" w:hAnsi="Arial" w:eastAsia="仿宋_GB2312" w:cs="Arial"/>
          <w:color w:val="000000"/>
          <w:sz w:val="28"/>
          <w:szCs w:val="28"/>
          <w:lang w:eastAsia="zh-CN" w:bidi="ar-SA"/>
        </w:rPr>
        <w:t xml:space="preserve">，</w:t>
      </w:r>
      <w:r>
        <w:rPr>
          <w:rFonts w:ascii="Arial" w:hAnsi="Arial" w:eastAsia="仿宋_GB2312" w:cs="Arial"/>
          <w:color w:val="000000"/>
          <w:sz w:val="28"/>
          <w:szCs w:val="28"/>
          <w:lang w:bidi="ar-SA"/>
        </w:rPr>
        <w:t xml:space="preserve">绩效目标设立符合市委市政府赋予</w:t>
      </w:r>
      <w:r>
        <w:rPr>
          <w:rFonts w:ascii="Arial" w:hAnsi="Arial" w:eastAsia="仿宋_GB2312" w:cs="Arial"/>
          <w:color w:val="000000"/>
          <w:sz w:val="28"/>
          <w:szCs w:val="28"/>
          <w:lang w:eastAsia="zh-CN" w:bidi="ar-SA"/>
        </w:rPr>
        <w:t xml:space="preserve">市住建局</w:t>
      </w:r>
      <w:r>
        <w:rPr>
          <w:rFonts w:ascii="Arial" w:hAnsi="Arial" w:eastAsia="仿宋_GB2312" w:cs="Arial"/>
          <w:color w:val="000000"/>
          <w:sz w:val="28"/>
          <w:szCs w:val="28"/>
          <w:lang w:bidi="ar-SA"/>
        </w:rPr>
        <w:t xml:space="preserve">职责</w:t>
      </w:r>
      <w:r>
        <w:rPr>
          <w:rFonts w:ascii="Arial" w:hAnsi="Arial" w:eastAsia="仿宋_GB2312" w:cs="Arial"/>
          <w:color w:val="000000"/>
          <w:sz w:val="28"/>
          <w:szCs w:val="28"/>
          <w:lang w:eastAsia="zh-CN" w:bidi="ar-SA"/>
        </w:rPr>
        <w:t xml:space="preserve">，</w:t>
      </w:r>
      <w:r>
        <w:rPr>
          <w:rFonts w:ascii="Arial" w:hAnsi="Arial" w:eastAsia="仿宋_GB2312" w:cs="Arial"/>
          <w:color w:val="000000"/>
          <w:sz w:val="28"/>
          <w:szCs w:val="28"/>
          <w:lang w:bidi="ar-SA"/>
        </w:rPr>
        <w:t xml:space="preserve">对于</w:t>
      </w:r>
      <w:r>
        <w:rPr>
          <w:rFonts w:ascii="Arial" w:hAnsi="Arial" w:eastAsia="仿宋_GB2312" w:cs="Arial"/>
          <w:color w:val="000000"/>
          <w:sz w:val="28"/>
          <w:szCs w:val="28"/>
          <w:lang w:eastAsia="zh-CN" w:bidi="ar-SA"/>
        </w:rPr>
        <w:t xml:space="preserve">全面精细管理城市，促进城市高效运行取得了成效。</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bidi="ar-SA"/>
        </w:rPr>
      </w:pPr>
      <w:r/>
      <w:bookmarkStart w:id="2" w:name="_Toc452655111"/>
      <w:r>
        <w:rPr>
          <w:rFonts w:ascii="Arial" w:hAnsi="Arial" w:eastAsia="仿宋_GB2312" w:cs="Arial"/>
          <w:b/>
          <w:bCs/>
          <w:color w:val="000000"/>
          <w:sz w:val="28"/>
          <w:szCs w:val="28"/>
          <w:lang w:val="en-US" w:eastAsia="zh-CN" w:bidi="ar-SA"/>
        </w:rPr>
        <w:t xml:space="preserve">1.2</w:t>
      </w:r>
      <w:r>
        <w:rPr>
          <w:rFonts w:ascii="Arial" w:hAnsi="Arial" w:eastAsia="仿宋_GB2312" w:cs="Arial"/>
          <w:b/>
          <w:bCs/>
          <w:color w:val="000000"/>
          <w:sz w:val="28"/>
          <w:szCs w:val="28"/>
          <w:lang w:bidi="ar-SA"/>
        </w:rPr>
        <w:t xml:space="preserve">绩效指标明确性</w:t>
      </w:r>
      <w:bookmarkEnd w:id="2"/>
      <w:r>
        <w:rPr>
          <w:rFonts w:ascii="Arial" w:hAnsi="Arial" w:eastAsia="仿宋_GB2312" w:cs="Arial"/>
          <w:b/>
          <w:bCs/>
          <w:color w:val="000000"/>
          <w:sz w:val="28"/>
          <w:szCs w:val="28"/>
          <w:lang w:bidi="ar-SA"/>
        </w:rPr>
      </w:r>
      <w:r>
        <w:rPr>
          <w:rFonts w:ascii="Arial" w:hAnsi="Arial" w:eastAsia="仿宋_GB2312" w:cs="Arial"/>
          <w:b/>
          <w:bCs/>
          <w:color w:val="000000"/>
          <w:sz w:val="28"/>
          <w:szCs w:val="28"/>
          <w:lang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bidi="ar-SA"/>
        </w:rPr>
      </w:pPr>
      <w:r>
        <w:rPr>
          <w:rFonts w:ascii="Arial" w:hAnsi="Arial" w:eastAsia="仿宋_GB2312" w:cs="Arial"/>
          <w:color w:val="000000"/>
          <w:sz w:val="28"/>
          <w:szCs w:val="28"/>
          <w:lang w:eastAsia="zh-CN" w:bidi="ar-SA"/>
        </w:rPr>
        <w:t xml:space="preserve">我们</w:t>
      </w:r>
      <w:r>
        <w:rPr>
          <w:rFonts w:ascii="Arial" w:hAnsi="Arial" w:eastAsia="仿宋_GB2312" w:cs="Arial"/>
          <w:color w:val="000000"/>
          <w:sz w:val="28"/>
          <w:szCs w:val="28"/>
          <w:lang w:bidi="ar-SA"/>
        </w:rPr>
        <w:t xml:space="preserve">依据整体绩效目标设定的绩效指标清晰、细化、可衡量。</w:t>
      </w:r>
      <w:bookmarkStart w:id="3" w:name="_Toc452655112"/>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1.3  在职人员</w:t>
      </w:r>
      <w:bookmarkEnd w:id="3"/>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val="en-US" w:eastAsia="zh-CN" w:bidi="ar-SA"/>
        </w:rPr>
      </w:pPr>
      <w:r/>
      <w:bookmarkStart w:id="4" w:name="_Toc452655113"/>
      <w:r>
        <w:rPr>
          <w:rFonts w:ascii="Arial" w:hAnsi="Arial" w:eastAsia="仿宋_GB2312" w:cs="Arial"/>
          <w:color w:val="000000"/>
          <w:sz w:val="28"/>
          <w:szCs w:val="28"/>
          <w:lang w:val="en-US" w:eastAsia="zh-CN" w:bidi="ar-SA"/>
        </w:rPr>
        <w:t xml:space="preserve">2019年底，实有在职人员34人，离休人员2人；另有随州住建委财会核算中心和重点项目服务中心与住建合署办公，其中财务核算中心编制3人，实有3人;重点项目服务中心编制3人实有1人</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1.4 三公经费</w:t>
      </w:r>
      <w:bookmarkEnd w:id="4"/>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通过查阅预算资料，“三公”经费支出预算总计</w:t>
      </w:r>
      <w:r>
        <w:rPr>
          <w:rFonts w:ascii="Arial" w:hAnsi="Arial" w:eastAsia="仿宋_GB2312" w:cs="Arial"/>
          <w:color w:val="000000"/>
          <w:sz w:val="28"/>
          <w:szCs w:val="28"/>
          <w:lang w:val="en-US" w:eastAsia="zh-CN" w:bidi="ar-SA"/>
        </w:rPr>
        <w:t xml:space="preserve">29.42</w:t>
      </w:r>
      <w:r>
        <w:rPr>
          <w:rFonts w:ascii="Arial" w:hAnsi="Arial" w:eastAsia="仿宋_GB2312" w:cs="Arial"/>
          <w:color w:val="000000"/>
          <w:sz w:val="28"/>
          <w:szCs w:val="28"/>
          <w:lang w:bidi="ar-SA"/>
        </w:rPr>
        <w:t xml:space="preserve">万元，其中：公务用车运行维护费</w:t>
      </w:r>
      <w:r>
        <w:rPr>
          <w:rFonts w:ascii="Arial" w:hAnsi="Arial" w:eastAsia="仿宋_GB2312" w:cs="Arial"/>
          <w:color w:val="000000"/>
          <w:sz w:val="28"/>
          <w:szCs w:val="28"/>
          <w:lang w:val="en-US" w:eastAsia="zh-CN" w:bidi="ar-SA"/>
        </w:rPr>
        <w:t xml:space="preserve">10.65</w:t>
      </w:r>
      <w:r>
        <w:rPr>
          <w:rFonts w:ascii="Arial" w:hAnsi="Arial" w:eastAsia="仿宋_GB2312" w:cs="Arial"/>
          <w:color w:val="000000"/>
          <w:sz w:val="28"/>
          <w:szCs w:val="28"/>
          <w:lang w:bidi="ar-SA"/>
        </w:rPr>
        <w:t xml:space="preserve">万元，公务接待费</w:t>
      </w:r>
      <w:r>
        <w:rPr>
          <w:rFonts w:ascii="Arial" w:hAnsi="Arial" w:eastAsia="仿宋_GB2312" w:cs="Arial"/>
          <w:color w:val="000000"/>
          <w:sz w:val="28"/>
          <w:szCs w:val="28"/>
          <w:lang w:val="en-US" w:eastAsia="zh-CN" w:bidi="ar-SA"/>
        </w:rPr>
        <w:t xml:space="preserve">3.77</w:t>
      </w:r>
      <w:r>
        <w:rPr>
          <w:rFonts w:ascii="Arial" w:hAnsi="Arial" w:eastAsia="仿宋_GB2312" w:cs="Arial"/>
          <w:color w:val="000000"/>
          <w:sz w:val="28"/>
          <w:szCs w:val="28"/>
          <w:lang w:bidi="ar-SA"/>
        </w:rPr>
        <w:t xml:space="preserve">万元，因公出国</w:t>
      </w:r>
      <w:r>
        <w:rPr>
          <w:rFonts w:ascii="Arial" w:hAnsi="Arial" w:eastAsia="仿宋_GB2312" w:cs="Arial"/>
          <w:color w:val="000000"/>
          <w:sz w:val="28"/>
          <w:szCs w:val="28"/>
          <w:lang w:val="en-US" w:eastAsia="zh-CN" w:bidi="ar-SA"/>
        </w:rPr>
        <w:t xml:space="preserve">15</w:t>
      </w:r>
      <w:r>
        <w:rPr>
          <w:rFonts w:ascii="Arial" w:hAnsi="Arial" w:eastAsia="仿宋_GB2312" w:cs="Arial"/>
          <w:color w:val="000000"/>
          <w:sz w:val="28"/>
          <w:szCs w:val="28"/>
          <w:lang w:bidi="ar-SA"/>
        </w:rPr>
        <w:t xml:space="preserve">万</w:t>
      </w:r>
      <w:r>
        <w:rPr>
          <w:rFonts w:ascii="Arial" w:hAnsi="Arial" w:eastAsia="仿宋_GB2312" w:cs="Arial"/>
          <w:color w:val="000000"/>
          <w:sz w:val="28"/>
          <w:szCs w:val="28"/>
          <w:lang w:bidi="ar-SA"/>
        </w:rPr>
        <w:t xml:space="preserve">元。实际支出</w:t>
      </w:r>
      <w:r>
        <w:rPr>
          <w:rFonts w:ascii="Arial" w:hAnsi="Arial" w:eastAsia="仿宋_GB2312" w:cs="Arial"/>
          <w:color w:val="000000"/>
          <w:sz w:val="28"/>
          <w:szCs w:val="28"/>
          <w:lang w:val="en-US" w:eastAsia="zh-CN" w:bidi="ar-SA"/>
        </w:rPr>
        <w:t xml:space="preserve">10.84</w:t>
      </w:r>
      <w:r>
        <w:rPr>
          <w:rFonts w:ascii="Arial" w:hAnsi="Arial" w:eastAsia="仿宋_GB2312" w:cs="Arial"/>
          <w:color w:val="000000"/>
          <w:sz w:val="28"/>
          <w:szCs w:val="28"/>
          <w:lang w:bidi="ar-SA"/>
        </w:rPr>
        <w:t xml:space="preserve">万元，其中：公务用车运行维护费</w:t>
      </w:r>
      <w:r>
        <w:rPr>
          <w:rFonts w:ascii="Arial" w:hAnsi="Arial" w:eastAsia="仿宋_GB2312" w:cs="Arial"/>
          <w:color w:val="000000"/>
          <w:sz w:val="28"/>
          <w:szCs w:val="28"/>
          <w:lang w:val="en-US" w:eastAsia="zh-CN" w:bidi="ar-SA"/>
        </w:rPr>
        <w:t xml:space="preserve">9.34</w:t>
      </w:r>
      <w:r>
        <w:rPr>
          <w:rFonts w:ascii="Arial" w:hAnsi="Arial" w:eastAsia="仿宋_GB2312" w:cs="Arial"/>
          <w:color w:val="000000"/>
          <w:sz w:val="28"/>
          <w:szCs w:val="28"/>
          <w:lang w:bidi="ar-SA"/>
        </w:rPr>
        <w:t xml:space="preserve">万元，公务接待费</w:t>
      </w:r>
      <w:r>
        <w:rPr>
          <w:rFonts w:ascii="Arial" w:hAnsi="Arial" w:eastAsia="仿宋_GB2312" w:cs="Arial"/>
          <w:color w:val="000000"/>
          <w:sz w:val="28"/>
          <w:szCs w:val="28"/>
          <w:lang w:val="en-US" w:eastAsia="zh-CN" w:bidi="ar-SA"/>
        </w:rPr>
        <w:t xml:space="preserve">1.5</w:t>
      </w:r>
      <w:r>
        <w:rPr>
          <w:rFonts w:ascii="Arial" w:hAnsi="Arial" w:eastAsia="仿宋_GB2312" w:cs="Arial"/>
          <w:color w:val="000000"/>
          <w:sz w:val="28"/>
          <w:szCs w:val="28"/>
          <w:lang w:bidi="ar-SA"/>
        </w:rPr>
        <w:t xml:space="preserve">万元，因公出国</w:t>
      </w:r>
      <w:r>
        <w:rPr>
          <w:rFonts w:ascii="Arial" w:hAnsi="Arial" w:eastAsia="仿宋_GB2312" w:cs="Arial"/>
          <w:color w:val="000000"/>
          <w:sz w:val="28"/>
          <w:szCs w:val="28"/>
          <w:lang w:val="en-US" w:eastAsia="zh-CN" w:bidi="ar-SA"/>
        </w:rPr>
        <w:t xml:space="preserve">0</w:t>
      </w:r>
      <w:r>
        <w:rPr>
          <w:rFonts w:ascii="Arial" w:hAnsi="Arial" w:eastAsia="仿宋_GB2312" w:cs="Arial"/>
          <w:color w:val="000000"/>
          <w:sz w:val="28"/>
          <w:szCs w:val="28"/>
          <w:lang w:bidi="ar-SA"/>
        </w:rPr>
        <w:t xml:space="preserve">万元。</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bookmarkStart w:id="5" w:name="_Toc452659705"/>
      <w:r>
        <w:rPr>
          <w:rFonts w:ascii="Arial" w:hAnsi="Arial" w:eastAsia="仿宋_GB2312" w:cs="Arial"/>
          <w:b/>
          <w:bCs/>
          <w:color w:val="000000"/>
          <w:sz w:val="28"/>
          <w:szCs w:val="28"/>
          <w:lang w:val="en-US" w:eastAsia="zh-CN" w:bidi="ar-SA"/>
        </w:rPr>
        <w:t xml:space="preserve">2、过程</w:t>
      </w:r>
      <w:bookmarkEnd w:id="5"/>
      <w:r/>
      <w:bookmarkStart w:id="6" w:name="_Toc452655124"/>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bookmarkEnd w:id="6"/>
      <w:r>
        <w:rPr>
          <w:rFonts w:ascii="Arial" w:hAnsi="Arial" w:eastAsia="仿宋_GB2312" w:cs="Arial"/>
          <w:b/>
          <w:bCs/>
          <w:color w:val="000000"/>
          <w:sz w:val="28"/>
          <w:szCs w:val="28"/>
          <w:lang w:val="en-US" w:eastAsia="zh-CN" w:bidi="ar-SA"/>
        </w:rPr>
        <w:t xml:space="preserve">2.1预算执行率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eastAsia="zh-CN" w:bidi="ar-SA"/>
        </w:rPr>
      </w:pPr>
      <w:r>
        <w:rPr>
          <w:rFonts w:ascii="Arial" w:hAnsi="Arial" w:eastAsia="仿宋_GB2312" w:cs="Arial"/>
          <w:color w:val="000000"/>
          <w:sz w:val="28"/>
          <w:szCs w:val="28"/>
          <w:lang w:bidi="ar-SA"/>
        </w:rPr>
        <w:t xml:space="preserve">通过查阅预决算资料，</w:t>
      </w:r>
      <w:r>
        <w:rPr>
          <w:rFonts w:ascii="Arial" w:hAnsi="Arial" w:eastAsia="仿宋_GB2312" w:cs="Arial"/>
          <w:color w:val="000000"/>
          <w:sz w:val="28"/>
          <w:szCs w:val="28"/>
          <w:lang w:bidi="ar-SA"/>
        </w:rPr>
        <w:t xml:space="preserve">部门年度</w:t>
      </w:r>
      <w:r>
        <w:rPr>
          <w:rFonts w:ascii="Arial" w:hAnsi="Arial" w:eastAsia="仿宋_GB2312" w:cs="Arial"/>
          <w:color w:val="000000"/>
          <w:sz w:val="28"/>
          <w:szCs w:val="28"/>
          <w:lang w:eastAsia="zh-CN" w:bidi="ar-SA"/>
        </w:rPr>
        <w:t xml:space="preserve">调整后</w:t>
      </w:r>
      <w:r>
        <w:rPr>
          <w:rFonts w:ascii="Arial" w:hAnsi="Arial" w:eastAsia="仿宋_GB2312" w:cs="Arial"/>
          <w:color w:val="000000"/>
          <w:sz w:val="28"/>
          <w:szCs w:val="28"/>
          <w:lang w:bidi="ar-SA"/>
        </w:rPr>
        <w:t xml:space="preserve">预算为</w:t>
      </w:r>
      <w:r>
        <w:rPr>
          <w:rFonts w:ascii="Arial" w:hAnsi="Arial" w:eastAsia="仿宋_GB2312" w:cs="Arial"/>
          <w:color w:val="000000"/>
          <w:sz w:val="28"/>
          <w:szCs w:val="28"/>
          <w:lang w:val="en-US" w:eastAsia="zh-CN" w:bidi="ar-SA"/>
        </w:rPr>
        <w:t xml:space="preserve">3174.53</w:t>
      </w:r>
      <w:r>
        <w:rPr>
          <w:rFonts w:ascii="Arial" w:hAnsi="Arial" w:eastAsia="仿宋_GB2312" w:cs="Arial"/>
          <w:color w:val="000000"/>
          <w:sz w:val="28"/>
          <w:szCs w:val="28"/>
          <w:lang w:bidi="ar-SA"/>
        </w:rPr>
        <w:t xml:space="preserve">万元，实际执行为</w:t>
      </w:r>
      <w:r>
        <w:rPr>
          <w:rFonts w:ascii="Arial" w:hAnsi="Arial" w:eastAsia="仿宋_GB2312" w:cs="Arial"/>
          <w:color w:val="000000"/>
          <w:sz w:val="28"/>
          <w:szCs w:val="28"/>
          <w:lang w:val="en-US" w:eastAsia="zh-CN" w:bidi="ar-SA"/>
        </w:rPr>
        <w:t xml:space="preserve">3036.79</w:t>
      </w:r>
      <w:r>
        <w:rPr>
          <w:rFonts w:ascii="Arial" w:hAnsi="Arial" w:eastAsia="仿宋_GB2312" w:cs="Arial"/>
          <w:color w:val="000000"/>
          <w:sz w:val="28"/>
          <w:szCs w:val="28"/>
          <w:lang w:bidi="ar-SA"/>
        </w:rPr>
        <w:t xml:space="preserve">万元,与年初批复预算支出比，预算执行率为</w:t>
      </w:r>
      <w:r>
        <w:rPr>
          <w:rFonts w:ascii="Arial" w:hAnsi="Arial" w:eastAsia="仿宋_GB2312" w:cs="Arial"/>
          <w:color w:val="000000"/>
          <w:sz w:val="28"/>
          <w:szCs w:val="28"/>
          <w:lang w:val="en-US" w:eastAsia="zh-CN" w:bidi="ar-SA"/>
        </w:rPr>
        <w:t xml:space="preserve">95.66</w:t>
      </w:r>
      <w:r>
        <w:rPr>
          <w:rFonts w:ascii="Arial" w:hAnsi="Arial" w:eastAsia="仿宋_GB2312" w:cs="Arial"/>
          <w:color w:val="000000"/>
          <w:sz w:val="28"/>
          <w:szCs w:val="28"/>
          <w:lang w:bidi="ar-SA"/>
        </w:rPr>
        <w:t xml:space="preserve">%</w:t>
      </w:r>
      <w:r>
        <w:rPr>
          <w:rFonts w:ascii="Arial" w:hAnsi="Arial" w:eastAsia="仿宋_GB2312" w:cs="Arial"/>
          <w:color w:val="000000"/>
          <w:sz w:val="28"/>
          <w:szCs w:val="28"/>
          <w:lang w:eastAsia="zh-CN" w:bidi="ar-SA"/>
        </w:rPr>
        <w:t xml:space="preserve">，</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2.2预算调整率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部门年度预算为</w:t>
      </w:r>
      <w:r>
        <w:rPr>
          <w:rFonts w:ascii="Arial" w:hAnsi="Arial" w:eastAsia="仿宋_GB2312" w:cs="Arial"/>
          <w:color w:val="000000"/>
          <w:sz w:val="28"/>
          <w:szCs w:val="28"/>
          <w:lang w:val="en-US" w:eastAsia="zh-CN" w:bidi="ar-SA"/>
        </w:rPr>
        <w:t xml:space="preserve">3174.53</w:t>
      </w:r>
      <w:r>
        <w:rPr>
          <w:rFonts w:ascii="Arial" w:hAnsi="Arial" w:eastAsia="仿宋_GB2312" w:cs="Arial"/>
          <w:color w:val="000000"/>
          <w:sz w:val="28"/>
          <w:szCs w:val="28"/>
          <w:lang w:bidi="ar-SA"/>
        </w:rPr>
        <w:t xml:space="preserve">万元，年度预算调整后为</w:t>
      </w:r>
      <w:r>
        <w:rPr>
          <w:rFonts w:ascii="Arial" w:hAnsi="Arial" w:eastAsia="仿宋_GB2312" w:cs="Arial"/>
          <w:color w:val="000000"/>
          <w:sz w:val="28"/>
          <w:szCs w:val="28"/>
          <w:lang w:val="en-US" w:eastAsia="zh-CN" w:bidi="ar-SA"/>
        </w:rPr>
        <w:t xml:space="preserve">3174.53</w:t>
      </w:r>
      <w:r>
        <w:rPr>
          <w:rFonts w:ascii="Arial" w:hAnsi="Arial" w:eastAsia="仿宋_GB2312" w:cs="Arial"/>
          <w:color w:val="000000"/>
          <w:sz w:val="28"/>
          <w:szCs w:val="28"/>
          <w:lang w:bidi="ar-SA"/>
        </w:rPr>
        <w:t xml:space="preserve">万元，</w:t>
      </w:r>
      <w:r>
        <w:rPr>
          <w:rFonts w:ascii="Arial" w:hAnsi="Arial" w:eastAsia="仿宋_GB2312" w:cs="Arial"/>
          <w:color w:val="000000"/>
          <w:sz w:val="28"/>
          <w:szCs w:val="28"/>
          <w:lang w:bidi="ar-SA"/>
        </w:rPr>
        <w:t xml:space="preserve">调整金额</w:t>
      </w:r>
      <w:r>
        <w:rPr>
          <w:rFonts w:ascii="Arial" w:hAnsi="Arial" w:eastAsia="仿宋_GB2312" w:cs="Arial"/>
          <w:color w:val="000000"/>
          <w:sz w:val="28"/>
          <w:szCs w:val="28"/>
          <w:lang w:val="en-US" w:eastAsia="zh-CN" w:bidi="ar-SA"/>
        </w:rPr>
        <w:t xml:space="preserve">0</w:t>
      </w:r>
      <w:r>
        <w:rPr>
          <w:rFonts w:ascii="Arial" w:hAnsi="Arial" w:eastAsia="仿宋_GB2312" w:cs="Arial"/>
          <w:color w:val="000000"/>
          <w:sz w:val="28"/>
          <w:szCs w:val="28"/>
          <w:lang w:bidi="ar-SA"/>
        </w:rPr>
        <w:t xml:space="preserve">万元，预算调整率</w:t>
      </w:r>
      <w:r>
        <w:rPr>
          <w:rFonts w:ascii="Arial" w:hAnsi="Arial" w:eastAsia="仿宋_GB2312" w:cs="Arial"/>
          <w:color w:val="000000"/>
          <w:sz w:val="28"/>
          <w:szCs w:val="28"/>
          <w:lang w:val="en-US" w:eastAsia="zh-CN" w:bidi="ar-SA"/>
        </w:rPr>
        <w:t xml:space="preserve">0</w:t>
      </w:r>
      <w:r>
        <w:rPr>
          <w:rFonts w:ascii="Arial" w:hAnsi="Arial" w:eastAsia="仿宋_GB2312" w:cs="Arial"/>
          <w:color w:val="000000"/>
          <w:sz w:val="28"/>
          <w:szCs w:val="28"/>
          <w:lang w:bidi="ar-SA"/>
        </w:rPr>
        <w:t xml:space="preserve">%。</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2.3支付进度率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通过查阅</w:t>
      </w:r>
      <w:r>
        <w:rPr>
          <w:rFonts w:ascii="Arial" w:hAnsi="Arial" w:eastAsia="仿宋_GB2312" w:cs="Arial"/>
          <w:color w:val="000000"/>
          <w:sz w:val="28"/>
          <w:szCs w:val="28"/>
          <w:lang w:eastAsia="zh-CN" w:bidi="ar-SA"/>
        </w:rPr>
        <w:t xml:space="preserve">财务报表</w:t>
      </w:r>
      <w:r>
        <w:rPr>
          <w:rFonts w:ascii="Arial" w:hAnsi="Arial" w:eastAsia="仿宋_GB2312" w:cs="Arial"/>
          <w:color w:val="000000"/>
          <w:sz w:val="28"/>
          <w:szCs w:val="28"/>
          <w:lang w:bidi="ar-SA"/>
        </w:rPr>
        <w:t xml:space="preserve">资料，根据部门预算支出执行情况表，全年决算</w:t>
      </w:r>
      <w:r>
        <w:rPr>
          <w:rFonts w:ascii="Arial" w:hAnsi="Arial" w:eastAsia="仿宋_GB2312" w:cs="Arial"/>
          <w:color w:val="000000"/>
          <w:sz w:val="28"/>
          <w:szCs w:val="28"/>
          <w:lang w:val="en-US" w:eastAsia="zh-CN" w:bidi="ar-SA"/>
        </w:rPr>
        <w:t xml:space="preserve">3098.71</w:t>
      </w:r>
      <w:r>
        <w:rPr>
          <w:rFonts w:ascii="Arial" w:hAnsi="Arial" w:eastAsia="仿宋_GB2312" w:cs="Arial"/>
          <w:color w:val="000000"/>
          <w:sz w:val="28"/>
          <w:szCs w:val="28"/>
          <w:lang w:bidi="ar-SA"/>
        </w:rPr>
        <w:t xml:space="preserve">万元在当年全部支付</w:t>
      </w:r>
      <w:r>
        <w:rPr>
          <w:rFonts w:ascii="Arial" w:hAnsi="Arial" w:eastAsia="仿宋_GB2312" w:cs="Arial"/>
          <w:color w:val="000000"/>
          <w:sz w:val="28"/>
          <w:szCs w:val="28"/>
          <w:lang w:val="en-US" w:eastAsia="zh-CN" w:bidi="ar-SA"/>
        </w:rPr>
        <w:t xml:space="preserve">3036.79</w:t>
      </w:r>
      <w:r>
        <w:rPr>
          <w:rFonts w:ascii="Arial" w:hAnsi="Arial" w:eastAsia="仿宋_GB2312" w:cs="Arial"/>
          <w:color w:val="000000"/>
          <w:sz w:val="28"/>
          <w:szCs w:val="28"/>
          <w:lang w:bidi="ar-SA"/>
        </w:rPr>
        <w:t xml:space="preserve">万元，支付进度率为</w:t>
      </w:r>
      <w:r>
        <w:rPr>
          <w:rFonts w:ascii="Arial" w:hAnsi="Arial" w:eastAsia="仿宋_GB2312" w:cs="Arial"/>
          <w:color w:val="000000"/>
          <w:sz w:val="28"/>
          <w:szCs w:val="28"/>
          <w:lang w:val="en-US" w:eastAsia="zh-CN" w:bidi="ar-SA"/>
        </w:rPr>
        <w:t xml:space="preserve">98</w:t>
      </w:r>
      <w:r>
        <w:rPr>
          <w:rFonts w:ascii="Arial" w:hAnsi="Arial" w:eastAsia="仿宋_GB2312" w:cs="Arial"/>
          <w:color w:val="000000"/>
          <w:sz w:val="28"/>
          <w:szCs w:val="28"/>
          <w:lang w:bidi="ar-SA"/>
        </w:rPr>
        <w:t xml:space="preserve">%。 </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2.4公用经费控制率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通过查阅</w:t>
      </w:r>
      <w:r>
        <w:rPr>
          <w:rFonts w:ascii="Arial" w:hAnsi="Arial" w:eastAsia="仿宋_GB2312" w:cs="Arial"/>
          <w:color w:val="000000"/>
          <w:sz w:val="28"/>
          <w:szCs w:val="28"/>
          <w:lang w:eastAsia="zh-CN" w:bidi="ar-SA"/>
        </w:rPr>
        <w:t xml:space="preserve">收支报表</w:t>
      </w:r>
      <w:r>
        <w:rPr>
          <w:rFonts w:ascii="Arial" w:hAnsi="Arial" w:eastAsia="仿宋_GB2312" w:cs="Arial"/>
          <w:color w:val="000000"/>
          <w:sz w:val="28"/>
          <w:szCs w:val="28"/>
          <w:lang w:bidi="ar-SA"/>
        </w:rPr>
        <w:t xml:space="preserve">资料，</w:t>
      </w:r>
      <w:r>
        <w:rPr>
          <w:rFonts w:ascii="Arial" w:hAnsi="Arial" w:eastAsia="仿宋_GB2312" w:cs="Arial"/>
          <w:color w:val="000000"/>
          <w:sz w:val="28"/>
          <w:szCs w:val="28"/>
          <w:lang w:bidi="ar-SA"/>
        </w:rPr>
        <w:t xml:space="preserve">部门预算安排的公用经费总额为</w:t>
      </w:r>
      <w:r>
        <w:rPr>
          <w:rFonts w:ascii="Arial" w:hAnsi="Arial" w:eastAsia="仿宋_GB2312" w:cs="Arial"/>
          <w:color w:val="000000"/>
          <w:sz w:val="28"/>
          <w:szCs w:val="28"/>
          <w:lang w:val="en-US" w:eastAsia="zh-CN" w:bidi="ar-SA"/>
        </w:rPr>
        <w:t xml:space="preserve">462.95</w:t>
      </w:r>
      <w:r>
        <w:rPr>
          <w:rFonts w:ascii="Arial" w:hAnsi="Arial" w:eastAsia="仿宋_GB2312" w:cs="Arial"/>
          <w:color w:val="000000"/>
          <w:sz w:val="28"/>
          <w:szCs w:val="28"/>
          <w:lang w:bidi="ar-SA"/>
        </w:rPr>
        <w:t xml:space="preserve">万元，实际支出的公用经费总额为</w:t>
      </w:r>
      <w:r>
        <w:rPr>
          <w:rFonts w:ascii="Arial" w:hAnsi="Arial" w:eastAsia="仿宋_GB2312" w:cs="Arial"/>
          <w:color w:val="000000"/>
          <w:sz w:val="28"/>
          <w:szCs w:val="28"/>
          <w:lang w:val="en-US" w:eastAsia="zh-CN" w:bidi="ar-SA"/>
        </w:rPr>
        <w:t xml:space="preserve">508.52</w:t>
      </w:r>
      <w:r>
        <w:rPr>
          <w:rFonts w:ascii="Arial" w:hAnsi="Arial" w:eastAsia="仿宋_GB2312" w:cs="Arial"/>
          <w:color w:val="000000"/>
          <w:sz w:val="28"/>
          <w:szCs w:val="28"/>
          <w:lang w:bidi="ar-SA"/>
        </w:rPr>
        <w:t xml:space="preserve">万元，公用经费控制率</w:t>
      </w:r>
      <w:r>
        <w:rPr>
          <w:rFonts w:ascii="Arial" w:hAnsi="Arial" w:eastAsia="仿宋_GB2312" w:cs="Arial"/>
          <w:color w:val="000000"/>
          <w:sz w:val="28"/>
          <w:szCs w:val="28"/>
          <w:lang w:val="en-US" w:eastAsia="zh-CN" w:bidi="ar-SA"/>
        </w:rPr>
        <w:t xml:space="preserve">102</w:t>
      </w:r>
      <w:r>
        <w:rPr>
          <w:rFonts w:ascii="Arial" w:hAnsi="Arial" w:eastAsia="仿宋_GB2312" w:cs="Arial"/>
          <w:color w:val="000000"/>
          <w:sz w:val="28"/>
          <w:szCs w:val="28"/>
          <w:lang w:bidi="ar-SA"/>
        </w:rPr>
        <w:t xml:space="preserve">%。</w:t>
      </w:r>
      <w:r>
        <w:rPr>
          <w:rFonts w:ascii="Arial" w:hAnsi="Arial" w:eastAsia="仿宋_GB2312" w:cs="Arial"/>
          <w:color w:val="000000"/>
          <w:sz w:val="28"/>
          <w:szCs w:val="28"/>
          <w:lang w:bidi="ar-SA"/>
        </w:rPr>
        <w:t xml:space="preserve">公用经费得到</w:t>
      </w:r>
      <w:r>
        <w:rPr>
          <w:rFonts w:ascii="Arial" w:hAnsi="Arial" w:eastAsia="仿宋_GB2312" w:cs="Arial"/>
          <w:color w:val="000000"/>
          <w:sz w:val="28"/>
          <w:szCs w:val="28"/>
          <w:lang w:eastAsia="zh-CN" w:bidi="ar-SA"/>
        </w:rPr>
        <w:t xml:space="preserve">基本</w:t>
      </w:r>
      <w:r>
        <w:rPr>
          <w:rFonts w:ascii="Arial" w:hAnsi="Arial" w:eastAsia="仿宋_GB2312" w:cs="Arial"/>
          <w:color w:val="000000"/>
          <w:sz w:val="28"/>
          <w:szCs w:val="28"/>
          <w:lang w:bidi="ar-SA"/>
        </w:rPr>
        <w:t xml:space="preserve">控制。</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2.5三公经费控制率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 w:cs="Arial"/>
          <w:color w:val="000000"/>
          <w:sz w:val="28"/>
          <w:szCs w:val="28"/>
          <w:lang w:bidi="ar-SA"/>
        </w:rPr>
      </w:pPr>
      <w:r>
        <w:rPr>
          <w:rFonts w:ascii="Arial" w:hAnsi="Arial" w:eastAsia="仿宋_GB2312" w:cs="Arial"/>
          <w:color w:val="000000"/>
          <w:sz w:val="28"/>
          <w:szCs w:val="28"/>
          <w:lang w:bidi="ar-SA"/>
        </w:rPr>
        <w:t xml:space="preserve">通过查阅</w:t>
      </w:r>
      <w:r>
        <w:rPr>
          <w:rFonts w:ascii="Arial" w:hAnsi="Arial" w:eastAsia="仿宋_GB2312" w:cs="Arial"/>
          <w:color w:val="000000"/>
          <w:sz w:val="28"/>
          <w:szCs w:val="28"/>
          <w:lang w:eastAsia="zh-CN" w:bidi="ar-SA"/>
        </w:rPr>
        <w:t xml:space="preserve">财务报表</w:t>
      </w:r>
      <w:r>
        <w:rPr>
          <w:rFonts w:ascii="Arial" w:hAnsi="Arial" w:eastAsia="仿宋_GB2312" w:cs="Arial"/>
          <w:color w:val="000000"/>
          <w:sz w:val="28"/>
          <w:szCs w:val="28"/>
          <w:lang w:bidi="ar-SA"/>
        </w:rPr>
        <w:t xml:space="preserve">资料，部门三公经费实际支出数为</w:t>
      </w:r>
      <w:r>
        <w:rPr>
          <w:rFonts w:ascii="Arial" w:hAnsi="Arial" w:eastAsia="仿宋_GB2312" w:cs="Arial"/>
          <w:color w:val="000000"/>
          <w:sz w:val="28"/>
          <w:szCs w:val="28"/>
          <w:lang w:val="en-US" w:eastAsia="zh-CN" w:bidi="ar-SA"/>
        </w:rPr>
        <w:t xml:space="preserve">10.84</w:t>
      </w:r>
      <w:r>
        <w:rPr>
          <w:rFonts w:ascii="Arial" w:hAnsi="Arial" w:eastAsia="仿宋_GB2312" w:cs="Arial"/>
          <w:color w:val="000000"/>
          <w:sz w:val="28"/>
          <w:szCs w:val="28"/>
          <w:lang w:bidi="ar-SA"/>
        </w:rPr>
        <w:t xml:space="preserve">万元，三公经费预算数为</w:t>
      </w:r>
      <w:r>
        <w:rPr>
          <w:rFonts w:ascii="Arial" w:hAnsi="Arial" w:eastAsia="仿宋_GB2312" w:cs="Arial"/>
          <w:color w:val="000000"/>
          <w:sz w:val="28"/>
          <w:szCs w:val="28"/>
          <w:lang w:val="en-US" w:eastAsia="zh-CN" w:bidi="ar-SA"/>
        </w:rPr>
        <w:t xml:space="preserve">29.42</w:t>
      </w:r>
      <w:r>
        <w:rPr>
          <w:rFonts w:ascii="Arial" w:hAnsi="Arial" w:eastAsia="仿宋_GB2312" w:cs="Arial"/>
          <w:color w:val="000000"/>
          <w:sz w:val="28"/>
          <w:szCs w:val="28"/>
          <w:lang w:bidi="ar-SA"/>
        </w:rPr>
        <w:t xml:space="preserve">万元，控制率为</w:t>
      </w:r>
      <w:r>
        <w:rPr>
          <w:rFonts w:ascii="Arial" w:hAnsi="Arial" w:eastAsia="仿宋_GB2312" w:cs="Arial"/>
          <w:color w:val="000000"/>
          <w:sz w:val="28"/>
          <w:szCs w:val="28"/>
          <w:lang w:val="en-US" w:eastAsia="zh-CN" w:bidi="ar-SA"/>
        </w:rPr>
        <w:t xml:space="preserve">36.84</w:t>
      </w:r>
      <w:r>
        <w:rPr>
          <w:rFonts w:ascii="Arial" w:hAnsi="Arial" w:eastAsia="仿宋_GB2312" w:cs="Arial"/>
          <w:color w:val="000000"/>
          <w:sz w:val="28"/>
          <w:szCs w:val="28"/>
          <w:lang w:bidi="ar-SA"/>
        </w:rPr>
        <w:t xml:space="preserve">%，对三公经费进行了有</w:t>
      </w:r>
      <w:r>
        <w:rPr>
          <w:rFonts w:ascii="Arial" w:hAnsi="Arial" w:eastAsia="仿宋_GB2312" w:cs="Arial"/>
          <w:color w:val="000000"/>
          <w:sz w:val="28"/>
          <w:szCs w:val="28"/>
          <w:lang w:bidi="ar-SA"/>
        </w:rPr>
        <w:t xml:space="preserve">效的控制和压缩。这是认真贯彻落实中央八项规定要求，厉行节约、严格控制支出的结果。实施公务用车制度改革，加强公务用车管理，规范公务接待活动，使得“三公”经费单项支出均有所下降。三公经费的有效控制和压缩，使财政资金更有效益。具体如下表：三公经费执行情况表</w:t>
      </w:r>
      <w:r>
        <w:rPr>
          <w:rFonts w:ascii="Arial" w:hAnsi="Arial" w:eastAsia="仿宋" w:cs="Arial"/>
          <w:color w:val="000000"/>
          <w:sz w:val="28"/>
          <w:szCs w:val="28"/>
          <w:lang w:bidi="ar-SA"/>
        </w:rPr>
      </w:r>
      <w:r>
        <w:rPr>
          <w:rFonts w:ascii="Arial" w:hAnsi="Arial" w:eastAsia="仿宋" w:cs="Arial"/>
          <w:color w:val="000000"/>
          <w:sz w:val="28"/>
          <w:szCs w:val="28"/>
          <w:lang w:bidi="ar-SA"/>
        </w:rPr>
      </w:r>
    </w:p>
    <w:tbl>
      <w:tblPr>
        <w:tblW w:w="8748" w:type="dxa"/>
        <w:tblInd w:w="130" w:type="dxa"/>
        <w:tblBorders/>
        <w:tblLayout w:type="fixed"/>
        <w:tblCellMar>
          <w:left w:w="115" w:type="dxa"/>
          <w:top w:w="35" w:type="dxa"/>
          <w:right w:w="3" w:type="dxa"/>
          <w:bottom w:w="0" w:type="dxa"/>
        </w:tblCellMar>
        <w:tblLook w:val="04A0" w:firstRow="1" w:lastRow="0" w:firstColumn="1" w:lastColumn="0" w:noHBand="0" w:noVBand="1"/>
      </w:tblPr>
      <w:tblGrid>
        <w:gridCol w:w="2916"/>
        <w:gridCol w:w="2916"/>
        <w:gridCol w:w="2916"/>
      </w:tblGrid>
      <w:tr>
        <w:trPr>
          <w:trHeight w:val="407"/>
        </w:trPr>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项 目</w:t>
            </w:r>
            <w:r>
              <w:rPr>
                <w:rFonts w:ascii="Arial" w:hAnsi="Arial" w:eastAsia="仿宋" w:cs="Arial"/>
                <w:color w:val="000000"/>
                <w:szCs w:val="21"/>
                <w:lang w:bidi="ar-SA"/>
              </w:rPr>
            </w:r>
            <w:r>
              <w:rPr>
                <w:rFonts w:ascii="Arial" w:hAnsi="Arial" w:eastAsia="仿宋" w:cs="Arial"/>
                <w:color w:val="000000"/>
                <w:szCs w:val="21"/>
                <w:lang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预算数（万元）</w:t>
            </w:r>
            <w:r>
              <w:rPr>
                <w:rFonts w:ascii="Arial" w:hAnsi="Arial" w:eastAsia="仿宋" w:cs="Arial"/>
                <w:color w:val="000000"/>
                <w:szCs w:val="21"/>
                <w:lang w:bidi="ar-SA"/>
              </w:rPr>
            </w:r>
            <w:r>
              <w:rPr>
                <w:rFonts w:ascii="Arial" w:hAnsi="Arial" w:eastAsia="仿宋" w:cs="Arial"/>
                <w:color w:val="000000"/>
                <w:szCs w:val="21"/>
                <w:lang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决算数（万元）</w:t>
            </w:r>
            <w:r>
              <w:rPr>
                <w:rFonts w:ascii="Arial" w:hAnsi="Arial" w:eastAsia="仿宋" w:cs="Arial"/>
                <w:color w:val="000000"/>
                <w:szCs w:val="21"/>
                <w:lang w:bidi="ar-SA"/>
              </w:rPr>
            </w:r>
            <w:r>
              <w:rPr>
                <w:rFonts w:ascii="Arial" w:hAnsi="Arial" w:eastAsia="仿宋" w:cs="Arial"/>
                <w:color w:val="000000"/>
                <w:szCs w:val="21"/>
                <w:lang w:bidi="ar-SA"/>
              </w:rPr>
            </w:r>
          </w:p>
        </w:tc>
      </w:tr>
      <w:tr>
        <w:trPr>
          <w:trHeight w:val="407"/>
        </w:trPr>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因公出国（境）费用</w:t>
            </w:r>
            <w:r>
              <w:rPr>
                <w:rFonts w:ascii="Arial" w:hAnsi="Arial" w:eastAsia="仿宋" w:cs="Arial"/>
                <w:color w:val="000000"/>
                <w:szCs w:val="21"/>
                <w:lang w:bidi="ar-SA"/>
              </w:rPr>
            </w:r>
            <w:r>
              <w:rPr>
                <w:rFonts w:ascii="Arial" w:hAnsi="Arial" w:eastAsia="仿宋" w:cs="Arial"/>
                <w:color w:val="000000"/>
                <w:szCs w:val="21"/>
                <w:lang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15.00</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0</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r>
      <w:tr>
        <w:trPr>
          <w:trHeight w:val="407"/>
        </w:trPr>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公务用车运行维护费</w:t>
            </w:r>
            <w:r>
              <w:rPr>
                <w:rFonts w:ascii="Arial" w:hAnsi="Arial" w:eastAsia="仿宋" w:cs="Arial"/>
                <w:color w:val="000000"/>
                <w:szCs w:val="21"/>
                <w:lang w:bidi="ar-SA"/>
              </w:rPr>
            </w:r>
            <w:r>
              <w:rPr>
                <w:rFonts w:ascii="Arial" w:hAnsi="Arial" w:eastAsia="仿宋" w:cs="Arial"/>
                <w:color w:val="000000"/>
                <w:szCs w:val="21"/>
                <w:lang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10.65</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9.34</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r>
      <w:tr>
        <w:trPr>
          <w:trHeight w:val="407"/>
        </w:trPr>
        <w:tc>
          <w:tcPr>
            <w:tcBorders>
              <w:top w:val="single" w:color="000000" w:sz="4" w:space="0"/>
              <w:left w:val="single" w:color="000000" w:sz="4" w:space="0"/>
              <w:bottom w:val="single" w:color="000000" w:sz="4" w:space="0"/>
              <w:right w:val="single" w:color="000000" w:sz="6"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公务接待费</w:t>
            </w:r>
            <w:r>
              <w:rPr>
                <w:rFonts w:ascii="Arial" w:hAnsi="Arial" w:eastAsia="仿宋" w:cs="Arial"/>
                <w:color w:val="000000"/>
                <w:szCs w:val="21"/>
                <w:lang w:bidi="ar-SA"/>
              </w:rPr>
            </w:r>
            <w:r>
              <w:rPr>
                <w:rFonts w:ascii="Arial" w:hAnsi="Arial" w:eastAsia="仿宋" w:cs="Arial"/>
                <w:color w:val="000000"/>
                <w:szCs w:val="21"/>
                <w:lang w:bidi="ar-SA"/>
              </w:rPr>
            </w:r>
          </w:p>
        </w:tc>
        <w:tc>
          <w:tcPr>
            <w:tcBorders>
              <w:top w:val="single" w:color="000000" w:sz="4" w:space="0"/>
              <w:left w:val="single" w:color="000000" w:sz="6" w:space="0"/>
              <w:bottom w:val="single" w:color="000000" w:sz="4" w:space="0"/>
              <w:right w:val="single" w:color="000000" w:sz="6"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3.77</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c>
          <w:tcPr>
            <w:tcBorders>
              <w:top w:val="single" w:color="000000" w:sz="4" w:space="0"/>
              <w:left w:val="single" w:color="000000" w:sz="6"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1.5</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r>
      <w:tr>
        <w:trPr>
          <w:trHeight w:val="407"/>
        </w:trPr>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bidi="ar-SA"/>
              </w:rPr>
            </w:pPr>
            <w:r>
              <w:rPr>
                <w:rFonts w:ascii="Arial" w:hAnsi="Arial" w:eastAsia="仿宋_GB2312" w:cs="Arial"/>
                <w:color w:val="000000"/>
                <w:szCs w:val="21"/>
                <w:lang w:bidi="ar-SA"/>
              </w:rPr>
              <w:t xml:space="preserve">合 计</w:t>
            </w:r>
            <w:r>
              <w:rPr>
                <w:rFonts w:ascii="Arial" w:hAnsi="Arial" w:eastAsia="仿宋" w:cs="Arial"/>
                <w:color w:val="000000"/>
                <w:szCs w:val="21"/>
                <w:lang w:bidi="ar-SA"/>
              </w:rPr>
            </w:r>
            <w:r>
              <w:rPr>
                <w:rFonts w:ascii="Arial" w:hAnsi="Arial" w:eastAsia="仿宋" w:cs="Arial"/>
                <w:color w:val="000000"/>
                <w:szCs w:val="21"/>
                <w:lang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29.42</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c>
          <w:tcPr>
            <w:tcBorders>
              <w:top w:val="single" w:color="000000" w:sz="4" w:space="0"/>
              <w:left w:val="single" w:color="000000" w:sz="4" w:space="0"/>
              <w:bottom w:val="single" w:color="000000" w:sz="4" w:space="0"/>
              <w:right w:val="single" w:color="000000" w:sz="4" w:space="0"/>
            </w:tcBorders>
            <w:tcW w:w="2916" w:type="dxa"/>
            <w:vAlign w:val="top"/>
            <w:textDirection w:val="lrTb"/>
            <w:noWrap w:val="false"/>
          </w:tcPr>
          <w:p>
            <w:pPr>
              <w:pStyle w:val="934"/>
              <w:pageBreakBefore w:val="false"/>
              <w:widowControl w:val="false"/>
              <w:pBdr/>
              <w:spacing w:line="360" w:lineRule="auto"/>
              <w:ind w:firstLine="420"/>
              <w:rPr>
                <w:rFonts w:ascii="Arial" w:hAnsi="Arial" w:eastAsia="仿宋" w:cs="Arial"/>
                <w:color w:val="000000"/>
                <w:szCs w:val="21"/>
                <w:lang w:val="en-US" w:eastAsia="zh-CN" w:bidi="ar-SA"/>
              </w:rPr>
            </w:pPr>
            <w:r>
              <w:rPr>
                <w:rFonts w:ascii="Arial" w:hAnsi="Arial" w:eastAsia="仿宋_GB2312" w:cs="Arial"/>
                <w:color w:val="000000"/>
                <w:szCs w:val="21"/>
                <w:lang w:val="en-US" w:eastAsia="zh-CN" w:bidi="ar-SA"/>
              </w:rPr>
              <w:t xml:space="preserve">10.84</w:t>
            </w:r>
            <w:r>
              <w:rPr>
                <w:rFonts w:ascii="Arial" w:hAnsi="Arial" w:eastAsia="仿宋" w:cs="Arial"/>
                <w:color w:val="000000"/>
                <w:szCs w:val="21"/>
                <w:lang w:val="en-US" w:eastAsia="zh-CN" w:bidi="ar-SA"/>
              </w:rPr>
            </w:r>
            <w:r>
              <w:rPr>
                <w:rFonts w:ascii="Arial" w:hAnsi="Arial" w:eastAsia="仿宋" w:cs="Arial"/>
                <w:color w:val="000000"/>
                <w:szCs w:val="21"/>
                <w:lang w:val="en-US" w:eastAsia="zh-CN" w:bidi="ar-SA"/>
              </w:rPr>
            </w:r>
          </w:p>
        </w:tc>
      </w:tr>
    </w:tbl>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2.6政府采购执行率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通过查阅预决算资料，本年度部门政府采购执行率为100%。</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2.7资金使用合规性。我们认为，项目实施符合财务管理制度规定。</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严格执行项目公示制，根据保机关正常运转，保重点工作投入的指导思想和“量入为出，收支平衡</w:t>
      </w:r>
      <w:r>
        <w:rPr>
          <w:rFonts w:ascii="Arial" w:hAnsi="Arial" w:eastAsia="仿宋_GB2312" w:cs="Arial"/>
          <w:color w:val="000000"/>
          <w:sz w:val="28"/>
          <w:szCs w:val="28"/>
          <w:lang w:bidi="ar-SA"/>
        </w:rPr>
        <w:t xml:space="preserve">”的原则，在规范管理、严格制度上下功夫，严格执行国库集中支付、公务卡消费、差旅费、会议费和政府采购等制度。同时，严格贯彻执行中央八项规定，尽力压缩一般性支出，严格控制三公经费。同时注重财务干部的培养和使用，要求财务和资产管理人员要做到政治上清醒坚定、业务上内行精明、作风上廉洁自律、工作中团结协作，努力打造一只高素质的财务干部队伍。经检查相关收支凭证、资金发放台账和面访等检查，有完整的审批程序，符合项目预算批复的用途。我们认为，资金分配是符合相关管理办法；分配结果合理，分配结果客观、公开、公平、公正。</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2.8预决算信息公开性</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按照预决算信息公开要求，201</w:t>
      </w:r>
      <w:r>
        <w:rPr>
          <w:rFonts w:ascii="Arial" w:hAnsi="Arial" w:eastAsia="仿宋_GB2312" w:cs="Arial"/>
          <w:color w:val="000000"/>
          <w:sz w:val="28"/>
          <w:szCs w:val="28"/>
          <w:lang w:val="en-US" w:eastAsia="zh-CN" w:bidi="ar-SA"/>
        </w:rPr>
        <w:t xml:space="preserve">9</w:t>
      </w:r>
      <w:r>
        <w:rPr>
          <w:rFonts w:ascii="Arial" w:hAnsi="Arial" w:eastAsia="仿宋_GB2312" w:cs="Arial"/>
          <w:color w:val="000000"/>
          <w:sz w:val="28"/>
          <w:szCs w:val="28"/>
          <w:lang w:bidi="ar-SA"/>
        </w:rPr>
        <w:t xml:space="preserve">年预</w:t>
      </w:r>
      <w:r>
        <w:rPr>
          <w:rFonts w:ascii="Arial" w:hAnsi="Arial" w:eastAsia="仿宋_GB2312" w:cs="Arial"/>
          <w:color w:val="000000"/>
          <w:sz w:val="28"/>
          <w:szCs w:val="28"/>
          <w:lang w:eastAsia="zh-CN" w:bidi="ar-SA"/>
        </w:rPr>
        <w:t xml:space="preserve">决</w:t>
      </w:r>
      <w:r>
        <w:rPr>
          <w:rFonts w:ascii="Arial" w:hAnsi="Arial" w:eastAsia="仿宋_GB2312" w:cs="Arial"/>
          <w:color w:val="000000"/>
          <w:sz w:val="28"/>
          <w:szCs w:val="28"/>
          <w:lang w:bidi="ar-SA"/>
        </w:rPr>
        <w:t xml:space="preserve">算在门户网站公告专栏栏目上公开，并对预</w:t>
      </w:r>
      <w:r>
        <w:rPr>
          <w:rFonts w:ascii="Arial" w:hAnsi="Arial" w:eastAsia="仿宋_GB2312" w:cs="Arial"/>
          <w:color w:val="000000"/>
          <w:sz w:val="28"/>
          <w:szCs w:val="28"/>
          <w:lang w:eastAsia="zh-CN" w:bidi="ar-SA"/>
        </w:rPr>
        <w:t xml:space="preserve">决</w:t>
      </w:r>
      <w:r>
        <w:rPr>
          <w:rFonts w:ascii="Arial" w:hAnsi="Arial" w:eastAsia="仿宋_GB2312" w:cs="Arial"/>
          <w:color w:val="000000"/>
          <w:sz w:val="28"/>
          <w:szCs w:val="28"/>
          <w:lang w:bidi="ar-SA"/>
        </w:rPr>
        <w:t xml:space="preserve">算的收入情况、项目支出明细情况都作了相应的说明。</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2.9资产管理安全性</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年末固定资产总额为</w:t>
      </w:r>
      <w:r>
        <w:rPr>
          <w:rFonts w:ascii="Arial" w:hAnsi="Arial" w:eastAsia="仿宋_GB2312" w:cs="Arial"/>
          <w:color w:val="000000"/>
          <w:sz w:val="28"/>
          <w:szCs w:val="28"/>
          <w:lang w:val="en-US" w:eastAsia="zh-CN" w:bidi="ar-SA"/>
        </w:rPr>
        <w:t xml:space="preserve">563.32</w:t>
      </w:r>
      <w:r>
        <w:rPr>
          <w:rFonts w:ascii="Arial" w:hAnsi="Arial" w:eastAsia="仿宋_GB2312" w:cs="Arial"/>
          <w:color w:val="000000"/>
          <w:sz w:val="28"/>
          <w:szCs w:val="28"/>
          <w:lang w:bidi="ar-SA"/>
        </w:rPr>
        <w:t xml:space="preserve">万元，主要包</w:t>
      </w:r>
      <w:r>
        <w:rPr>
          <w:rFonts w:ascii="Arial" w:hAnsi="Arial" w:eastAsia="仿宋_GB2312" w:cs="Arial"/>
          <w:color w:val="000000"/>
          <w:sz w:val="28"/>
          <w:szCs w:val="28"/>
          <w:lang w:eastAsia="zh-CN" w:bidi="ar-SA"/>
        </w:rPr>
        <w:t xml:space="preserve">括</w:t>
      </w:r>
      <w:r>
        <w:rPr>
          <w:rFonts w:ascii="Arial" w:hAnsi="Arial" w:eastAsia="仿宋_GB2312" w:cs="Arial"/>
          <w:color w:val="000000"/>
          <w:sz w:val="28"/>
          <w:szCs w:val="28"/>
          <w:lang w:bidi="ar-SA"/>
        </w:rPr>
        <w:t xml:space="preserve">专用设备、电脑、办公家俱用品等。根据国家有关规定，结合单位实际情况，制定出台了固定资产管理制度，对固定资产的采购、保管、使用、维护、清查盘点、处置等做出详细规定。根据制度，购买固定资产涉及政府采购，均严格实施政府采购，并严格验收；指定专人管理固定资产，正确使用，做好维护维修工作，年底对固定资产进行盘点，并与财务核对，做到账实相符；对固定资产的处置，严格走财政规定的固定资产报废或处置程序。资产运行具有较高的安全性。</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2.10固定资产利用率</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201</w:t>
      </w:r>
      <w:r>
        <w:rPr>
          <w:rFonts w:ascii="Arial" w:hAnsi="Arial" w:eastAsia="仿宋_GB2312" w:cs="Arial"/>
          <w:color w:val="000000"/>
          <w:sz w:val="28"/>
          <w:szCs w:val="28"/>
          <w:lang w:val="en-US" w:eastAsia="zh-CN" w:bidi="ar-SA"/>
        </w:rPr>
        <w:t xml:space="preserve">9</w:t>
      </w:r>
      <w:r>
        <w:rPr>
          <w:rFonts w:ascii="Arial" w:hAnsi="Arial" w:eastAsia="仿宋_GB2312" w:cs="Arial"/>
          <w:color w:val="000000"/>
          <w:sz w:val="28"/>
          <w:szCs w:val="28"/>
          <w:lang w:bidi="ar-SA"/>
        </w:rPr>
        <w:t xml:space="preserve">年末实际在用固定资产总额为</w:t>
      </w:r>
      <w:r>
        <w:rPr>
          <w:rFonts w:ascii="Arial" w:hAnsi="Arial" w:eastAsia="仿宋_GB2312" w:cs="Arial"/>
          <w:color w:val="000000"/>
          <w:sz w:val="28"/>
          <w:szCs w:val="28"/>
          <w:lang w:val="en-US" w:eastAsia="zh-CN" w:bidi="ar-SA"/>
        </w:rPr>
        <w:t xml:space="preserve">563.32</w:t>
      </w:r>
      <w:r>
        <w:rPr>
          <w:rFonts w:ascii="Arial" w:hAnsi="Arial" w:eastAsia="仿宋_GB2312" w:cs="Arial"/>
          <w:color w:val="000000"/>
          <w:sz w:val="28"/>
          <w:szCs w:val="28"/>
          <w:lang w:bidi="ar-SA"/>
        </w:rPr>
        <w:t xml:space="preserve">万元，部门所有固定资产总额为</w:t>
      </w:r>
      <w:r>
        <w:rPr>
          <w:rFonts w:ascii="Arial" w:hAnsi="Arial" w:eastAsia="仿宋_GB2312" w:cs="Arial"/>
          <w:color w:val="000000"/>
          <w:sz w:val="28"/>
          <w:szCs w:val="28"/>
          <w:lang w:val="en-US" w:eastAsia="zh-CN" w:bidi="ar-SA"/>
        </w:rPr>
        <w:t xml:space="preserve">563.32</w:t>
      </w:r>
      <w:r>
        <w:rPr>
          <w:rFonts w:ascii="Arial" w:hAnsi="Arial" w:eastAsia="仿宋_GB2312" w:cs="Arial"/>
          <w:color w:val="000000"/>
          <w:sz w:val="28"/>
          <w:szCs w:val="28"/>
          <w:lang w:bidi="ar-SA"/>
        </w:rPr>
        <w:t xml:space="preserve">万元，固定资产利用率100%。</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3、产出</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bidi="ar-SA"/>
        </w:rPr>
        <w:t xml:space="preserve">201</w:t>
      </w:r>
      <w:r>
        <w:rPr>
          <w:rFonts w:ascii="Arial" w:hAnsi="Arial" w:eastAsia="仿宋_GB2312" w:cs="Arial"/>
          <w:color w:val="000000"/>
          <w:sz w:val="28"/>
          <w:szCs w:val="28"/>
          <w:lang w:val="en-US" w:eastAsia="zh-CN" w:bidi="ar-SA"/>
        </w:rPr>
        <w:t xml:space="preserve">9</w:t>
      </w:r>
      <w:r>
        <w:rPr>
          <w:rFonts w:ascii="Arial" w:hAnsi="Arial" w:eastAsia="仿宋_GB2312" w:cs="Arial"/>
          <w:color w:val="000000"/>
          <w:sz w:val="28"/>
          <w:szCs w:val="28"/>
          <w:lang w:bidi="ar-SA"/>
        </w:rPr>
        <w:t xml:space="preserve">年，</w:t>
      </w:r>
      <w:r>
        <w:rPr>
          <w:rFonts w:ascii="Arial" w:hAnsi="Arial" w:eastAsia="仿宋_GB2312" w:cs="Arial"/>
          <w:color w:val="000000"/>
          <w:sz w:val="28"/>
          <w:szCs w:val="28"/>
          <w:lang w:eastAsia="zh-CN" w:bidi="ar-SA"/>
        </w:rPr>
        <w:t xml:space="preserve">市住建局</w:t>
      </w:r>
      <w:r>
        <w:rPr>
          <w:rFonts w:ascii="Arial" w:hAnsi="Arial" w:eastAsia="仿宋_GB2312" w:cs="Arial"/>
          <w:color w:val="000000"/>
          <w:sz w:val="28"/>
          <w:szCs w:val="28"/>
          <w:lang w:bidi="ar-SA"/>
        </w:rPr>
        <w:t xml:space="preserve">在市委市政府的坚强领导下，</w:t>
      </w:r>
      <w:r>
        <w:rPr>
          <w:rFonts w:ascii="Arial" w:hAnsi="Arial" w:eastAsia="仿宋_GB2312" w:cs="Arial"/>
          <w:color w:val="000000"/>
          <w:sz w:val="28"/>
          <w:szCs w:val="28"/>
          <w:lang w:eastAsia="zh-CN" w:bidi="ar-SA"/>
        </w:rPr>
        <w:t xml:space="preserve">全市住房城乡建设工作的指导思想是：以习近平新时代中国特色社会主义思想为指导，深入贯彻党的十</w:t>
      </w:r>
      <w:r>
        <w:rPr>
          <w:rFonts w:ascii="Arial" w:hAnsi="Arial" w:eastAsia="仿宋_GB2312" w:cs="Arial"/>
          <w:color w:val="000000"/>
          <w:sz w:val="28"/>
          <w:szCs w:val="28"/>
          <w:lang w:eastAsia="zh-CN" w:bidi="ar-SA"/>
        </w:rPr>
        <w:t xml:space="preserve">九大和习近平总书记视察湖北重要讲话精神，按照全省住建工作、全市经济工作会议的总体部署，紧紧围绕市委、市政府确定的打造“生态绿城、文旅名城、产业新城”，建设品质随州的总目标，坚持新发展理念和高质量发展的总要求，突出城镇功能完善、城乡生态环境改善、棚改危改保障等工作重点，着力在“三大攻坚战”“长江大保护九大专项行动”和“四个三重大生态工程”等工作中展现住建作为，以高标准的行业监管和精干务实的干部队伍奋力谱写新时代住建事业高质量发展新篇章，为建设特色产业增长极、构筑鄂北生态屏障和全面建成小康社会收官打下坚实基础。</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bidi="ar-SA"/>
        </w:rPr>
        <w:t xml:space="preserve">3.1.</w:t>
      </w:r>
      <w:r>
        <w:rPr>
          <w:rFonts w:ascii="Arial" w:hAnsi="Arial" w:eastAsia="仿宋_GB2312" w:cs="Arial"/>
          <w:color w:val="000000"/>
          <w:sz w:val="28"/>
          <w:szCs w:val="28"/>
          <w:lang w:eastAsia="zh-CN" w:bidi="ar-SA"/>
        </w:rPr>
        <w:t xml:space="preserve">积极投身“三大攻坚战”“四个三重大生态工程”“长江大保护九大专项行动”，</w:t>
      </w:r>
      <w:r>
        <w:rPr>
          <w:rFonts w:ascii="Arial" w:hAnsi="Arial" w:eastAsia="仿宋_GB2312" w:cs="Arial"/>
          <w:color w:val="000000"/>
          <w:sz w:val="28"/>
          <w:szCs w:val="28"/>
          <w:lang w:val="en-US" w:eastAsia="zh-CN" w:bidi="ar-SA"/>
        </w:rPr>
        <w:t xml:space="preserve">完成实施</w:t>
      </w:r>
      <w:r>
        <w:rPr>
          <w:rFonts w:ascii="Arial" w:hAnsi="Arial" w:eastAsia="仿宋_GB2312" w:cs="Arial"/>
          <w:bCs/>
          <w:color w:val="000000"/>
          <w:sz w:val="28"/>
          <w:szCs w:val="28"/>
          <w:lang w:bidi="ar-SA"/>
        </w:rPr>
        <w:t xml:space="preserve">重点工程建设项目80个，完工23项，在建55项，实现投资45亿元。</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bidi="ar-SA"/>
        </w:rPr>
        <w:t xml:space="preserve">3.2. </w:t>
      </w:r>
      <w:r>
        <w:rPr>
          <w:rFonts w:ascii="Arial" w:hAnsi="Arial" w:eastAsia="仿宋_GB2312" w:cs="Arial"/>
          <w:color w:val="000000"/>
          <w:sz w:val="28"/>
          <w:szCs w:val="28"/>
          <w:lang w:eastAsia="zh-CN" w:bidi="ar-SA"/>
        </w:rPr>
        <w:t xml:space="preserve">市住建局负责实施的21项市政基础设施和公益性项目，完工</w:t>
      </w:r>
      <w:r>
        <w:rPr>
          <w:rFonts w:ascii="Arial" w:hAnsi="Arial" w:eastAsia="仿宋_GB2312" w:cs="Arial"/>
          <w:color w:val="000000"/>
          <w:sz w:val="28"/>
          <w:szCs w:val="28"/>
          <w:lang w:val="en-US" w:eastAsia="zh-CN" w:bidi="ar-SA"/>
        </w:rPr>
        <w:t xml:space="preserve">8</w:t>
      </w:r>
      <w:r>
        <w:rPr>
          <w:rFonts w:ascii="Arial" w:hAnsi="Arial" w:eastAsia="仿宋_GB2312" w:cs="Arial"/>
          <w:color w:val="000000"/>
          <w:sz w:val="28"/>
          <w:szCs w:val="28"/>
          <w:lang w:eastAsia="zh-CN" w:bidi="ar-SA"/>
        </w:rPr>
        <w:t xml:space="preserve">项、在建</w:t>
      </w:r>
      <w:r>
        <w:rPr>
          <w:rFonts w:ascii="Arial" w:hAnsi="Arial" w:eastAsia="仿宋_GB2312" w:cs="Arial"/>
          <w:color w:val="000000"/>
          <w:sz w:val="28"/>
          <w:szCs w:val="28"/>
          <w:lang w:val="en-US" w:eastAsia="zh-CN" w:bidi="ar-SA"/>
        </w:rPr>
        <w:t xml:space="preserve">8</w:t>
      </w:r>
      <w:r>
        <w:rPr>
          <w:rFonts w:ascii="Arial" w:hAnsi="Arial" w:eastAsia="仿宋_GB2312" w:cs="Arial"/>
          <w:color w:val="000000"/>
          <w:sz w:val="28"/>
          <w:szCs w:val="28"/>
          <w:lang w:eastAsia="zh-CN" w:bidi="ar-SA"/>
        </w:rPr>
        <w:t xml:space="preserve">项</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bidi="ar-SA"/>
        </w:rPr>
        <w:t xml:space="preserve">3</w:t>
      </w:r>
      <w:r>
        <w:rPr>
          <w:rFonts w:ascii="Arial" w:hAnsi="Arial" w:eastAsia="仿宋_GB2312" w:cs="Arial"/>
          <w:color w:val="000000"/>
          <w:sz w:val="28"/>
          <w:szCs w:val="28"/>
          <w:lang w:eastAsia="zh-CN" w:bidi="ar-SA"/>
        </w:rPr>
        <w:t xml:space="preserve">.</w:t>
      </w:r>
      <w:r>
        <w:rPr>
          <w:rFonts w:ascii="Arial" w:hAnsi="Arial" w:eastAsia="仿宋_GB2312" w:cs="Arial"/>
          <w:color w:val="000000"/>
          <w:sz w:val="28"/>
          <w:szCs w:val="28"/>
          <w:lang w:val="en-US" w:eastAsia="zh-CN" w:bidi="ar-SA"/>
        </w:rPr>
        <w:t xml:space="preserve">3</w:t>
      </w:r>
      <w:r>
        <w:rPr>
          <w:rFonts w:ascii="Arial" w:hAnsi="Arial" w:eastAsia="仿宋_GB2312" w:cs="Arial"/>
          <w:color w:val="000000"/>
          <w:sz w:val="28"/>
          <w:szCs w:val="28"/>
          <w:lang w:eastAsia="zh-CN" w:bidi="ar-SA"/>
        </w:rPr>
        <w:t xml:space="preserve">.</w:t>
      </w:r>
      <w:r>
        <w:rPr>
          <w:rFonts w:ascii="Arial" w:hAnsi="Arial" w:eastAsia="仿宋_GB2312" w:cs="Arial"/>
          <w:bCs/>
          <w:color w:val="000000"/>
          <w:sz w:val="28"/>
          <w:szCs w:val="28"/>
          <w:lang w:bidi="ar-SA"/>
        </w:rPr>
        <w:t xml:space="preserve">全面启动全市擦亮小城镇行动，随县洪山镇、曾都区府河镇、大洪山长岗镇等3个镇纳入全省首批试点镇。加大历史文化街区和历史建筑保护力度，《随州市历史文化街区和历史建筑保护条例》通过专家评审，草店子街、淅河老街、安居老街等3个街区获批湖北省首批历史文化街区，36处传统民居纳入了市级历史建筑进行保护，历史文化街区、建筑和名镇名村保护工作成效正在逐步显现。</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bidi="ar-SA"/>
        </w:rPr>
        <w:t xml:space="preserve">3.</w:t>
      </w:r>
      <w:r>
        <w:rPr>
          <w:rFonts w:ascii="Arial" w:hAnsi="Arial" w:eastAsia="仿宋_GB2312" w:cs="Arial"/>
          <w:color w:val="000000"/>
          <w:sz w:val="28"/>
          <w:szCs w:val="28"/>
          <w:lang w:val="en-US" w:eastAsia="zh-CN" w:bidi="ar-SA"/>
        </w:rPr>
        <w:t xml:space="preserve">4</w:t>
      </w:r>
      <w:r>
        <w:rPr>
          <w:rFonts w:ascii="Arial" w:hAnsi="Arial" w:eastAsia="仿宋_GB2312" w:cs="Arial"/>
          <w:color w:val="000000"/>
          <w:sz w:val="28"/>
          <w:szCs w:val="28"/>
          <w:lang w:eastAsia="zh-CN" w:bidi="ar-SA"/>
        </w:rPr>
        <w:t xml:space="preserve">.住房保障力度前所未有，</w:t>
      </w:r>
      <w:r>
        <w:rPr>
          <w:rFonts w:ascii="Arial" w:hAnsi="Arial" w:eastAsia="仿宋_GB2312" w:cs="Arial"/>
          <w:color w:val="000000"/>
          <w:sz w:val="28"/>
          <w:szCs w:val="28"/>
          <w:lang w:bidi="ar-SA"/>
        </w:rPr>
        <w:t xml:space="preserve">全市棚户区改造完成3143套，棚户区改造基本建成639套，政府投资公租房分配完成94.25%，租赁补贴发放847户，全面超额完成省定目标任务。</w:t>
      </w:r>
      <w:r>
        <w:rPr>
          <w:rFonts w:ascii="Arial" w:hAnsi="Arial" w:eastAsia="仿宋_GB2312" w:cs="Arial"/>
          <w:color w:val="000000"/>
          <w:sz w:val="28"/>
          <w:szCs w:val="28"/>
          <w:lang w:eastAsia="zh-CN" w:bidi="ar-SA"/>
        </w:rPr>
        <w:t xml:space="preserve">强化房屋征收和房改房政策服务，扎实开展物业市场大整治和白蚁防治专项行动，“红色物业”示范引领实现破冰，小区物业服务规范化建设全面推广，老旧小区改造试点圆满完成。</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bidi="ar-SA"/>
        </w:rPr>
        <w:t xml:space="preserve">3.</w:t>
      </w:r>
      <w:r>
        <w:rPr>
          <w:rFonts w:ascii="Arial" w:hAnsi="Arial" w:eastAsia="仿宋_GB2312" w:cs="Arial"/>
          <w:color w:val="000000"/>
          <w:sz w:val="28"/>
          <w:szCs w:val="28"/>
          <w:lang w:val="en-US" w:eastAsia="zh-CN" w:bidi="ar-SA"/>
        </w:rPr>
        <w:t xml:space="preserve">5</w:t>
      </w:r>
      <w:r>
        <w:rPr>
          <w:rFonts w:ascii="Arial" w:hAnsi="Arial" w:eastAsia="仿宋_GB2312" w:cs="Arial"/>
          <w:color w:val="000000"/>
          <w:sz w:val="28"/>
          <w:szCs w:val="28"/>
          <w:lang w:eastAsia="zh-CN" w:bidi="ar-SA"/>
        </w:rPr>
        <w:t xml:space="preserve">.开展全市黑臭水体再排查，中心城区先后完成</w:t>
      </w:r>
      <w:r>
        <w:rPr>
          <w:rFonts w:ascii="Arial" w:hAnsi="Arial" w:eastAsia="仿宋_GB2312" w:cs="Arial"/>
          <w:color w:val="000000"/>
          <w:sz w:val="28"/>
          <w:szCs w:val="28"/>
          <w:lang w:val="en-US" w:eastAsia="zh-CN" w:bidi="ar-SA"/>
        </w:rPr>
        <w:t xml:space="preserve">13</w:t>
      </w:r>
      <w:r>
        <w:rPr>
          <w:rFonts w:ascii="Arial" w:hAnsi="Arial" w:eastAsia="仿宋_GB2312" w:cs="Arial"/>
          <w:color w:val="000000"/>
          <w:sz w:val="28"/>
          <w:szCs w:val="28"/>
          <w:lang w:eastAsia="zh-CN" w:bidi="ar-SA"/>
        </w:rPr>
        <w:t xml:space="preserve">条黑臭水体整治任务，全市黑臭水体消除比例达到</w:t>
      </w:r>
      <w:r>
        <w:rPr>
          <w:rFonts w:ascii="Arial" w:hAnsi="Arial" w:eastAsia="仿宋_GB2312" w:cs="Arial"/>
          <w:color w:val="000000"/>
          <w:sz w:val="28"/>
          <w:szCs w:val="28"/>
          <w:lang w:val="en-US" w:eastAsia="zh-CN" w:bidi="ar-SA"/>
        </w:rPr>
        <w:t xml:space="preserve">90</w:t>
      </w:r>
      <w:r>
        <w:rPr>
          <w:rFonts w:ascii="Arial" w:hAnsi="Arial" w:eastAsia="仿宋_GB2312" w:cs="Arial"/>
          <w:color w:val="000000"/>
          <w:sz w:val="28"/>
          <w:szCs w:val="28"/>
          <w:lang w:eastAsia="zh-CN" w:bidi="ar-SA"/>
        </w:rPr>
        <w:t xml:space="preserve">%。污水处理设施安全运行监管得到加强，市本级污水处理厂提标升级改造完工调试，污水集中处理率达到97%，各项运行管理指标均处于全省先进行列</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3.6. 打造“洁美家园”，</w:t>
      </w:r>
      <w:r>
        <w:rPr>
          <w:rFonts w:ascii="Arial" w:hAnsi="Arial" w:eastAsia="仿宋_GB2312" w:cs="Arial"/>
          <w:color w:val="000000"/>
          <w:sz w:val="28"/>
          <w:szCs w:val="28"/>
          <w:lang w:eastAsia="zh-CN" w:bidi="ar-SA"/>
        </w:rPr>
        <w:t xml:space="preserve">推行生活垃圾分类和资源化利用试点的行政村达到56%，37个乡镇生活垃圾填埋场无害化治理和849个村级生活垃圾填埋场基本完成封场，全市56个非正规垃圾堆放点完成整治并报住建部销号，启动区域无害化生活垃圾处理设施建设2座，建成乡镇垃圾中转站37座，新建改建乡镇公厕105座，配备机动收运车161辆、保洁员5038人，初步形成了“户分类、组保洁、村收集、镇转运、县处理”的垃圾收运处理体系</w:t>
      </w:r>
      <w:r>
        <w:rPr>
          <w:rFonts w:ascii="Arial" w:hAnsi="Arial" w:eastAsia="仿宋_GB2312" w:cs="Arial"/>
          <w:color w:val="000000"/>
          <w:sz w:val="28"/>
          <w:szCs w:val="28"/>
          <w:lang w:val="en-US" w:eastAsia="zh-CN" w:bidi="ar-SA"/>
        </w:rPr>
        <w:t xml:space="preserve">.</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3.7.</w:t>
      </w:r>
      <w:r>
        <w:rPr>
          <w:rFonts w:ascii="Arial" w:hAnsi="Arial" w:eastAsia="仿宋_GB2312" w:cs="Arial"/>
          <w:color w:val="000000"/>
          <w:sz w:val="28"/>
          <w:szCs w:val="28"/>
          <w:lang w:bidi="ar-SA"/>
        </w:rPr>
        <w:t xml:space="preserve">强化房地产市场监管，紧紧围绕“稳地价</w:t>
      </w:r>
      <w:r>
        <w:rPr>
          <w:rFonts w:ascii="Arial" w:hAnsi="Arial" w:eastAsia="仿宋_GB2312" w:cs="Arial"/>
          <w:color w:val="000000"/>
          <w:sz w:val="28"/>
          <w:szCs w:val="28"/>
          <w:lang w:bidi="ar-SA"/>
        </w:rPr>
        <w:t xml:space="preserve">、稳房价、稳预期”目标，加大房产物业市场风险排查，开展房产物业市场巡查督查和集中整治，下达整改通知书37份，开展住房租赁中介机构乱象专项整治，取缔房产中介机构7家。强化预售和备案监管，确保中心城区房价稳控在合理区间内，2019年全市新建商品房销售面积完成185万平方米，中心城区商品住房均价控制在5900元/平方米以内。抓紧出台房地产开发项目从规划建设、质量安全监管、预售备案到竣工验收、产权登记等全过程闭合管理机制，从根本上解决涉房涉建信访问题。加快建立和完善政府主导的住房租赁管理服务平台，规范租赁市场秩序。</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3.8</w:t>
      </w:r>
      <w:r>
        <w:rPr>
          <w:rFonts w:ascii="Arial" w:hAnsi="Arial" w:eastAsia="仿宋_GB2312" w:cs="Arial"/>
          <w:color w:val="000000"/>
          <w:sz w:val="28"/>
          <w:szCs w:val="28"/>
          <w:lang w:eastAsia="zh-CN" w:bidi="ar-SA"/>
        </w:rPr>
        <w:t xml:space="preserve">自身建设扎实过硬。强化住建系统党的建设，</w:t>
      </w:r>
      <w:r>
        <w:rPr>
          <w:rFonts w:ascii="Arial" w:hAnsi="Arial" w:eastAsia="仿宋_GB2312" w:cs="Arial"/>
          <w:bCs/>
          <w:color w:val="000000"/>
          <w:sz w:val="28"/>
          <w:szCs w:val="28"/>
          <w:lang w:bidi="ar-SA"/>
        </w:rPr>
        <w:t xml:space="preserve">开展21项专项整治，</w:t>
      </w:r>
      <w:r>
        <w:rPr>
          <w:rFonts w:ascii="Arial" w:hAnsi="Arial" w:eastAsia="仿宋_GB2312" w:cs="Arial"/>
          <w:color w:val="000000"/>
          <w:sz w:val="28"/>
          <w:szCs w:val="28"/>
          <w:lang w:eastAsia="zh-CN" w:bidi="ar-SA"/>
        </w:rPr>
        <w:t xml:space="preserve">切实履行全面从严治党主体责任和党风廉政建设。推进住建系统依法行政建设和行政审批提速，修订完善各类议事规则、规章制度，审核发布各类规范性文件19件，住建系统393个事项清单全部纳入“湖北政务服务网”实行“一网通办”， 22项审批事项全部纳入“双随机、一公开”抽检范围，有效促进了住建系统依法行政的能力和水平。</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p>
      <w:pPr>
        <w:pStyle w:val="934"/>
        <w:keepNext w:val="false"/>
        <w:keepLines w:val="false"/>
        <w:pageBreakBefore w:val="false"/>
        <w:widowControl w:val="false"/>
        <w:pBdr/>
        <w:spacing w:line="520" w:lineRule="exact"/>
        <w:ind w:firstLine="562"/>
        <w:rPr>
          <w:rFonts w:ascii="Arial" w:hAnsi="Arial" w:eastAsia="仿宋_GB2312" w:cs="Arial"/>
          <w:b/>
          <w:bCs/>
          <w:color w:val="000000"/>
          <w:sz w:val="28"/>
          <w:szCs w:val="28"/>
          <w:lang w:bidi="ar-SA"/>
        </w:rPr>
      </w:pPr>
      <w:r>
        <w:rPr>
          <w:rFonts w:ascii="Arial" w:hAnsi="Arial" w:eastAsia="仿宋_GB2312" w:cs="Arial"/>
          <w:b/>
          <w:bCs/>
          <w:color w:val="000000"/>
          <w:sz w:val="28"/>
          <w:szCs w:val="28"/>
          <w:lang w:bidi="ar-SA"/>
        </w:rPr>
        <w:t xml:space="preserve">4</w:t>
      </w:r>
      <w:r>
        <w:rPr>
          <w:rFonts w:ascii="Arial" w:hAnsi="Arial" w:eastAsia="仿宋_GB2312" w:cs="Arial"/>
          <w:b/>
          <w:bCs/>
          <w:color w:val="000000"/>
          <w:sz w:val="28"/>
          <w:szCs w:val="28"/>
          <w:lang w:eastAsia="zh-CN" w:bidi="ar-SA"/>
        </w:rPr>
        <w:t xml:space="preserve">、</w:t>
      </w:r>
      <w:r>
        <w:rPr>
          <w:rFonts w:ascii="Arial" w:hAnsi="Arial" w:eastAsia="仿宋_GB2312" w:cs="Arial"/>
          <w:b/>
          <w:bCs/>
          <w:color w:val="000000"/>
          <w:sz w:val="28"/>
          <w:szCs w:val="28"/>
          <w:lang w:bidi="ar-SA"/>
        </w:rPr>
        <w:t xml:space="preserve">效益</w:t>
      </w:r>
      <w:r>
        <w:rPr>
          <w:rFonts w:ascii="Arial" w:hAnsi="Arial" w:eastAsia="仿宋_GB2312" w:cs="Arial"/>
          <w:b/>
          <w:bCs/>
          <w:color w:val="000000"/>
          <w:sz w:val="28"/>
          <w:szCs w:val="28"/>
          <w:lang w:bidi="ar-SA"/>
        </w:rPr>
      </w:r>
      <w:r>
        <w:rPr>
          <w:rFonts w:ascii="Arial" w:hAnsi="Arial" w:eastAsia="仿宋_GB2312" w:cs="Arial"/>
          <w:b/>
          <w:bCs/>
          <w:color w:val="000000"/>
          <w:sz w:val="28"/>
          <w:szCs w:val="28"/>
          <w:lang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201</w:t>
      </w:r>
      <w:r>
        <w:rPr>
          <w:rFonts w:ascii="Arial" w:hAnsi="Arial" w:eastAsia="仿宋_GB2312" w:cs="Arial"/>
          <w:color w:val="000000"/>
          <w:sz w:val="28"/>
          <w:szCs w:val="28"/>
          <w:lang w:val="en-US" w:eastAsia="zh-CN" w:bidi="ar-SA"/>
        </w:rPr>
        <w:t xml:space="preserve">9</w:t>
      </w:r>
      <w:r>
        <w:rPr>
          <w:rFonts w:ascii="Arial" w:hAnsi="Arial" w:eastAsia="仿宋_GB2312" w:cs="Arial"/>
          <w:color w:val="000000"/>
          <w:sz w:val="28"/>
          <w:szCs w:val="28"/>
          <w:lang w:bidi="ar-SA"/>
        </w:rPr>
        <w:t xml:space="preserve">年</w:t>
      </w:r>
      <w:r>
        <w:rPr>
          <w:rFonts w:ascii="Arial" w:hAnsi="Arial" w:eastAsia="仿宋_GB2312" w:cs="Arial"/>
          <w:color w:val="000000"/>
          <w:sz w:val="28"/>
          <w:szCs w:val="28"/>
          <w:lang w:eastAsia="zh-CN" w:bidi="ar-SA"/>
        </w:rPr>
        <w:t xml:space="preserve">市住建局</w:t>
      </w:r>
      <w:r>
        <w:rPr>
          <w:rFonts w:ascii="Arial" w:hAnsi="Arial" w:eastAsia="仿宋_GB2312" w:cs="Arial"/>
          <w:color w:val="000000"/>
          <w:sz w:val="28"/>
          <w:szCs w:val="28"/>
          <w:lang w:bidi="ar-SA"/>
        </w:rPr>
        <w:t xml:space="preserve">在全体干部职工的共同努力下圆满出色完成了各项工作目标和任务。</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4.1、社会效益：</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eastAsia="zh-CN" w:bidi="ar-SA"/>
        </w:rPr>
        <w:t xml:space="preserve">以提升城市品质、改善城乡环境为重点，聚焦绿色发展、民生保障、环境治理、行业监管等突出问题，务实重行、难中求进，圆满完成了各项目标任务，有力提升了城市和小城镇建管的品质。</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val="en-US" w:eastAsia="zh-CN" w:bidi="ar-SA"/>
        </w:rPr>
        <w:t xml:space="preserve">打造“洁美家园”，促使</w:t>
      </w:r>
      <w:r>
        <w:rPr>
          <w:rFonts w:ascii="Arial" w:hAnsi="Arial" w:eastAsia="仿宋_GB2312" w:cs="Arial"/>
          <w:color w:val="000000"/>
          <w:sz w:val="28"/>
          <w:szCs w:val="28"/>
          <w:lang w:eastAsia="zh-CN" w:bidi="ar-SA"/>
        </w:rPr>
        <w:t xml:space="preserve">全市列入省、市级美丽宜居乡村示范项目达到29个，随县草店柯家寨等4个村先后列入国家传统村落保护名录，全市累计获得省级以上命名的小城镇达到20个、示范村66个。</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bidi="ar-SA"/>
        </w:rPr>
        <w:t xml:space="preserve">行业监管规范有序</w:t>
      </w:r>
      <w:r>
        <w:rPr>
          <w:rFonts w:ascii="Arial" w:hAnsi="Arial" w:eastAsia="仿宋_GB2312" w:cs="Arial"/>
          <w:color w:val="000000"/>
          <w:sz w:val="28"/>
          <w:szCs w:val="28"/>
          <w:lang w:eastAsia="zh-CN" w:bidi="ar-SA"/>
        </w:rPr>
        <w:t xml:space="preserve">。</w:t>
      </w:r>
      <w:r>
        <w:rPr>
          <w:rFonts w:ascii="Arial" w:hAnsi="Arial" w:eastAsia="仿宋_GB2312" w:cs="Arial"/>
          <w:bCs/>
          <w:color w:val="000000"/>
          <w:sz w:val="28"/>
          <w:szCs w:val="28"/>
          <w:lang w:bidi="ar-SA"/>
        </w:rPr>
        <w:t xml:space="preserve">严肃查处房产市场、建筑市场、燃气市场违法违规行为，拖欠工程款和农民工工资问题得到有效治理，违建别墅清理工作不断取得实效，各类违法违规行为得到有力震慑。</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eastAsia="zh-CN" w:bidi="ar-SA"/>
        </w:rPr>
      </w:pPr>
      <w:r>
        <w:rPr>
          <w:rFonts w:ascii="Arial" w:hAnsi="Arial" w:eastAsia="仿宋_GB2312" w:cs="Arial"/>
          <w:color w:val="000000"/>
          <w:sz w:val="28"/>
          <w:szCs w:val="28"/>
          <w:lang w:eastAsia="zh-CN" w:bidi="ar-SA"/>
        </w:rPr>
        <w:t xml:space="preserve">全面推广应用建筑节能和绿色建筑，5个项目获得国家和省级绿色建筑标识，建筑面积38.43万平方米，城市的生态环境得到竞进提质。</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4.2、经济效益</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60" w:lineRule="exact"/>
        <w:ind w:firstLine="560"/>
        <w:jc w:val="both"/>
        <w:rPr>
          <w:rFonts w:ascii="Arial" w:hAnsi="Arial" w:eastAsia="仿宋_GB2312" w:cs="Arial"/>
          <w:color w:val="000000"/>
          <w:sz w:val="28"/>
          <w:szCs w:val="28"/>
          <w:lang w:eastAsia="zh-CN" w:bidi="ar-SA"/>
        </w:rPr>
      </w:pPr>
      <w:r>
        <w:rPr>
          <w:rFonts w:ascii="Arial" w:hAnsi="Arial" w:eastAsia="仿宋_GB2312" w:cs="Arial"/>
          <w:color w:val="000000"/>
          <w:sz w:val="28"/>
          <w:szCs w:val="28"/>
          <w:lang w:val="en-US" w:eastAsia="zh-CN" w:bidi="ar-SA"/>
        </w:rPr>
        <w:t xml:space="preserve">经济效益是长期的。</w:t>
      </w:r>
      <w:r>
        <w:rPr>
          <w:rFonts w:ascii="Arial" w:hAnsi="Arial" w:eastAsia="仿宋_GB2312" w:cs="Arial"/>
          <w:color w:val="000000"/>
          <w:sz w:val="28"/>
          <w:szCs w:val="28"/>
          <w:lang w:eastAsia="zh-CN" w:bidi="ar-SA"/>
        </w:rPr>
        <w:t xml:space="preserve">左岸星城等城市易涝点治理全面完成，城市地下排水管网得到及时疏通，城市防洪排涝能力得到显著增强。加强建设科技创新，建筑废弃物和资源废弃物的综合利用走在全省前列，指导3个建材企业建成废弃建筑模板、建筑垃圾、工业矿渣生产线，并被列入“湖北省建设科技计划项目”。</w:t>
      </w:r>
      <w:r>
        <w:rPr>
          <w:rFonts w:ascii="Arial" w:hAnsi="Arial" w:eastAsia="仿宋_GB2312" w:cs="Arial"/>
          <w:color w:val="000000"/>
          <w:sz w:val="28"/>
          <w:szCs w:val="28"/>
          <w:lang w:eastAsia="zh-CN" w:bidi="ar-SA"/>
        </w:rPr>
      </w:r>
      <w:r>
        <w:rPr>
          <w:rFonts w:ascii="Arial" w:hAnsi="Arial" w:eastAsia="仿宋_GB2312" w:cs="Arial"/>
          <w:color w:val="000000"/>
          <w:sz w:val="28"/>
          <w:szCs w:val="28"/>
          <w:lang w:eastAsia="zh-CN" w:bidi="ar-SA"/>
        </w:rPr>
      </w:r>
    </w:p>
    <w:p>
      <w:pPr>
        <w:pStyle w:val="934"/>
        <w:keepNext w:val="false"/>
        <w:keepLines w:val="false"/>
        <w:pageBreakBefore w:val="false"/>
        <w:widowControl w:val="false"/>
        <w:pBdr/>
        <w:spacing w:line="560" w:lineRule="exact"/>
        <w:ind w:firstLine="562"/>
        <w:jc w:val="both"/>
        <w:rPr>
          <w:rFonts w:ascii="Arial" w:hAnsi="Arial" w:eastAsia="仿宋_GB2312" w:cs="Arial"/>
          <w:b/>
          <w:bCs/>
          <w:color w:val="000000"/>
          <w:sz w:val="28"/>
          <w:szCs w:val="28"/>
          <w:lang w:val="en-US" w:eastAsia="zh-CN" w:bidi="ar-SA"/>
        </w:rPr>
      </w:pPr>
      <w:r>
        <w:rPr>
          <w:rFonts w:ascii="Arial" w:hAnsi="Arial" w:eastAsia="仿宋_GB2312" w:cs="Arial"/>
          <w:b/>
          <w:bCs/>
          <w:color w:val="000000"/>
          <w:sz w:val="28"/>
          <w:szCs w:val="28"/>
          <w:lang w:val="en-US" w:eastAsia="zh-CN" w:bidi="ar-SA"/>
        </w:rPr>
        <w:t xml:space="preserve">4.3社会公众满意度</w:t>
      </w:r>
      <w:r>
        <w:rPr>
          <w:rFonts w:ascii="Arial" w:hAnsi="Arial" w:eastAsia="仿宋_GB2312" w:cs="Arial"/>
          <w:b/>
          <w:bCs/>
          <w:color w:val="000000"/>
          <w:sz w:val="28"/>
          <w:szCs w:val="28"/>
          <w:lang w:val="en-US" w:eastAsia="zh-CN" w:bidi="ar-SA"/>
        </w:rPr>
      </w:r>
      <w:r>
        <w:rPr>
          <w:rFonts w:ascii="Arial" w:hAnsi="Arial" w:eastAsia="仿宋_GB2312" w:cs="Arial"/>
          <w:b/>
          <w:bCs/>
          <w:color w:val="000000"/>
          <w:sz w:val="28"/>
          <w:szCs w:val="28"/>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lang w:bidi="ar-SA"/>
        </w:rPr>
      </w:pPr>
      <w:r>
        <w:rPr>
          <w:rFonts w:ascii="Arial" w:hAnsi="Arial" w:eastAsia="仿宋_GB2312" w:cs="Arial"/>
          <w:color w:val="000000"/>
          <w:sz w:val="28"/>
          <w:szCs w:val="28"/>
          <w:lang w:eastAsia="zh-CN" w:bidi="ar-SA"/>
        </w:rPr>
        <w:t xml:space="preserve">社</w:t>
      </w:r>
      <w:r>
        <w:rPr>
          <w:rFonts w:ascii="Arial" w:hAnsi="Arial" w:eastAsia="仿宋_GB2312" w:cs="Arial"/>
          <w:color w:val="000000"/>
          <w:sz w:val="28"/>
          <w:szCs w:val="28"/>
          <w:lang w:bidi="ar-SA"/>
        </w:rPr>
        <w:t xml:space="preserve">会公众综合满意度95%。</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keepNext w:val="false"/>
        <w:keepLines w:val="false"/>
        <w:pageBreakBefore w:val="false"/>
        <w:widowControl w:val="false"/>
        <w:pBdr/>
        <w:spacing w:line="520" w:lineRule="exact"/>
        <w:ind w:firstLine="560"/>
        <w:rPr>
          <w:rFonts w:hint="eastAsia" w:ascii="黑体" w:hAnsi="黑体" w:eastAsia="黑体" w:cs="黑体"/>
          <w:color w:val="000000"/>
          <w:sz w:val="28"/>
          <w:szCs w:val="28"/>
          <w:highlight w:val="none"/>
          <w:lang w:bidi="ar-SA"/>
        </w:rPr>
      </w:pPr>
      <w:r>
        <w:rPr>
          <w:rFonts w:hint="eastAsia" w:ascii="黑体" w:hAnsi="黑体" w:eastAsia="黑体" w:cs="黑体"/>
          <w:color w:val="000000"/>
          <w:sz w:val="28"/>
          <w:szCs w:val="28"/>
          <w:highlight w:val="none"/>
          <w:lang w:bidi="ar-SA"/>
        </w:rPr>
        <w:t xml:space="preserve">四、下一步工作安排</w:t>
      </w:r>
      <w:r>
        <w:rPr>
          <w:rFonts w:hint="eastAsia" w:ascii="黑体" w:hAnsi="黑体" w:eastAsia="黑体" w:cs="黑体"/>
          <w:color w:val="000000"/>
          <w:sz w:val="28"/>
          <w:szCs w:val="28"/>
          <w:highlight w:val="none"/>
          <w:lang w:bidi="ar-SA"/>
        </w:rPr>
      </w:r>
      <w:r>
        <w:rPr>
          <w:rFonts w:hint="eastAsia" w:ascii="黑体" w:hAnsi="黑体" w:eastAsia="黑体" w:cs="黑体"/>
          <w:color w:val="000000"/>
          <w:sz w:val="28"/>
          <w:szCs w:val="28"/>
          <w:highlight w:val="none"/>
          <w:lang w:bidi="ar-SA"/>
        </w:rPr>
      </w:r>
    </w:p>
    <w:p>
      <w:pPr>
        <w:pStyle w:val="934"/>
        <w:keepNext w:val="false"/>
        <w:keepLines w:val="false"/>
        <w:pageBreakBefore w:val="false"/>
        <w:widowControl w:val="false"/>
        <w:pBdr/>
        <w:spacing w:line="520" w:lineRule="exact"/>
        <w:ind w:firstLine="560"/>
        <w:rPr>
          <w:rFonts w:hint="eastAsia" w:ascii="楷体_GB2312" w:hAnsi="楷体_GB2312" w:eastAsia="楷体_GB2312" w:cs="楷体_GB2312"/>
          <w:b w:val="0"/>
          <w:bCs w:val="0"/>
          <w:color w:val="000000"/>
          <w:sz w:val="28"/>
          <w:szCs w:val="28"/>
          <w:highlight w:val="none"/>
          <w:lang w:bidi="ar-SA"/>
        </w:rPr>
      </w:pPr>
      <w:r>
        <w:rPr>
          <w:rFonts w:hint="eastAsia" w:ascii="楷体_GB2312" w:hAnsi="楷体_GB2312" w:eastAsia="楷体_GB2312" w:cs="楷体_GB2312"/>
          <w:b w:val="0"/>
          <w:bCs w:val="0"/>
          <w:color w:val="000000"/>
          <w:sz w:val="28"/>
          <w:szCs w:val="28"/>
          <w:highlight w:val="none"/>
          <w:lang w:bidi="ar-SA"/>
        </w:rPr>
        <w:t xml:space="preserve">（一）改进下一步工作的措施</w:t>
      </w:r>
      <w:r>
        <w:rPr>
          <w:rFonts w:hint="eastAsia" w:ascii="楷体_GB2312" w:hAnsi="楷体_GB2312" w:eastAsia="楷体_GB2312" w:cs="楷体_GB2312"/>
          <w:b w:val="0"/>
          <w:bCs w:val="0"/>
          <w:color w:val="000000"/>
          <w:sz w:val="28"/>
          <w:szCs w:val="28"/>
          <w:highlight w:val="none"/>
          <w:lang w:bidi="ar-SA"/>
        </w:rPr>
      </w:r>
      <w:r>
        <w:rPr>
          <w:rFonts w:hint="eastAsia" w:ascii="楷体_GB2312" w:hAnsi="楷体_GB2312" w:eastAsia="楷体_GB2312" w:cs="楷体_GB2312"/>
          <w:b w:val="0"/>
          <w:bCs w:val="0"/>
          <w:color w:val="000000"/>
          <w:sz w:val="28"/>
          <w:szCs w:val="28"/>
          <w:highlight w:val="none"/>
          <w:lang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highlight w:val="none"/>
          <w:lang w:val="en-US" w:eastAsia="zh-CN" w:bidi="ar-SA"/>
        </w:rPr>
      </w:pPr>
      <w:r>
        <w:rPr>
          <w:rFonts w:ascii="Arial" w:hAnsi="Arial" w:eastAsia="仿宋_GB2312" w:cs="Arial"/>
          <w:color w:val="000000"/>
          <w:sz w:val="28"/>
          <w:szCs w:val="28"/>
          <w:highlight w:val="none"/>
          <w:lang w:bidi="ar-SA"/>
        </w:rPr>
        <w:t xml:space="preserve">1、</w:t>
      </w:r>
      <w:r>
        <w:rPr>
          <w:rFonts w:ascii="Arial" w:hAnsi="Arial" w:eastAsia="仿宋_GB2312" w:cs="Arial"/>
          <w:b/>
          <w:bCs/>
          <w:color w:val="000000"/>
          <w:sz w:val="28"/>
          <w:szCs w:val="28"/>
          <w:highlight w:val="none"/>
          <w:lang w:val="en-US" w:eastAsia="zh-CN" w:bidi="ar-SA"/>
        </w:rPr>
        <w:t xml:space="preserve">加强预算编制，提高预算科学性，以进一步提财政资金的使用效益；</w:t>
      </w:r>
      <w:r>
        <w:rPr>
          <w:rFonts w:ascii="Arial" w:hAnsi="Arial" w:eastAsia="仿宋_GB2312" w:cs="Arial"/>
          <w:color w:val="000000"/>
          <w:sz w:val="28"/>
          <w:szCs w:val="28"/>
          <w:highlight w:val="none"/>
          <w:lang w:val="en-US" w:eastAsia="zh-CN" w:bidi="ar-SA"/>
        </w:rPr>
        <w:t xml:space="preserve">预算编报测算不准确，申报预算资金时未结合本年工作计划与上年实际执行情况对本年度公用经费明细、项目支出金额进行合理测算，造成预算编制与实际使用情况相差较大。  </w:t>
      </w:r>
      <w:r>
        <w:rPr>
          <w:rFonts w:ascii="Arial" w:hAnsi="Arial" w:eastAsia="仿宋_GB2312" w:cs="Arial"/>
          <w:color w:val="000000"/>
          <w:sz w:val="28"/>
          <w:szCs w:val="28"/>
          <w:highlight w:val="none"/>
          <w:lang w:val="en-US" w:eastAsia="zh-CN" w:bidi="ar-SA"/>
        </w:rPr>
      </w:r>
      <w:r>
        <w:rPr>
          <w:rFonts w:ascii="Arial" w:hAnsi="Arial" w:eastAsia="仿宋_GB2312" w:cs="Arial"/>
          <w:color w:val="000000"/>
          <w:sz w:val="28"/>
          <w:szCs w:val="28"/>
          <w:highlight w:val="none"/>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highlight w:val="none"/>
          <w:lang w:val="en-US" w:eastAsia="zh-CN" w:bidi="ar-SA"/>
        </w:rPr>
      </w:pPr>
      <w:r>
        <w:rPr>
          <w:rFonts w:ascii="Arial" w:hAnsi="Arial" w:eastAsia="仿宋_GB2312" w:cs="Arial"/>
          <w:color w:val="000000"/>
          <w:sz w:val="28"/>
          <w:szCs w:val="28"/>
          <w:highlight w:val="none"/>
          <w:lang w:val="en-US" w:eastAsia="zh-CN" w:bidi="ar-SA"/>
        </w:rPr>
        <w:t xml:space="preserve">2、</w:t>
      </w:r>
      <w:r>
        <w:rPr>
          <w:rFonts w:ascii="Arial" w:hAnsi="Arial" w:eastAsia="仿宋_GB2312" w:cs="Arial"/>
          <w:b/>
          <w:bCs/>
          <w:color w:val="000000"/>
          <w:sz w:val="28"/>
          <w:szCs w:val="28"/>
          <w:highlight w:val="none"/>
          <w:lang w:val="en-US" w:eastAsia="zh-CN" w:bidi="ar-SA"/>
        </w:rPr>
        <w:t xml:space="preserve">加强业务工作资料的留痕管理</w:t>
      </w:r>
      <w:r>
        <w:rPr>
          <w:rFonts w:ascii="Arial" w:hAnsi="Arial" w:eastAsia="仿宋_GB2312" w:cs="Arial"/>
          <w:color w:val="000000"/>
          <w:sz w:val="28"/>
          <w:szCs w:val="28"/>
          <w:highlight w:val="none"/>
          <w:lang w:val="en-US" w:eastAsia="zh-CN" w:bidi="ar-SA"/>
        </w:rPr>
        <w:t xml:space="preserve">。根据开展工作的实际情况形成相应的工作成果及总结，对开展工作的具体情况进行拍照和文字记录等，有利于人员考核和后期评价。</w:t>
      </w:r>
      <w:r>
        <w:rPr>
          <w:rFonts w:ascii="Arial" w:hAnsi="Arial" w:eastAsia="仿宋_GB2312" w:cs="Arial"/>
          <w:color w:val="000000"/>
          <w:sz w:val="28"/>
          <w:szCs w:val="28"/>
          <w:highlight w:val="none"/>
          <w:lang w:val="en-US" w:eastAsia="zh-CN" w:bidi="ar-SA"/>
        </w:rPr>
      </w:r>
      <w:r>
        <w:rPr>
          <w:rFonts w:ascii="Arial" w:hAnsi="Arial" w:eastAsia="仿宋_GB2312" w:cs="Arial"/>
          <w:color w:val="000000"/>
          <w:sz w:val="28"/>
          <w:szCs w:val="28"/>
          <w:highlight w:val="none"/>
          <w:lang w:val="en-US" w:eastAsia="zh-CN" w:bidi="ar-SA"/>
        </w:rPr>
      </w:r>
    </w:p>
    <w:p>
      <w:pPr>
        <w:pStyle w:val="934"/>
        <w:keepNext w:val="false"/>
        <w:keepLines w:val="false"/>
        <w:pageBreakBefore w:val="false"/>
        <w:widowControl w:val="false"/>
        <w:pBdr/>
        <w:spacing w:line="520" w:lineRule="exact"/>
        <w:ind w:firstLine="560"/>
        <w:rPr>
          <w:rFonts w:ascii="Arial" w:hAnsi="Arial" w:eastAsia="仿宋_GB2312" w:cs="Arial"/>
          <w:color w:val="000000"/>
          <w:sz w:val="28"/>
          <w:szCs w:val="28"/>
          <w:highlight w:val="none"/>
          <w:lang w:val="en-US" w:eastAsia="zh-CN" w:bidi="ar-SA"/>
        </w:rPr>
      </w:pPr>
      <w:r>
        <w:rPr>
          <w:rFonts w:ascii="Arial" w:hAnsi="Arial" w:eastAsia="仿宋_GB2312" w:cs="Arial"/>
          <w:color w:val="000000"/>
          <w:sz w:val="28"/>
          <w:szCs w:val="28"/>
          <w:highlight w:val="none"/>
          <w:lang w:val="en-US" w:eastAsia="zh-CN" w:bidi="ar-SA"/>
        </w:rPr>
        <w:t xml:space="preserve">3、</w:t>
      </w:r>
      <w:r>
        <w:rPr>
          <w:rFonts w:ascii="Arial" w:hAnsi="Arial" w:eastAsia="仿宋_GB2312" w:cs="Arial"/>
          <w:b/>
          <w:bCs/>
          <w:color w:val="000000"/>
          <w:sz w:val="28"/>
          <w:szCs w:val="28"/>
          <w:highlight w:val="none"/>
          <w:lang w:val="en-US" w:eastAsia="zh-CN" w:bidi="ar-SA"/>
        </w:rPr>
        <w:t xml:space="preserve">完善项目绩效评价体系，建立健全绩效评价工作机制。</w:t>
      </w:r>
      <w:r>
        <w:rPr>
          <w:rFonts w:ascii="Arial" w:hAnsi="Arial" w:eastAsia="仿宋_GB2312" w:cs="Arial"/>
          <w:color w:val="000000"/>
          <w:sz w:val="28"/>
          <w:szCs w:val="28"/>
          <w:highlight w:val="none"/>
          <w:lang w:val="en-US" w:eastAsia="zh-CN" w:bidi="ar-SA"/>
        </w:rPr>
        <w:t xml:space="preserve">将绩效目标分解为清晰、可衡量的指标，确定年初目标值，从定性和定量两个方面评价和分析项目实施情况和资金使用效益。</w:t>
      </w:r>
      <w:r>
        <w:rPr>
          <w:rFonts w:ascii="Arial" w:hAnsi="Arial" w:eastAsia="仿宋_GB2312" w:cs="Arial"/>
          <w:color w:val="000000"/>
          <w:sz w:val="28"/>
          <w:szCs w:val="28"/>
          <w:highlight w:val="none"/>
          <w:lang w:val="en-US" w:eastAsia="zh-CN" w:bidi="ar-SA"/>
        </w:rPr>
      </w:r>
      <w:r>
        <w:rPr>
          <w:rFonts w:ascii="Arial" w:hAnsi="Arial" w:eastAsia="仿宋_GB2312" w:cs="Arial"/>
          <w:color w:val="000000"/>
          <w:sz w:val="28"/>
          <w:szCs w:val="28"/>
          <w:highlight w:val="none"/>
          <w:lang w:val="en-US" w:eastAsia="zh-CN" w:bidi="ar-SA"/>
        </w:rPr>
      </w:r>
    </w:p>
    <w:p>
      <w:pPr>
        <w:pStyle w:val="934"/>
        <w:keepNext w:val="false"/>
        <w:keepLines w:val="false"/>
        <w:pageBreakBefore w:val="false"/>
        <w:widowControl w:val="false"/>
        <w:pBdr/>
        <w:spacing w:line="520" w:lineRule="exact"/>
        <w:ind w:firstLine="560"/>
        <w:rPr>
          <w:rFonts w:hint="eastAsia" w:ascii="黑体" w:hAnsi="黑体" w:eastAsia="黑体" w:cs="黑体"/>
          <w:color w:val="000000"/>
          <w:sz w:val="28"/>
          <w:szCs w:val="28"/>
          <w:highlight w:val="none"/>
          <w:lang w:val="en-US" w:eastAsia="zh-CN" w:bidi="ar-SA"/>
        </w:rPr>
      </w:pPr>
      <w:r>
        <w:rPr>
          <w:rFonts w:hint="eastAsia" w:ascii="黑体" w:hAnsi="黑体" w:eastAsia="黑体" w:cs="黑体"/>
          <w:color w:val="000000"/>
          <w:sz w:val="28"/>
          <w:szCs w:val="28"/>
          <w:highlight w:val="none"/>
          <w:lang w:val="en-US" w:eastAsia="zh-CN" w:bidi="ar-SA"/>
        </w:rPr>
        <w:t xml:space="preserve">五、其他需说明的事项</w:t>
      </w:r>
      <w:r>
        <w:rPr>
          <w:rFonts w:hint="eastAsia" w:ascii="黑体" w:hAnsi="黑体" w:eastAsia="黑体" w:cs="黑体"/>
          <w:color w:val="000000"/>
          <w:sz w:val="28"/>
          <w:szCs w:val="28"/>
          <w:highlight w:val="none"/>
          <w:lang w:val="en-US" w:eastAsia="zh-CN" w:bidi="ar-SA"/>
        </w:rPr>
      </w:r>
      <w:r>
        <w:rPr>
          <w:rFonts w:hint="eastAsia" w:ascii="黑体" w:hAnsi="黑体" w:eastAsia="黑体" w:cs="黑体"/>
          <w:color w:val="000000"/>
          <w:sz w:val="28"/>
          <w:szCs w:val="28"/>
          <w:highlight w:val="none"/>
          <w:lang w:val="en-US" w:eastAsia="zh-CN" w:bidi="ar-SA"/>
        </w:rPr>
      </w:r>
    </w:p>
    <w:p>
      <w:pPr>
        <w:pStyle w:val="934"/>
        <w:keepNext w:val="false"/>
        <w:keepLines w:val="false"/>
        <w:pageBreakBefore w:val="false"/>
        <w:widowControl w:val="false"/>
        <w:pBdr/>
        <w:spacing w:line="520" w:lineRule="exact"/>
        <w:ind w:firstLine="479"/>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无其他需说明的事项。</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pageBreakBefore w:val="false"/>
        <w:widowControl w:val="false"/>
        <w:pBdr/>
        <w:spacing w:line="560" w:lineRule="exact"/>
        <w:ind w:firstLine="479"/>
        <w:rPr>
          <w:rFonts w:ascii="Arial" w:hAnsi="Arial" w:eastAsia="仿宋_GB2312" w:cs="Arial"/>
          <w:color w:val="000000"/>
          <w:sz w:val="28"/>
          <w:szCs w:val="28"/>
          <w:lang w:bidi="ar-SA"/>
        </w:rPr>
      </w:pPr>
      <w:r>
        <w:rPr>
          <w:rFonts w:ascii="Arial" w:hAnsi="Arial" w:eastAsia="仿宋_GB2312" w:cs="Arial"/>
          <w:color w:val="000000"/>
          <w:sz w:val="28"/>
          <w:szCs w:val="28"/>
          <w:lang w:bidi="ar-SA"/>
        </w:rPr>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pageBreakBefore w:val="false"/>
        <w:widowControl w:val="false"/>
        <w:pBdr/>
        <w:spacing w:line="560" w:lineRule="exact"/>
        <w:ind w:firstLine="560"/>
        <w:rPr>
          <w:rFonts w:ascii="Arial" w:hAnsi="Arial" w:eastAsia="仿宋_GB2312" w:cs="Arial"/>
          <w:color w:val="000000"/>
          <w:sz w:val="28"/>
          <w:szCs w:val="28"/>
          <w:highlight w:val="none"/>
          <w:lang w:val="en-US" w:eastAsia="zh-CN" w:bidi="ar-SA"/>
        </w:rPr>
      </w:pPr>
      <w:r>
        <w:rPr>
          <w:rFonts w:ascii="Arial" w:hAnsi="Arial" w:eastAsia="仿宋_GB2312" w:cs="Arial"/>
          <w:color w:val="000000"/>
          <w:sz w:val="28"/>
          <w:szCs w:val="28"/>
          <w:lang w:bidi="ar-SA"/>
        </w:rPr>
        <w:t xml:space="preserve">附件1：</w:t>
      </w:r>
      <w:r>
        <w:rPr>
          <w:rFonts w:ascii="Arial" w:hAnsi="Arial" w:eastAsia="仿宋_GB2312" w:cs="Arial"/>
          <w:color w:val="000000"/>
          <w:sz w:val="28"/>
          <w:szCs w:val="28"/>
          <w:highlight w:val="none"/>
          <w:lang w:val="en-US" w:eastAsia="zh-CN" w:bidi="ar-SA"/>
        </w:rPr>
        <w:t xml:space="preserve">随州市住房和城乡建设局2019年整体支出绩效自评表</w:t>
      </w:r>
      <w:r>
        <w:rPr>
          <w:rFonts w:ascii="Arial" w:hAnsi="Arial" w:eastAsia="仿宋_GB2312" w:cs="Arial"/>
          <w:color w:val="000000"/>
          <w:sz w:val="28"/>
          <w:szCs w:val="28"/>
          <w:highlight w:val="none"/>
          <w:lang w:val="en-US" w:eastAsia="zh-CN" w:bidi="ar-SA"/>
        </w:rPr>
      </w:r>
      <w:r>
        <w:rPr>
          <w:rFonts w:ascii="Arial" w:hAnsi="Arial" w:eastAsia="仿宋_GB2312" w:cs="Arial"/>
          <w:color w:val="000000"/>
          <w:sz w:val="28"/>
          <w:szCs w:val="28"/>
          <w:highlight w:val="none"/>
          <w:lang w:val="en-US" w:eastAsia="zh-CN" w:bidi="ar-SA"/>
        </w:rPr>
      </w:r>
    </w:p>
    <w:p>
      <w:pPr>
        <w:pStyle w:val="934"/>
        <w:pageBreakBefore w:val="false"/>
        <w:widowControl w:val="false"/>
        <w:pBdr/>
        <w:spacing w:line="560" w:lineRule="exact"/>
        <w:ind/>
        <w:rPr>
          <w:rFonts w:ascii="Arial" w:hAnsi="Arial" w:eastAsia="仿宋_GB2312" w:cs="Arial"/>
          <w:color w:val="000000"/>
          <w:sz w:val="28"/>
          <w:szCs w:val="28"/>
          <w:lang w:bidi="ar-SA"/>
        </w:rPr>
      </w:pPr>
      <w:r>
        <w:rPr>
          <w:rFonts w:ascii="Arial" w:hAnsi="Arial" w:eastAsia="仿宋_GB2312" w:cs="Arial"/>
          <w:color w:val="000000"/>
          <w:sz w:val="28"/>
          <w:szCs w:val="28"/>
          <w:lang w:bidi="ar-SA"/>
        </w:rPr>
        <w:t xml:space="preserve">    </w:t>
      </w:r>
      <w:r>
        <w:rPr>
          <w:rFonts w:ascii="Arial" w:hAnsi="Arial" w:eastAsia="仿宋_GB2312" w:cs="Arial"/>
          <w:color w:val="000000"/>
          <w:sz w:val="28"/>
          <w:szCs w:val="28"/>
          <w:lang w:bidi="ar-SA"/>
        </w:rPr>
      </w:r>
      <w:r>
        <w:rPr>
          <w:rFonts w:ascii="Arial" w:hAnsi="Arial" w:eastAsia="仿宋_GB2312" w:cs="Arial"/>
          <w:color w:val="000000"/>
          <w:sz w:val="28"/>
          <w:szCs w:val="28"/>
          <w:lang w:bidi="ar-SA"/>
        </w:rPr>
      </w:r>
    </w:p>
    <w:p>
      <w:pPr>
        <w:pStyle w:val="934"/>
        <w:pageBreakBefore w:val="false"/>
        <w:widowControl w:val="false"/>
        <w:pBdr/>
        <w:spacing w:line="560" w:lineRule="exact"/>
        <w:ind w:firstLine="560"/>
        <w:rPr>
          <w:rFonts w:ascii="Arial" w:hAnsi="Arial" w:eastAsia="仿宋_GB2312" w:cs="Arial"/>
          <w:color w:val="000000"/>
          <w:sz w:val="28"/>
          <w:szCs w:val="28"/>
          <w:highlight w:val="red"/>
          <w:lang w:bidi="ar-SA"/>
        </w:rPr>
      </w:pPr>
      <w:r>
        <w:rPr>
          <w:rFonts w:ascii="Arial" w:hAnsi="Arial" w:eastAsia="仿宋_GB2312" w:cs="Arial"/>
          <w:color w:val="000000"/>
          <w:sz w:val="28"/>
          <w:szCs w:val="28"/>
          <w:highlight w:val="red"/>
          <w:lang w:bidi="ar-SA"/>
        </w:rPr>
      </w:r>
      <w:r>
        <w:rPr>
          <w:rFonts w:ascii="Arial" w:hAnsi="Arial" w:eastAsia="仿宋_GB2312" w:cs="Arial"/>
          <w:color w:val="000000"/>
          <w:sz w:val="28"/>
          <w:szCs w:val="28"/>
          <w:highlight w:val="red"/>
          <w:lang w:bidi="ar-SA"/>
        </w:rPr>
      </w:r>
      <w:r>
        <w:rPr>
          <w:rFonts w:ascii="Arial" w:hAnsi="Arial" w:eastAsia="仿宋_GB2312" w:cs="Arial"/>
          <w:color w:val="000000"/>
          <w:sz w:val="28"/>
          <w:szCs w:val="28"/>
          <w:highlight w:val="red"/>
          <w:lang w:bidi="ar-SA"/>
        </w:rPr>
      </w:r>
    </w:p>
    <w:p>
      <w:pPr>
        <w:pStyle w:val="934"/>
        <w:pageBreakBefore w:val="false"/>
        <w:widowControl w:val="false"/>
        <w:pBdr/>
        <w:spacing w:line="700" w:lineRule="exact"/>
        <w:ind w:firstLine="5320"/>
        <w:rPr>
          <w:rFonts w:ascii="Arial" w:hAnsi="Arial" w:eastAsia="仿宋_GB2312" w:cs="Arial"/>
          <w:color w:val="000000"/>
          <w:sz w:val="28"/>
          <w:szCs w:val="28"/>
          <w:highlight w:val="none"/>
          <w:lang w:val="en-US" w:eastAsia="zh-CN" w:bidi="ar-SA"/>
        </w:rPr>
      </w:pPr>
      <w:r>
        <w:rPr>
          <w:rFonts w:ascii="Arial" w:hAnsi="Arial" w:eastAsia="仿宋_GB2312" w:cs="Arial"/>
          <w:color w:val="000000"/>
          <w:sz w:val="28"/>
          <w:szCs w:val="28"/>
          <w:highlight w:val="none"/>
          <w:lang w:val="en-US" w:eastAsia="zh-CN" w:bidi="ar-SA"/>
        </w:rPr>
        <w:t xml:space="preserve">随州市住房和城乡建设局</w:t>
      </w:r>
      <w:r>
        <w:rPr>
          <w:rFonts w:ascii="Arial" w:hAnsi="Arial" w:eastAsia="仿宋_GB2312" w:cs="Arial"/>
          <w:color w:val="000000"/>
          <w:sz w:val="28"/>
          <w:szCs w:val="28"/>
          <w:highlight w:val="none"/>
          <w:lang w:val="en-US" w:eastAsia="zh-CN" w:bidi="ar-SA"/>
        </w:rPr>
      </w:r>
      <w:r>
        <w:rPr>
          <w:rFonts w:ascii="Arial" w:hAnsi="Arial" w:eastAsia="仿宋_GB2312" w:cs="Arial"/>
          <w:color w:val="000000"/>
          <w:sz w:val="28"/>
          <w:szCs w:val="28"/>
          <w:highlight w:val="none"/>
          <w:lang w:val="en-US" w:eastAsia="zh-CN" w:bidi="ar-SA"/>
        </w:rPr>
      </w:r>
    </w:p>
    <w:p>
      <w:pPr>
        <w:pStyle w:val="934"/>
        <w:pageBreakBefore w:val="false"/>
        <w:widowControl w:val="false"/>
        <w:pBdr/>
        <w:spacing w:line="700" w:lineRule="exact"/>
        <w:ind w:firstLine="560"/>
        <w:jc w:val="center"/>
        <w:rPr>
          <w:rFonts w:ascii="Arial" w:hAnsi="Arial" w:eastAsia="仿宋_GB2312" w:cs="Arial"/>
          <w:color w:val="000000"/>
          <w:sz w:val="28"/>
          <w:szCs w:val="28"/>
          <w:lang w:val="en-US" w:eastAsia="zh-CN" w:bidi="ar-SA"/>
        </w:rPr>
      </w:pPr>
      <w:r>
        <w:rPr>
          <w:rFonts w:ascii="Arial" w:hAnsi="Arial" w:eastAsia="仿宋_GB2312" w:cs="Arial"/>
          <w:color w:val="000000"/>
          <w:sz w:val="28"/>
          <w:szCs w:val="28"/>
          <w:lang w:val="en-US" w:eastAsia="zh-CN" w:bidi="ar-SA"/>
        </w:rPr>
        <w:t xml:space="preserve">                                  </w:t>
      </w:r>
      <w:r>
        <w:rPr>
          <w:rFonts w:ascii="Arial" w:hAnsi="Arial" w:eastAsia="仿宋_GB2312" w:cs="Arial"/>
          <w:color w:val="000000"/>
          <w:sz w:val="28"/>
          <w:szCs w:val="28"/>
          <w:lang w:bidi="ar-SA"/>
        </w:rPr>
        <w:t xml:space="preserve">20</w:t>
      </w:r>
      <w:r>
        <w:rPr>
          <w:rFonts w:ascii="Arial" w:hAnsi="Arial" w:eastAsia="仿宋_GB2312" w:cs="Arial"/>
          <w:color w:val="000000"/>
          <w:sz w:val="28"/>
          <w:szCs w:val="28"/>
          <w:lang w:val="en-US" w:eastAsia="zh-CN" w:bidi="ar-SA"/>
        </w:rPr>
        <w:t xml:space="preserve">20</w:t>
      </w:r>
      <w:r>
        <w:rPr>
          <w:rFonts w:ascii="Arial" w:hAnsi="Arial" w:eastAsia="仿宋_GB2312" w:cs="Arial"/>
          <w:color w:val="000000"/>
          <w:sz w:val="28"/>
          <w:szCs w:val="28"/>
          <w:lang w:bidi="ar-SA"/>
        </w:rPr>
        <w:t xml:space="preserve">年</w:t>
      </w:r>
      <w:r>
        <w:rPr>
          <w:rFonts w:ascii="Arial" w:hAnsi="Arial" w:eastAsia="仿宋_GB2312" w:cs="Arial"/>
          <w:color w:val="000000"/>
          <w:sz w:val="28"/>
          <w:szCs w:val="28"/>
          <w:lang w:val="en-US" w:eastAsia="zh-CN" w:bidi="ar-SA"/>
        </w:rPr>
        <w:t xml:space="preserve">7</w:t>
      </w:r>
      <w:r>
        <w:rPr>
          <w:rFonts w:ascii="Arial" w:hAnsi="Arial" w:eastAsia="仿宋_GB2312" w:cs="Arial"/>
          <w:color w:val="000000"/>
          <w:sz w:val="28"/>
          <w:szCs w:val="28"/>
          <w:lang w:bidi="ar-SA"/>
        </w:rPr>
        <w:t xml:space="preserve">月</w:t>
      </w:r>
      <w:r>
        <w:rPr>
          <w:rFonts w:ascii="Arial" w:hAnsi="Arial" w:eastAsia="仿宋_GB2312" w:cs="Arial"/>
          <w:color w:val="000000"/>
          <w:sz w:val="28"/>
          <w:szCs w:val="28"/>
          <w:lang w:val="en-US" w:eastAsia="zh-CN" w:bidi="ar-SA"/>
        </w:rPr>
        <w:t xml:space="preserve">6日</w:t>
      </w:r>
      <w:r>
        <w:rPr>
          <w:rFonts w:ascii="Arial" w:hAnsi="Arial" w:eastAsia="仿宋_GB2312" w:cs="Arial"/>
          <w:color w:val="000000"/>
          <w:sz w:val="28"/>
          <w:szCs w:val="28"/>
          <w:lang w:val="en-US" w:eastAsia="zh-CN" w:bidi="ar-SA"/>
        </w:rPr>
      </w:r>
      <w:r>
        <w:rPr>
          <w:rFonts w:ascii="Arial" w:hAnsi="Arial" w:eastAsia="仿宋_GB2312" w:cs="Arial"/>
          <w:color w:val="000000"/>
          <w:sz w:val="28"/>
          <w:szCs w:val="28"/>
          <w:lang w:val="en-US" w:eastAsia="zh-CN" w:bidi="ar-SA"/>
        </w:rPr>
      </w:r>
    </w:p>
    <w:sectPr>
      <w:footerReference w:type="default" r:id="rId10"/>
      <w:footerReference w:type="first" r:id="rId11"/>
      <w:footnotePr/>
      <w:endnotePr/>
      <w:type w:val="nextPage"/>
      <w:pgSz w:h="16838" w:orient="landscape" w:w="11906"/>
      <w:pgMar w:top="2098" w:right="1474" w:bottom="1985" w:left="1588" w:header="851" w:footer="992" w:gutter="0"/>
      <w:pgNumType w:start="1"/>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黑体">
    <w:panose1 w:val="02010609060101010101"/>
  </w:font>
  <w:font w:name="Arial Narrow">
    <w:panose1 w:val="020B0606020202030204"/>
  </w:font>
  <w:font w:name="Cambria">
    <w:panose1 w:val="02040503050406030204"/>
  </w:font>
  <w:font w:name="宋体">
    <w:panose1 w:val="02010600030101010101"/>
  </w:font>
  <w:font w:name="Arial">
    <w:panose1 w:val="020B0604020202020204"/>
  </w:font>
  <w:font w:name="Calibri">
    <w:panose1 w:val="020F0502020204030204"/>
  </w:font>
  <w:font w:name="等线">
    <w:panose1 w:val="02010600030101010101"/>
  </w:font>
  <w:font w:name="方正小标宋简体">
    <w:panose1 w:val="020B0604020202020204"/>
  </w:font>
  <w:font w:name="仿宋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tabs>
        <w:tab w:val="center" w:leader="none" w:pos="4153"/>
        <w:tab w:val="right" w:leader="none" w:pos="8306"/>
      </w:tabs>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237490" cy="139700"/>
              <wp:effectExtent l="0" t="0" r="0" b="0"/>
              <wp:wrapNone/>
              <wp:docPr id="1" name="_x0000_s2049"/>
              <wp:cNvGraphicFramePr/>
              <a:graphic xmlns:a="http://schemas.openxmlformats.org/drawingml/2006/main">
                <a:graphicData uri="http://schemas.microsoft.com/office/word/2010/wordprocessingShape">
                  <wps:wsp>
                    <wps:cNvPr id="0" name=""/>
                    <wps:cNvSpPr txBox="1"/>
                    <wps:spPr bwMode="auto">
                      <a:xfrm>
                        <a:off x="0" y="0"/>
                        <a:ext cx="237490" cy="139700"/>
                      </a:xfrm>
                      <a:prstGeom prst="rect">
                        <a:avLst/>
                      </a:prstGeom>
                      <a:noFill/>
                      <a:ln>
                        <a:noFill/>
                        <a:bevel/>
                      </a:ln>
                    </wps:spPr>
                    <wps:txbx>
                      <w:txbxContent>
                        <w:p>
                          <w:pPr>
                            <w:pStyle w:val="943"/>
                            <w:pBdr/>
                            <w:tabs>
                              <w:tab w:val="center" w:leader="none" w:pos="4153"/>
                              <w:tab w:val="right" w:leader="none" w:pos="8306"/>
                            </w:tabs>
                            <w:spacing/>
                            <w:ind/>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hint="eastAsia" w:ascii="宋体" w:hAnsi="宋体" w:eastAsia="宋体" w:cs="宋体"/>
                              <w:b/>
                              <w:bCs/>
                              <w:sz w:val="24"/>
                              <w:szCs w:val="24"/>
                              <w:lang w:eastAsia="zh-CN"/>
                            </w:rPr>
                            <w:t xml:space="preserve">- 1 -</w:t>
                          </w:r>
                          <w:r>
                            <w:rPr>
                              <w:rFonts w:hint="eastAsia" w:ascii="宋体" w:hAnsi="宋体" w:eastAsia="宋体" w:cs="宋体"/>
                              <w:b/>
                              <w:bCs/>
                              <w:sz w:val="24"/>
                              <w:szCs w:val="24"/>
                              <w:lang w:eastAsia="zh-CN"/>
                            </w:rPr>
                            <w:fldChar w:fldCharType="end"/>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en-US" w:eastAsia="zh-CN"/>
                            </w:rPr>
                          </w:r>
                          <w:r>
                            <w:rPr>
                              <w:rFonts w:hint="eastAsia" w:ascii="宋体" w:hAnsi="宋体" w:eastAsia="宋体" w:cs="宋体"/>
                              <w:b/>
                              <w:bCs/>
                              <w:sz w:val="24"/>
                              <w:szCs w:val="24"/>
                              <w:lang w:val="en-US" w:eastAsia="zh-CN"/>
                            </w:rPr>
                          </w:r>
                        </w:p>
                        <w:p>
                          <w:pPr>
                            <w:pStyle w:val="934"/>
                            <w:pBdr/>
                            <w:spacing/>
                            <w:ind/>
                            <w:rPr/>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0.00pt;mso-position-vertical:absolute;width:18.70pt;height:11.00pt;mso-wrap-distance-left:9.00pt;mso-wrap-distance-top:0.00pt;mso-wrap-distance-right:9.00pt;mso-wrap-distance-bottom:0.00pt;visibility:visible;" filled="f" stroked="f">
              <v:textbox inset="0,0,0,0">
                <w:txbxContent>
                  <w:p>
                    <w:pPr>
                      <w:pStyle w:val="943"/>
                      <w:pBdr/>
                      <w:tabs>
                        <w:tab w:val="center" w:leader="none" w:pos="4153"/>
                        <w:tab w:val="right" w:leader="none" w:pos="8306"/>
                      </w:tabs>
                      <w:spacing/>
                      <w:ind/>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hint="eastAsia" w:ascii="宋体" w:hAnsi="宋体" w:eastAsia="宋体" w:cs="宋体"/>
                        <w:b/>
                        <w:bCs/>
                        <w:sz w:val="24"/>
                        <w:szCs w:val="24"/>
                        <w:lang w:eastAsia="zh-CN"/>
                      </w:rPr>
                      <w:t xml:space="preserve">- 1 -</w:t>
                    </w:r>
                    <w:r>
                      <w:rPr>
                        <w:rFonts w:hint="eastAsia" w:ascii="宋体" w:hAnsi="宋体" w:eastAsia="宋体" w:cs="宋体"/>
                        <w:b/>
                        <w:bCs/>
                        <w:sz w:val="24"/>
                        <w:szCs w:val="24"/>
                        <w:lang w:eastAsia="zh-CN"/>
                      </w:rPr>
                      <w:fldChar w:fldCharType="end"/>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en-US" w:eastAsia="zh-CN"/>
                      </w:rPr>
                    </w:r>
                    <w:r>
                      <w:rPr>
                        <w:rFonts w:hint="eastAsia" w:ascii="宋体" w:hAnsi="宋体" w:eastAsia="宋体" w:cs="宋体"/>
                        <w:b/>
                        <w:bCs/>
                        <w:sz w:val="24"/>
                        <w:szCs w:val="24"/>
                        <w:lang w:val="en-US" w:eastAsia="zh-CN"/>
                      </w:rPr>
                    </w:r>
                  </w:p>
                  <w:p>
                    <w:pPr>
                      <w:pStyle w:val="934"/>
                      <w:pBdr/>
                      <w:spacing/>
                      <w:ind/>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tabs>
        <w:tab w:val="center" w:leader="none" w:pos="4153"/>
        <w:tab w:val="right" w:leader="none" w:pos="8306"/>
      </w:tabs>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79705" cy="139700"/>
              <wp:effectExtent l="0" t="0" r="0" b="0"/>
              <wp:wrapNone/>
              <wp:docPr id="2" name="_x0000_s2050"/>
              <wp:cNvGraphicFramePr/>
              <a:graphic xmlns:a="http://schemas.openxmlformats.org/drawingml/2006/main">
                <a:graphicData uri="http://schemas.microsoft.com/office/word/2010/wordprocessingShape">
                  <wps:wsp>
                    <wps:cNvPr id="0" name=""/>
                    <wps:cNvSpPr txBox="1"/>
                    <wps:spPr bwMode="auto">
                      <a:xfrm>
                        <a:off x="0" y="0"/>
                        <a:ext cx="179705" cy="139700"/>
                      </a:xfrm>
                      <a:prstGeom prst="rect">
                        <a:avLst/>
                      </a:prstGeom>
                      <a:noFill/>
                      <a:ln>
                        <a:noFill/>
                        <a:round/>
                      </a:ln>
                    </wps:spPr>
                    <wps:txbx>
                      <w:txbxContent>
                        <w:p>
                          <w:pPr>
                            <w:pStyle w:val="943"/>
                            <w:pBdr/>
                            <w:tabs>
                              <w:tab w:val="center" w:leader="none" w:pos="4153"/>
                              <w:tab w:val="right" w:leader="none" w:pos="8306"/>
                            </w:tabs>
                            <w:spacing/>
                            <w:ind/>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- 0 -</w:t>
                          </w:r>
                          <w:r>
                            <w:rPr>
                              <w:rFonts w:hint="eastAsia"/>
                              <w:lang w:eastAsia="zh-CN"/>
                            </w:rPr>
                            <w:fldChar w:fldCharType="end"/>
                          </w:r>
                          <w:r>
                            <w:rPr>
                              <w:rFonts w:hint="eastAsia" w:eastAsia="宋体"/>
                              <w:lang w:eastAsia="zh-CN"/>
                            </w:rPr>
                          </w:r>
                          <w:r>
                            <w:rPr>
                              <w:rFonts w:hint="eastAsia" w:eastAsia="宋体"/>
                              <w:lang w:eastAsia="zh-CN"/>
                            </w:rPr>
                          </w:r>
                        </w:p>
                        <w:p>
                          <w:pPr>
                            <w:pStyle w:val="934"/>
                            <w:pBdr/>
                            <w:spacing/>
                            <w:ind/>
                            <w:rPr/>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0pt;mso-position-vertical:absolute;width:14.15pt;height:11.00pt;mso-wrap-distance-left:9.00pt;mso-wrap-distance-top:0.00pt;mso-wrap-distance-right:9.00pt;mso-wrap-distance-bottom:0.00pt;visibility:visible;" filled="f" stroked="f">
              <v:textbox inset="0,0,0,0">
                <w:txbxContent>
                  <w:p>
                    <w:pPr>
                      <w:pStyle w:val="943"/>
                      <w:pBdr/>
                      <w:tabs>
                        <w:tab w:val="center" w:leader="none" w:pos="4153"/>
                        <w:tab w:val="right" w:leader="none" w:pos="8306"/>
                      </w:tabs>
                      <w:spacing/>
                      <w:ind/>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- 0 -</w:t>
                    </w:r>
                    <w:r>
                      <w:rPr>
                        <w:rFonts w:hint="eastAsia"/>
                        <w:lang w:eastAsia="zh-CN"/>
                      </w:rPr>
                      <w:fldChar w:fldCharType="end"/>
                    </w:r>
                    <w:r>
                      <w:rPr>
                        <w:rFonts w:hint="eastAsia" w:eastAsia="宋体"/>
                        <w:lang w:eastAsia="zh-CN"/>
                      </w:rPr>
                    </w:r>
                    <w:r>
                      <w:rPr>
                        <w:rFonts w:hint="eastAsia" w:eastAsia="宋体"/>
                        <w:lang w:eastAsia="zh-CN"/>
                      </w:rPr>
                    </w:r>
                  </w:p>
                  <w:p>
                    <w:pPr>
                      <w:pStyle w:val="934"/>
                      <w:pBdr/>
                      <w:spacing/>
                      <w:ind/>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top w:val="none" w:color="000000" w:sz="0" w:space="0"/>
        <w:left w:val="none" w:color="000000" w:sz="0" w:space="0"/>
        <w:bottom w:val="none" w:color="000000" w:sz="0" w:space="0"/>
        <w:right w:val="none" w:color="000000" w:sz="0" w:space="0"/>
        <w:between w:val="none" w:color="000000" w:sz="0" w:space="0"/>
      </w:pBdr>
      <w:tabs>
        <w:tab w:val="center" w:leader="none" w:pos="4153"/>
        <w:tab w:val="right" w:leader="none" w:pos="8306"/>
      </w:tabs>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top w:val="none" w:color="000000" w:sz="0" w:space="0"/>
        <w:left w:val="none" w:color="000000" w:sz="0" w:space="0"/>
        <w:bottom w:val="none" w:color="000000" w:sz="0" w:space="0"/>
        <w:right w:val="none" w:color="000000" w:sz="0" w:space="0"/>
        <w:between w:val="none" w:color="000000" w:sz="0" w:space="0"/>
      </w:pBdr>
      <w:tabs>
        <w:tab w:val="center" w:leader="none" w:pos="4153"/>
        <w:tab w:val="right" w:leader="none" w:pos="8306"/>
      </w:tabs>
      <w:spacing/>
      <w:ind/>
      <w:rP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val="true"/>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仿宋_GB2312"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4"/>
    <w:next w:val="934"/>
    <w:link w:val="758"/>
    <w:uiPriority w:val="9"/>
    <w:qFormat/>
    <w:pPr>
      <w:keepNext w:val="true"/>
      <w:keepLines w:val="true"/>
      <w:pBdr/>
      <w:spacing w:after="200" w:before="480"/>
      <w:ind/>
      <w:outlineLvl w:val="0"/>
    </w:pPr>
    <w:rPr>
      <w:rFonts w:ascii="等线" w:hAnsi="等线" w:eastAsia="等线" w:cs="等线"/>
      <w:sz w:val="40"/>
      <w:szCs w:val="40"/>
    </w:rPr>
  </w:style>
  <w:style w:type="character" w:styleId="758">
    <w:name w:val="Heading 1 Char"/>
    <w:link w:val="757"/>
    <w:uiPriority w:val="9"/>
    <w:pPr>
      <w:pBdr/>
      <w:spacing/>
      <w:ind/>
    </w:pPr>
    <w:rPr>
      <w:rFonts w:ascii="等线" w:hAnsi="等线" w:eastAsia="等线" w:cs="等线"/>
      <w:sz w:val="40"/>
      <w:szCs w:val="40"/>
    </w:rPr>
  </w:style>
  <w:style w:type="paragraph" w:styleId="759">
    <w:name w:val="Heading 2"/>
    <w:basedOn w:val="934"/>
    <w:next w:val="934"/>
    <w:link w:val="760"/>
    <w:uiPriority w:val="9"/>
    <w:unhideWhenUsed/>
    <w:qFormat/>
    <w:pPr>
      <w:keepNext w:val="true"/>
      <w:keepLines w:val="true"/>
      <w:pBdr/>
      <w:spacing w:after="200" w:before="360"/>
      <w:ind/>
      <w:outlineLvl w:val="1"/>
    </w:pPr>
    <w:rPr>
      <w:rFonts w:ascii="等线" w:hAnsi="等线" w:eastAsia="等线" w:cs="等线"/>
      <w:sz w:val="34"/>
    </w:rPr>
  </w:style>
  <w:style w:type="character" w:styleId="760">
    <w:name w:val="Heading 2 Char"/>
    <w:link w:val="759"/>
    <w:uiPriority w:val="9"/>
    <w:pPr>
      <w:pBdr/>
      <w:spacing/>
      <w:ind/>
    </w:pPr>
    <w:rPr>
      <w:rFonts w:ascii="等线" w:hAnsi="等线" w:eastAsia="等线" w:cs="等线"/>
      <w:sz w:val="34"/>
    </w:rPr>
  </w:style>
  <w:style w:type="paragraph" w:styleId="761">
    <w:name w:val="Heading 3"/>
    <w:basedOn w:val="934"/>
    <w:next w:val="934"/>
    <w:link w:val="762"/>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762">
    <w:name w:val="Heading 3 Char"/>
    <w:link w:val="761"/>
    <w:uiPriority w:val="9"/>
    <w:pPr>
      <w:pBdr/>
      <w:spacing/>
      <w:ind/>
    </w:pPr>
    <w:rPr>
      <w:rFonts w:ascii="等线" w:hAnsi="等线" w:eastAsia="等线" w:cs="等线"/>
      <w:sz w:val="30"/>
      <w:szCs w:val="30"/>
    </w:rPr>
  </w:style>
  <w:style w:type="paragraph" w:styleId="763">
    <w:name w:val="Heading 4"/>
    <w:basedOn w:val="934"/>
    <w:next w:val="934"/>
    <w:link w:val="764"/>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764">
    <w:name w:val="Heading 4 Char"/>
    <w:link w:val="763"/>
    <w:uiPriority w:val="9"/>
    <w:pPr>
      <w:pBdr/>
      <w:spacing/>
      <w:ind/>
    </w:pPr>
    <w:rPr>
      <w:rFonts w:ascii="等线" w:hAnsi="等线" w:eastAsia="等线" w:cs="等线"/>
      <w:b/>
      <w:bCs/>
      <w:sz w:val="26"/>
      <w:szCs w:val="26"/>
    </w:rPr>
  </w:style>
  <w:style w:type="paragraph" w:styleId="765">
    <w:name w:val="Heading 5"/>
    <w:basedOn w:val="934"/>
    <w:next w:val="934"/>
    <w:link w:val="766"/>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766">
    <w:name w:val="Heading 5 Char"/>
    <w:link w:val="765"/>
    <w:uiPriority w:val="9"/>
    <w:pPr>
      <w:pBdr/>
      <w:spacing/>
      <w:ind/>
    </w:pPr>
    <w:rPr>
      <w:rFonts w:ascii="等线" w:hAnsi="等线" w:eastAsia="等线" w:cs="等线"/>
      <w:b/>
      <w:bCs/>
      <w:sz w:val="24"/>
      <w:szCs w:val="24"/>
    </w:rPr>
  </w:style>
  <w:style w:type="paragraph" w:styleId="767">
    <w:name w:val="Heading 6"/>
    <w:basedOn w:val="934"/>
    <w:next w:val="934"/>
    <w:link w:val="768"/>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768">
    <w:name w:val="Heading 6 Char"/>
    <w:link w:val="767"/>
    <w:uiPriority w:val="9"/>
    <w:pPr>
      <w:pBdr/>
      <w:spacing/>
      <w:ind/>
    </w:pPr>
    <w:rPr>
      <w:rFonts w:ascii="等线" w:hAnsi="等线" w:eastAsia="等线" w:cs="等线"/>
      <w:b/>
      <w:bCs/>
      <w:sz w:val="22"/>
      <w:szCs w:val="22"/>
    </w:rPr>
  </w:style>
  <w:style w:type="paragraph" w:styleId="769">
    <w:name w:val="Heading 7"/>
    <w:basedOn w:val="934"/>
    <w:next w:val="934"/>
    <w:link w:val="770"/>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770">
    <w:name w:val="Heading 7 Char"/>
    <w:link w:val="769"/>
    <w:uiPriority w:val="9"/>
    <w:pPr>
      <w:pBdr/>
      <w:spacing/>
      <w:ind/>
    </w:pPr>
    <w:rPr>
      <w:rFonts w:ascii="等线" w:hAnsi="等线" w:eastAsia="等线" w:cs="等线"/>
      <w:b/>
      <w:bCs/>
      <w:i/>
      <w:iCs/>
      <w:sz w:val="22"/>
      <w:szCs w:val="22"/>
    </w:rPr>
  </w:style>
  <w:style w:type="paragraph" w:styleId="771">
    <w:name w:val="Heading 8"/>
    <w:basedOn w:val="934"/>
    <w:next w:val="934"/>
    <w:link w:val="772"/>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772">
    <w:name w:val="Heading 8 Char"/>
    <w:link w:val="771"/>
    <w:uiPriority w:val="9"/>
    <w:pPr>
      <w:pBdr/>
      <w:spacing/>
      <w:ind/>
    </w:pPr>
    <w:rPr>
      <w:rFonts w:ascii="等线" w:hAnsi="等线" w:eastAsia="等线" w:cs="等线"/>
      <w:i/>
      <w:iCs/>
      <w:sz w:val="22"/>
      <w:szCs w:val="22"/>
    </w:rPr>
  </w:style>
  <w:style w:type="paragraph" w:styleId="773">
    <w:name w:val="Heading 9"/>
    <w:basedOn w:val="934"/>
    <w:next w:val="934"/>
    <w:link w:val="774"/>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774">
    <w:name w:val="Heading 9 Char"/>
    <w:link w:val="773"/>
    <w:uiPriority w:val="9"/>
    <w:pPr>
      <w:pBdr/>
      <w:spacing/>
      <w:ind/>
    </w:pPr>
    <w:rPr>
      <w:rFonts w:ascii="等线" w:hAnsi="等线" w:eastAsia="等线" w:cs="等线"/>
      <w:i/>
      <w:iCs/>
      <w:sz w:val="21"/>
      <w:szCs w:val="21"/>
    </w:rPr>
  </w:style>
  <w:style w:type="paragraph" w:styleId="775">
    <w:name w:val="No Spacing"/>
    <w:uiPriority w:val="1"/>
    <w:qFormat/>
    <w:pPr>
      <w:pBdr/>
      <w:spacing w:after="0" w:before="0" w:line="240" w:lineRule="auto"/>
      <w:ind/>
    </w:pPr>
  </w:style>
  <w:style w:type="paragraph" w:styleId="776">
    <w:name w:val="Title"/>
    <w:basedOn w:val="934"/>
    <w:next w:val="934"/>
    <w:link w:val="777"/>
    <w:uiPriority w:val="10"/>
    <w:qFormat/>
    <w:pPr>
      <w:pBdr/>
      <w:spacing w:after="200" w:before="300"/>
      <w:ind/>
      <w:contextualSpacing w:val="true"/>
    </w:pPr>
    <w:rPr>
      <w:sz w:val="48"/>
      <w:szCs w:val="48"/>
    </w:rPr>
  </w:style>
  <w:style w:type="character" w:styleId="777">
    <w:name w:val="Title Char"/>
    <w:link w:val="776"/>
    <w:uiPriority w:val="10"/>
    <w:pPr>
      <w:pBdr/>
      <w:spacing/>
      <w:ind/>
    </w:pPr>
    <w:rPr>
      <w:sz w:val="48"/>
      <w:szCs w:val="48"/>
    </w:rPr>
  </w:style>
  <w:style w:type="paragraph" w:styleId="778">
    <w:name w:val="Subtitle"/>
    <w:basedOn w:val="934"/>
    <w:next w:val="934"/>
    <w:link w:val="779"/>
    <w:uiPriority w:val="11"/>
    <w:qFormat/>
    <w:pPr>
      <w:pBdr/>
      <w:spacing w:after="200" w:before="200"/>
      <w:ind/>
    </w:pPr>
    <w:rPr>
      <w:sz w:val="24"/>
      <w:szCs w:val="24"/>
    </w:rPr>
  </w:style>
  <w:style w:type="character" w:styleId="779">
    <w:name w:val="Subtitle Char"/>
    <w:link w:val="778"/>
    <w:uiPriority w:val="11"/>
    <w:pPr>
      <w:pBdr/>
      <w:spacing/>
      <w:ind/>
    </w:pPr>
    <w:rPr>
      <w:sz w:val="24"/>
      <w:szCs w:val="24"/>
    </w:rPr>
  </w:style>
  <w:style w:type="paragraph" w:styleId="780">
    <w:name w:val="Quote"/>
    <w:basedOn w:val="934"/>
    <w:next w:val="934"/>
    <w:link w:val="781"/>
    <w:uiPriority w:val="29"/>
    <w:qFormat/>
    <w:pPr>
      <w:pBdr/>
      <w:spacing/>
      <w:ind w:right="720" w:left="720"/>
    </w:pPr>
    <w:rPr>
      <w:i/>
    </w:rPr>
  </w:style>
  <w:style w:type="character" w:styleId="781">
    <w:name w:val="Quote Char"/>
    <w:link w:val="780"/>
    <w:uiPriority w:val="29"/>
    <w:pPr>
      <w:pBdr/>
      <w:spacing/>
      <w:ind/>
    </w:pPr>
    <w:rPr>
      <w:i/>
    </w:rPr>
  </w:style>
  <w:style w:type="paragraph" w:styleId="782">
    <w:name w:val="Intense Quote"/>
    <w:basedOn w:val="934"/>
    <w:next w:val="934"/>
    <w:link w:val="78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83">
    <w:name w:val="Intense Quote Char"/>
    <w:link w:val="782"/>
    <w:uiPriority w:val="30"/>
    <w:pPr>
      <w:pBdr/>
      <w:spacing/>
      <w:ind/>
    </w:pPr>
    <w:rPr>
      <w:i/>
    </w:rPr>
  </w:style>
  <w:style w:type="paragraph" w:styleId="784">
    <w:name w:val="Header"/>
    <w:basedOn w:val="934"/>
    <w:link w:val="785"/>
    <w:uiPriority w:val="99"/>
    <w:unhideWhenUsed/>
    <w:pPr>
      <w:pBdr/>
      <w:tabs>
        <w:tab w:val="center" w:leader="none" w:pos="7143"/>
        <w:tab w:val="right" w:leader="none" w:pos="14287"/>
      </w:tabs>
      <w:spacing w:after="0" w:line="240" w:lineRule="auto"/>
      <w:ind/>
    </w:pPr>
  </w:style>
  <w:style w:type="character" w:styleId="785">
    <w:name w:val="Header Char"/>
    <w:link w:val="784"/>
    <w:uiPriority w:val="99"/>
    <w:pPr>
      <w:pBdr/>
      <w:spacing/>
      <w:ind/>
    </w:pPr>
  </w:style>
  <w:style w:type="paragraph" w:styleId="786">
    <w:name w:val="Footer"/>
    <w:basedOn w:val="934"/>
    <w:link w:val="789"/>
    <w:uiPriority w:val="99"/>
    <w:unhideWhenUsed/>
    <w:pPr>
      <w:pBdr/>
      <w:tabs>
        <w:tab w:val="center" w:leader="none" w:pos="7143"/>
        <w:tab w:val="right" w:leader="none" w:pos="14287"/>
      </w:tabs>
      <w:spacing w:after="0" w:line="240" w:lineRule="auto"/>
      <w:ind/>
    </w:pPr>
  </w:style>
  <w:style w:type="character" w:styleId="787">
    <w:name w:val="Footer Char"/>
    <w:link w:val="786"/>
    <w:uiPriority w:val="99"/>
    <w:pPr>
      <w:pBdr/>
      <w:spacing/>
      <w:ind/>
    </w:pPr>
  </w:style>
  <w:style w:type="paragraph" w:styleId="788">
    <w:name w:val="Caption"/>
    <w:basedOn w:val="934"/>
    <w:next w:val="934"/>
    <w:uiPriority w:val="35"/>
    <w:semiHidden/>
    <w:unhideWhenUsed/>
    <w:qFormat/>
    <w:pPr>
      <w:pBdr/>
      <w:spacing w:line="276" w:lineRule="auto"/>
      <w:ind/>
    </w:pPr>
    <w:rPr>
      <w:b/>
      <w:bCs/>
      <w:color w:val="4f81bd" w:themeColor="accent1"/>
      <w:sz w:val="18"/>
      <w:szCs w:val="18"/>
    </w:rPr>
  </w:style>
  <w:style w:type="character" w:styleId="789">
    <w:name w:val="Caption Char"/>
    <w:basedOn w:val="788"/>
    <w:link w:val="786"/>
    <w:uiPriority w:val="99"/>
    <w:pPr>
      <w:pBdr/>
      <w:spacing/>
      <w:ind/>
    </w:pPr>
  </w:style>
  <w:style w:type="table" w:styleId="790">
    <w:name w:val="Table Grid"/>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33">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34">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35">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36">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37">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38">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39">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5">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6">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7">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8">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9">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0">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1">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89">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890">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891">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892">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893">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894">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895">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16">
    <w:name w:val="Hyperlink"/>
    <w:uiPriority w:val="99"/>
    <w:unhideWhenUsed/>
    <w:pPr>
      <w:pBdr/>
      <w:spacing/>
      <w:ind/>
    </w:pPr>
    <w:rPr>
      <w:color w:val="0000ff" w:themeColor="hyperlink"/>
      <w:u w:val="single"/>
    </w:rPr>
  </w:style>
  <w:style w:type="paragraph" w:styleId="917">
    <w:name w:val="footnote text"/>
    <w:basedOn w:val="934"/>
    <w:link w:val="918"/>
    <w:uiPriority w:val="99"/>
    <w:semiHidden/>
    <w:unhideWhenUsed/>
    <w:pPr>
      <w:pBdr/>
      <w:spacing w:after="40" w:line="240" w:lineRule="auto"/>
      <w:ind/>
    </w:pPr>
    <w:rPr>
      <w:sz w:val="18"/>
    </w:rPr>
  </w:style>
  <w:style w:type="character" w:styleId="918">
    <w:name w:val="Footnote Text Char"/>
    <w:link w:val="917"/>
    <w:uiPriority w:val="99"/>
    <w:pPr>
      <w:pBdr/>
      <w:spacing/>
      <w:ind/>
    </w:pPr>
    <w:rPr>
      <w:sz w:val="18"/>
    </w:rPr>
  </w:style>
  <w:style w:type="character" w:styleId="919">
    <w:name w:val="footnote reference"/>
    <w:uiPriority w:val="99"/>
    <w:unhideWhenUsed/>
    <w:pPr>
      <w:pBdr/>
      <w:spacing/>
      <w:ind/>
    </w:pPr>
    <w:rPr>
      <w:vertAlign w:val="superscript"/>
    </w:rPr>
  </w:style>
  <w:style w:type="paragraph" w:styleId="920">
    <w:name w:val="endnote text"/>
    <w:basedOn w:val="934"/>
    <w:link w:val="921"/>
    <w:uiPriority w:val="99"/>
    <w:semiHidden/>
    <w:unhideWhenUsed/>
    <w:pPr>
      <w:pBdr/>
      <w:spacing w:after="0" w:line="240" w:lineRule="auto"/>
      <w:ind/>
    </w:pPr>
    <w:rPr>
      <w:sz w:val="20"/>
    </w:rPr>
  </w:style>
  <w:style w:type="character" w:styleId="921">
    <w:name w:val="Endnote Text Char"/>
    <w:link w:val="920"/>
    <w:uiPriority w:val="99"/>
    <w:pPr>
      <w:pBdr/>
      <w:spacing/>
      <w:ind/>
    </w:pPr>
    <w:rPr>
      <w:sz w:val="20"/>
    </w:rPr>
  </w:style>
  <w:style w:type="character" w:styleId="922">
    <w:name w:val="endnote reference"/>
    <w:uiPriority w:val="99"/>
    <w:semiHidden/>
    <w:unhideWhenUsed/>
    <w:pPr>
      <w:pBdr/>
      <w:spacing/>
      <w:ind/>
    </w:pPr>
    <w:rPr>
      <w:vertAlign w:val="superscript"/>
    </w:rPr>
  </w:style>
  <w:style w:type="paragraph" w:styleId="923">
    <w:name w:val="toc 1"/>
    <w:basedOn w:val="934"/>
    <w:next w:val="934"/>
    <w:uiPriority w:val="39"/>
    <w:unhideWhenUsed/>
    <w:pPr>
      <w:pBdr/>
      <w:spacing w:after="57"/>
      <w:ind w:right="0" w:firstLine="0" w:left="0"/>
    </w:pPr>
  </w:style>
  <w:style w:type="paragraph" w:styleId="924">
    <w:name w:val="toc 2"/>
    <w:basedOn w:val="934"/>
    <w:next w:val="934"/>
    <w:uiPriority w:val="39"/>
    <w:unhideWhenUsed/>
    <w:pPr>
      <w:pBdr/>
      <w:spacing w:after="57"/>
      <w:ind w:right="0" w:firstLine="0" w:left="283"/>
    </w:pPr>
  </w:style>
  <w:style w:type="paragraph" w:styleId="925">
    <w:name w:val="toc 3"/>
    <w:basedOn w:val="934"/>
    <w:next w:val="934"/>
    <w:uiPriority w:val="39"/>
    <w:unhideWhenUsed/>
    <w:pPr>
      <w:pBdr/>
      <w:spacing w:after="57"/>
      <w:ind w:right="0" w:firstLine="0" w:left="567"/>
    </w:pPr>
  </w:style>
  <w:style w:type="paragraph" w:styleId="926">
    <w:name w:val="toc 4"/>
    <w:basedOn w:val="934"/>
    <w:next w:val="934"/>
    <w:uiPriority w:val="39"/>
    <w:unhideWhenUsed/>
    <w:pPr>
      <w:pBdr/>
      <w:spacing w:after="57"/>
      <w:ind w:right="0" w:firstLine="0" w:left="850"/>
    </w:pPr>
  </w:style>
  <w:style w:type="paragraph" w:styleId="927">
    <w:name w:val="toc 5"/>
    <w:basedOn w:val="934"/>
    <w:next w:val="934"/>
    <w:uiPriority w:val="39"/>
    <w:unhideWhenUsed/>
    <w:pPr>
      <w:pBdr/>
      <w:spacing w:after="57"/>
      <w:ind w:right="0" w:firstLine="0" w:left="1134"/>
    </w:pPr>
  </w:style>
  <w:style w:type="paragraph" w:styleId="928">
    <w:name w:val="toc 6"/>
    <w:basedOn w:val="934"/>
    <w:next w:val="934"/>
    <w:uiPriority w:val="39"/>
    <w:unhideWhenUsed/>
    <w:pPr>
      <w:pBdr/>
      <w:spacing w:after="57"/>
      <w:ind w:right="0" w:firstLine="0" w:left="1417"/>
    </w:pPr>
  </w:style>
  <w:style w:type="paragraph" w:styleId="929">
    <w:name w:val="toc 7"/>
    <w:basedOn w:val="934"/>
    <w:next w:val="934"/>
    <w:uiPriority w:val="39"/>
    <w:unhideWhenUsed/>
    <w:pPr>
      <w:pBdr/>
      <w:spacing w:after="57"/>
      <w:ind w:right="0" w:firstLine="0" w:left="1701"/>
    </w:pPr>
  </w:style>
  <w:style w:type="paragraph" w:styleId="930">
    <w:name w:val="toc 8"/>
    <w:basedOn w:val="934"/>
    <w:next w:val="934"/>
    <w:uiPriority w:val="39"/>
    <w:unhideWhenUsed/>
    <w:pPr>
      <w:pBdr/>
      <w:spacing w:after="57"/>
      <w:ind w:right="0" w:firstLine="0" w:left="1984"/>
    </w:pPr>
  </w:style>
  <w:style w:type="paragraph" w:styleId="931">
    <w:name w:val="toc 9"/>
    <w:basedOn w:val="934"/>
    <w:next w:val="934"/>
    <w:uiPriority w:val="39"/>
    <w:unhideWhenUsed/>
    <w:pPr>
      <w:pBdr/>
      <w:spacing w:after="57"/>
      <w:ind w:right="0" w:firstLine="0" w:left="2268"/>
    </w:pPr>
  </w:style>
  <w:style w:type="paragraph" w:styleId="932">
    <w:name w:val="TOC Heading"/>
    <w:uiPriority w:val="39"/>
    <w:unhideWhenUsed/>
    <w:pPr>
      <w:pBdr/>
      <w:spacing/>
      <w:ind/>
    </w:pPr>
  </w:style>
  <w:style w:type="paragraph" w:styleId="933">
    <w:name w:val="table of figures"/>
    <w:basedOn w:val="934"/>
    <w:next w:val="934"/>
    <w:uiPriority w:val="99"/>
    <w:unhideWhenUsed/>
    <w:pPr>
      <w:pBdr/>
      <w:spacing w:after="0" w:afterAutospacing="0"/>
      <w:ind/>
    </w:pPr>
  </w:style>
  <w:style w:type="paragraph" w:styleId="934" w:default="1">
    <w:name w:val="Normal"/>
    <w:next w:val="934"/>
    <w:link w:val="934"/>
    <w:pPr>
      <w:widowControl w:val="false"/>
      <w:pBdr/>
      <w:spacing/>
      <w:ind/>
      <w:jc w:val="both"/>
    </w:pPr>
    <w:rPr>
      <w:rFonts w:ascii="Calibri" w:hAnsi="Calibri" w:eastAsia="宋体" w:cs="Times New Roman"/>
      <w:sz w:val="21"/>
      <w:szCs w:val="22"/>
      <w:lang w:val="en-US" w:eastAsia="zh-CN" w:bidi="ar-SA"/>
    </w:rPr>
  </w:style>
  <w:style w:type="paragraph" w:styleId="935">
    <w:name w:val="标题 1"/>
    <w:basedOn w:val="934"/>
    <w:next w:val="934"/>
    <w:link w:val="934"/>
    <w:pPr>
      <w:keepNext w:val="true"/>
      <w:keepLines w:val="true"/>
      <w:widowControl w:val="false"/>
      <w:pBdr/>
      <w:spacing w:after="330" w:before="340" w:line="578" w:lineRule="auto"/>
      <w:ind/>
      <w:outlineLvl w:val="0"/>
    </w:pPr>
    <w:rPr>
      <w:b/>
      <w:bCs/>
      <w:sz w:val="44"/>
      <w:szCs w:val="44"/>
    </w:rPr>
  </w:style>
  <w:style w:type="paragraph" w:styleId="936">
    <w:name w:val="标题 2"/>
    <w:basedOn w:val="934"/>
    <w:next w:val="934"/>
    <w:link w:val="934"/>
    <w:pPr>
      <w:keepNext w:val="true"/>
      <w:keepLines w:val="true"/>
      <w:widowControl w:val="false"/>
      <w:pBdr/>
      <w:spacing w:after="260" w:before="260" w:line="415" w:lineRule="auto"/>
      <w:ind/>
      <w:outlineLvl w:val="1"/>
    </w:pPr>
    <w:rPr>
      <w:rFonts w:ascii="Cambria" w:hAnsi="Cambria" w:eastAsia="宋体" w:cs="Times New Roman"/>
      <w:b/>
      <w:bCs/>
      <w:sz w:val="32"/>
      <w:szCs w:val="32"/>
      <w:lang w:bidi="ar-SA"/>
    </w:rPr>
  </w:style>
  <w:style w:type="paragraph" w:styleId="937">
    <w:name w:val="标题 3"/>
    <w:basedOn w:val="934"/>
    <w:next w:val="934"/>
    <w:link w:val="934"/>
    <w:pPr>
      <w:keepNext w:val="true"/>
      <w:keepLines w:val="true"/>
      <w:widowControl w:val="false"/>
      <w:pBdr/>
      <w:spacing w:after="260" w:afterAutospacing="0" w:before="260" w:beforeAutospacing="0" w:line="412" w:lineRule="auto"/>
      <w:ind/>
      <w:outlineLvl w:val="2"/>
    </w:pPr>
    <w:rPr>
      <w:b/>
      <w:sz w:val="32"/>
    </w:rPr>
  </w:style>
  <w:style w:type="character" w:styleId="938">
    <w:name w:val="默认段落字体"/>
    <w:next w:val="938"/>
    <w:link w:val="934"/>
    <w:pPr>
      <w:pBdr/>
      <w:spacing/>
      <w:ind/>
    </w:pPr>
  </w:style>
  <w:style w:type="table" w:styleId="939">
    <w:name w:val="普通表格"/>
    <w:next w:val="939"/>
    <w:link w:val="934"/>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40">
    <w:name w:val="批注引用"/>
    <w:basedOn w:val="938"/>
    <w:next w:val="940"/>
    <w:link w:val="934"/>
    <w:pPr>
      <w:pBdr/>
      <w:spacing/>
      <w:ind/>
    </w:pPr>
    <w:rPr>
      <w:sz w:val="21"/>
      <w:szCs w:val="21"/>
    </w:rPr>
  </w:style>
  <w:style w:type="paragraph" w:styleId="941">
    <w:name w:val="批注文字"/>
    <w:basedOn w:val="934"/>
    <w:next w:val="941"/>
    <w:link w:val="934"/>
    <w:pPr>
      <w:pBdr/>
      <w:spacing/>
      <w:ind/>
      <w:jc w:val="left"/>
    </w:pPr>
  </w:style>
  <w:style w:type="paragraph" w:styleId="942">
    <w:name w:val="页眉"/>
    <w:basedOn w:val="934"/>
    <w:next w:val="942"/>
    <w:link w:val="934"/>
    <w:pPr>
      <w:pBdr>
        <w:bottom w:val="single" w:color="000000" w:sz="6" w:space="1"/>
      </w:pBdr>
      <w:tabs>
        <w:tab w:val="center" w:leader="none" w:pos="4153"/>
        <w:tab w:val="right" w:leader="none" w:pos="8306"/>
      </w:tabs>
      <w:spacing/>
      <w:ind/>
      <w:jc w:val="center"/>
    </w:pPr>
    <w:rPr>
      <w:sz w:val="18"/>
      <w:szCs w:val="18"/>
    </w:rPr>
  </w:style>
  <w:style w:type="paragraph" w:styleId="943">
    <w:name w:val="页脚"/>
    <w:basedOn w:val="934"/>
    <w:next w:val="943"/>
    <w:link w:val="934"/>
    <w:pPr>
      <w:pBdr/>
      <w:tabs>
        <w:tab w:val="center" w:leader="none" w:pos="4153"/>
        <w:tab w:val="right" w:leader="none" w:pos="8306"/>
      </w:tabs>
      <w:spacing/>
      <w:ind/>
      <w:jc w:val="left"/>
    </w:pPr>
    <w:rPr>
      <w:sz w:val="18"/>
      <w:szCs w:val="18"/>
    </w:rPr>
  </w:style>
  <w:style w:type="paragraph" w:styleId="944">
    <w:name w:val="批注框文本"/>
    <w:basedOn w:val="934"/>
    <w:next w:val="944"/>
    <w:link w:val="934"/>
    <w:pPr>
      <w:pBdr/>
      <w:spacing/>
      <w:ind/>
    </w:pPr>
    <w:rPr>
      <w:sz w:val="18"/>
      <w:szCs w:val="18"/>
    </w:rPr>
  </w:style>
  <w:style w:type="paragraph" w:styleId="945">
    <w:name w:val="日期"/>
    <w:basedOn w:val="934"/>
    <w:next w:val="934"/>
    <w:link w:val="934"/>
    <w:pPr>
      <w:pBdr/>
      <w:spacing/>
      <w:ind w:left="2500"/>
    </w:pPr>
  </w:style>
  <w:style w:type="paragraph" w:styleId="946">
    <w:name w:val="普通(网站)"/>
    <w:basedOn w:val="934"/>
    <w:next w:val="946"/>
    <w:link w:val="934"/>
    <w:pPr>
      <w:pBdr/>
      <w:spacing w:after="100" w:afterAutospacing="1" w:before="100" w:beforeAutospacing="1"/>
      <w:ind w:right="0" w:left="0"/>
      <w:jc w:val="left"/>
    </w:pPr>
    <w:rPr>
      <w:sz w:val="24"/>
      <w:lang w:val="en-US" w:eastAsia="zh-CN" w:bidi="ar"/>
    </w:rPr>
  </w:style>
  <w:style w:type="paragraph" w:styleId="947">
    <w:name w:val="样式 标题 2 + 首行缩进:  2 字符1"/>
    <w:basedOn w:val="936"/>
    <w:next w:val="947"/>
    <w:link w:val="934"/>
    <w:pPr>
      <w:pBdr/>
      <w:spacing/>
      <w:ind w:firstLine="482"/>
    </w:pPr>
    <w:rPr>
      <w:sz w:val="28"/>
      <w:szCs w:val="20"/>
    </w:rPr>
  </w:style>
  <w:style w:type="paragraph" w:styleId="948">
    <w:name w:val="List Paragraph"/>
    <w:basedOn w:val="934"/>
    <w:next w:val="948"/>
    <w:link w:val="934"/>
    <w:pPr>
      <w:pBdr/>
      <w:spacing/>
      <w:ind w:firstLine="200"/>
    </w:pPr>
  </w:style>
  <w:style w:type="character" w:styleId="949" w:default="1">
    <w:name w:val="Default Paragraph Font"/>
    <w:uiPriority w:val="1"/>
    <w:semiHidden/>
    <w:unhideWhenUsed/>
    <w:pPr>
      <w:pBdr/>
      <w:spacing/>
      <w:ind/>
    </w:pPr>
  </w:style>
  <w:style w:type="numbering" w:styleId="950" w:default="1">
    <w:name w:val="No List"/>
    <w:uiPriority w:val="99"/>
    <w:semiHidden/>
    <w:unhideWhenUsed/>
    <w:pPr>
      <w:pBdr/>
      <w:spacing/>
      <w:ind/>
    </w:pPr>
  </w:style>
  <w:style w:type="table" w:styleId="951"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冯妍妍/预算绩效管理处（</dc:creator>
  <cp:lastModifiedBy>匿名</cp:lastModifiedBy>
  <cp:revision>20</cp:revision>
  <dcterms:created xsi:type="dcterms:W3CDTF">2018-04-25T03:29:00Z</dcterms:created>
  <dcterms:modified xsi:type="dcterms:W3CDTF">2025-05-13T03:35:03Z</dcterms:modified>
</cp:coreProperties>
</file>