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随州市劳动人事争议仲裁院</w:t>
      </w:r>
    </w:p>
    <w:p>
      <w:pPr>
        <w:spacing w:line="360" w:lineRule="auto"/>
        <w:jc w:val="center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年预算公开信息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ind w:firstLine="642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第一部分  随州市劳动人事争议仲裁院（概况）</w:t>
      </w:r>
    </w:p>
    <w:p>
      <w:pPr>
        <w:spacing w:line="360" w:lineRule="auto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一、部门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主要职责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负责处理市管劳动人事争议案件和纠纷，承担随州市劳动人事争议仲裁委员会办公室日常工作。</w:t>
      </w:r>
    </w:p>
    <w:p>
      <w:pPr>
        <w:spacing w:line="360" w:lineRule="auto"/>
        <w:ind w:firstLine="642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二、部门机构情况</w:t>
      </w:r>
    </w:p>
    <w:p>
      <w:pPr>
        <w:spacing w:line="360" w:lineRule="auto"/>
        <w:ind w:firstLine="640" w:firstLineChars="200"/>
        <w:rPr>
          <w:rFonts w:ascii="仿宋" w:hAns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随州市劳动人事争议仲裁院于</w:t>
      </w:r>
      <w:r>
        <w:rPr>
          <w:rFonts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</w:rPr>
        <w:t>3</w:t>
      </w:r>
      <w:r>
        <w:rPr>
          <w:rFonts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</w:rPr>
        <w:t>9</w:t>
      </w:r>
      <w:r>
        <w:rPr>
          <w:rFonts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</w:rPr>
        <w:t>25</w:t>
      </w:r>
      <w:r>
        <w:rPr>
          <w:rFonts w:ascii="仿宋" w:hAnsi="仿宋" w:eastAsia="仿宋" w:cs="宋体"/>
          <w:kern w:val="0"/>
          <w:sz w:val="32"/>
          <w:szCs w:val="32"/>
        </w:rPr>
        <w:t>日经随州市机构编制委员会批准设立（随编办[201</w:t>
      </w:r>
      <w:r>
        <w:rPr>
          <w:rFonts w:hint="eastAsia" w:ascii="仿宋" w:hAnsi="仿宋" w:eastAsia="仿宋" w:cs="宋体"/>
          <w:kern w:val="0"/>
          <w:sz w:val="32"/>
          <w:szCs w:val="32"/>
        </w:rPr>
        <w:t>3</w:t>
      </w:r>
      <w:r>
        <w:rPr>
          <w:rFonts w:ascii="仿宋" w:hAnsi="仿宋" w:eastAsia="仿宋" w:cs="宋体"/>
          <w:kern w:val="0"/>
          <w:sz w:val="32"/>
          <w:szCs w:val="32"/>
        </w:rPr>
        <w:t>]</w:t>
      </w:r>
      <w:r>
        <w:rPr>
          <w:rFonts w:hint="eastAsia" w:ascii="仿宋" w:hAnsi="仿宋" w:eastAsia="仿宋" w:cs="宋体"/>
          <w:kern w:val="0"/>
          <w:sz w:val="32"/>
          <w:szCs w:val="32"/>
        </w:rPr>
        <w:t>47</w:t>
      </w:r>
      <w:r>
        <w:rPr>
          <w:rFonts w:ascii="仿宋" w:hAnsi="仿宋" w:eastAsia="仿宋" w:cs="宋体"/>
          <w:kern w:val="0"/>
          <w:sz w:val="32"/>
          <w:szCs w:val="32"/>
        </w:rPr>
        <w:t>号），为正科级全额拨款事业单位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>（公益</w:t>
      </w:r>
      <w:r>
        <w:rPr>
          <w:rFonts w:ascii="仿宋" w:hAnsi="仿宋" w:eastAsia="仿宋" w:cs="宋体"/>
          <w:kern w:val="0"/>
          <w:sz w:val="32"/>
          <w:szCs w:val="32"/>
        </w:rPr>
        <w:t>一类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ascii="仿宋" w:hAnsi="仿宋" w:eastAsia="仿宋" w:cs="宋体"/>
          <w:kern w:val="0"/>
          <w:sz w:val="32"/>
          <w:szCs w:val="32"/>
        </w:rPr>
        <w:t>，核定编制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ascii="仿宋" w:hAnsi="仿宋" w:eastAsia="仿宋" w:cs="宋体"/>
          <w:kern w:val="0"/>
          <w:sz w:val="32"/>
          <w:szCs w:val="32"/>
        </w:rPr>
        <w:t>个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ascii="仿宋" w:hAnsi="仿宋" w:eastAsia="仿宋" w:cs="宋体"/>
          <w:kern w:val="0"/>
          <w:sz w:val="32"/>
          <w:szCs w:val="32"/>
        </w:rPr>
        <w:t>在职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ascii="仿宋" w:hAnsi="仿宋" w:eastAsia="仿宋" w:cs="宋体"/>
          <w:kern w:val="0"/>
          <w:sz w:val="32"/>
          <w:szCs w:val="32"/>
        </w:rPr>
        <w:t>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,2020年1月通过调动新进在编人员2人</w:t>
      </w:r>
      <w:r>
        <w:rPr>
          <w:rFonts w:ascii="仿宋" w:hAnsi="仿宋" w:eastAsia="仿宋" w:cs="宋体"/>
          <w:kern w:val="0"/>
          <w:sz w:val="32"/>
          <w:szCs w:val="32"/>
        </w:rPr>
        <w:t>。为市</w:t>
      </w:r>
      <w:r>
        <w:rPr>
          <w:rFonts w:hint="eastAsia" w:ascii="仿宋" w:hAnsi="仿宋" w:eastAsia="仿宋" w:cs="宋体"/>
          <w:kern w:val="0"/>
          <w:sz w:val="32"/>
          <w:szCs w:val="32"/>
        </w:rPr>
        <w:t>人社局</w:t>
      </w:r>
      <w:r>
        <w:rPr>
          <w:rFonts w:ascii="仿宋" w:hAnsi="仿宋" w:eastAsia="仿宋" w:cs="宋体"/>
          <w:kern w:val="0"/>
          <w:sz w:val="32"/>
          <w:szCs w:val="32"/>
        </w:rPr>
        <w:t>局直属</w:t>
      </w:r>
      <w:r>
        <w:rPr>
          <w:rFonts w:hint="eastAsia" w:ascii="仿宋" w:hAnsi="仿宋" w:eastAsia="仿宋" w:cs="宋体"/>
          <w:kern w:val="0"/>
          <w:sz w:val="32"/>
          <w:szCs w:val="32"/>
        </w:rPr>
        <w:t>正科</w:t>
      </w:r>
      <w:r>
        <w:rPr>
          <w:rFonts w:ascii="仿宋" w:hAnsi="仿宋" w:eastAsia="仿宋" w:cs="宋体"/>
          <w:kern w:val="0"/>
          <w:sz w:val="32"/>
          <w:szCs w:val="32"/>
        </w:rPr>
        <w:t>级事业单位（</w:t>
      </w:r>
      <w:r>
        <w:rPr>
          <w:rFonts w:hint="eastAsia" w:ascii="仿宋" w:hAnsi="仿宋" w:eastAsia="仿宋" w:cs="宋体"/>
          <w:kern w:val="0"/>
          <w:sz w:val="32"/>
          <w:szCs w:val="32"/>
        </w:rPr>
        <w:t>公益一类</w:t>
      </w:r>
      <w:r>
        <w:rPr>
          <w:rFonts w:ascii="仿宋" w:hAnsi="仿宋" w:eastAsia="仿宋" w:cs="宋体"/>
          <w:kern w:val="0"/>
          <w:sz w:val="32"/>
          <w:szCs w:val="32"/>
        </w:rPr>
        <w:t>）。</w:t>
      </w:r>
    </w:p>
    <w:p>
      <w:pPr>
        <w:spacing w:line="360" w:lineRule="auto"/>
        <w:ind w:firstLine="643" w:firstLineChars="200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第二部分  随州市劳动人事争议仲裁院20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年部门预算情况说明</w:t>
      </w:r>
    </w:p>
    <w:p>
      <w:pPr>
        <w:spacing w:line="360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　　</w:t>
      </w:r>
      <w:r>
        <w:rPr>
          <w:rFonts w:hint="eastAsia" w:ascii="仿宋" w:hAnsi="仿宋" w:eastAsia="仿宋" w:cs="宋体"/>
          <w:kern w:val="0"/>
          <w:sz w:val="32"/>
          <w:szCs w:val="32"/>
        </w:rPr>
        <w:t>三、部门预算收支情况</w:t>
      </w:r>
    </w:p>
    <w:p>
      <w:pPr>
        <w:spacing w:line="360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　　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（一）</w:t>
      </w:r>
      <w:r>
        <w:rPr>
          <w:rFonts w:hint="eastAsia" w:ascii="仿宋" w:hAnsi="仿宋" w:eastAsia="仿宋"/>
          <w:sz w:val="32"/>
          <w:szCs w:val="32"/>
        </w:rPr>
        <w:t>收入预算情况</w:t>
      </w:r>
    </w:p>
    <w:p>
      <w:pPr>
        <w:spacing w:line="360" w:lineRule="auto"/>
        <w:ind w:firstLine="64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ascii="仿宋" w:hAnsi="仿宋" w:eastAsia="仿宋" w:cs="宋体"/>
          <w:kern w:val="0"/>
          <w:sz w:val="32"/>
          <w:szCs w:val="32"/>
        </w:rPr>
        <w:t>年预算收入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33.85</w:t>
      </w:r>
      <w:r>
        <w:rPr>
          <w:rFonts w:ascii="仿宋" w:hAnsi="仿宋" w:eastAsia="仿宋" w:cs="宋体"/>
          <w:kern w:val="0"/>
          <w:sz w:val="32"/>
          <w:szCs w:val="32"/>
        </w:rPr>
        <w:t>万元，其中财政拨款收入</w:t>
      </w:r>
      <w:r>
        <w:rPr>
          <w:rFonts w:hint="eastAsia" w:ascii="仿宋" w:hAnsi="仿宋" w:eastAsia="仿宋" w:cs="宋体"/>
          <w:kern w:val="0"/>
          <w:sz w:val="32"/>
          <w:szCs w:val="32"/>
        </w:rPr>
        <w:t>18.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ascii="仿宋" w:hAnsi="仿宋" w:eastAsia="仿宋" w:cs="宋体"/>
          <w:kern w:val="0"/>
          <w:sz w:val="32"/>
          <w:szCs w:val="32"/>
        </w:rPr>
        <w:t>万元，用于人员工资、公用支出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、项目支出</w:t>
      </w:r>
      <w:r>
        <w:rPr>
          <w:rFonts w:ascii="仿宋" w:hAnsi="仿宋" w:eastAsia="仿宋" w:cs="宋体"/>
          <w:kern w:val="0"/>
          <w:sz w:val="32"/>
          <w:szCs w:val="32"/>
        </w:rPr>
        <w:t>等正常运行支出；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其他收入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15.15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  <w:r>
        <w:rPr>
          <w:rFonts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</w:rPr>
        <w:t>9</w:t>
      </w:r>
      <w:r>
        <w:rPr>
          <w:rFonts w:ascii="仿宋" w:hAnsi="仿宋" w:eastAsia="仿宋" w:cs="宋体"/>
          <w:kern w:val="0"/>
          <w:sz w:val="32"/>
          <w:szCs w:val="32"/>
        </w:rPr>
        <w:t>年基本支出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33.85</w:t>
      </w:r>
      <w:r>
        <w:rPr>
          <w:rFonts w:ascii="仿宋" w:hAnsi="仿宋" w:eastAsia="仿宋" w:cs="宋体"/>
          <w:kern w:val="0"/>
          <w:sz w:val="32"/>
          <w:szCs w:val="32"/>
        </w:rPr>
        <w:t>万元，其中：人员支出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19.37</w:t>
      </w:r>
      <w:r>
        <w:rPr>
          <w:rFonts w:ascii="仿宋" w:hAnsi="仿宋" w:eastAsia="仿宋" w:cs="宋体"/>
          <w:kern w:val="0"/>
          <w:sz w:val="32"/>
          <w:szCs w:val="32"/>
        </w:rPr>
        <w:t>万元，公用支出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4.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48</w:t>
      </w:r>
      <w:r>
        <w:rPr>
          <w:rFonts w:ascii="仿宋" w:hAnsi="仿宋" w:eastAsia="仿宋" w:cs="宋体"/>
          <w:kern w:val="0"/>
          <w:sz w:val="32"/>
          <w:szCs w:val="32"/>
        </w:rPr>
        <w:t>万元；项目支出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10</w:t>
      </w:r>
      <w:r>
        <w:rPr>
          <w:rFonts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360" w:lineRule="auto"/>
        <w:ind w:firstLine="64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</w:rPr>
        <w:t>支出预算情况</w:t>
      </w:r>
    </w:p>
    <w:p>
      <w:pPr>
        <w:spacing w:line="360" w:lineRule="auto"/>
        <w:ind w:firstLine="640"/>
        <w:rPr>
          <w:rFonts w:ascii="仿宋" w:hAnsi="仿宋" w:eastAsia="仿宋" w:cs="Arial"/>
          <w:color w:val="000000"/>
          <w:sz w:val="30"/>
          <w:szCs w:val="30"/>
        </w:rPr>
      </w:pPr>
      <w:r>
        <w:rPr>
          <w:rFonts w:ascii="仿宋" w:hAnsi="仿宋" w:eastAsia="仿宋" w:cs="宋体"/>
          <w:kern w:val="0"/>
          <w:sz w:val="32"/>
          <w:szCs w:val="32"/>
        </w:rPr>
        <w:t>部门支出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33.85</w:t>
      </w:r>
      <w:r>
        <w:rPr>
          <w:rFonts w:ascii="仿宋" w:hAnsi="仿宋" w:eastAsia="仿宋" w:cs="宋体"/>
          <w:kern w:val="0"/>
          <w:sz w:val="32"/>
          <w:szCs w:val="32"/>
        </w:rPr>
        <w:t>万元，其中社会保障和就业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32.42</w:t>
      </w:r>
      <w:r>
        <w:rPr>
          <w:rFonts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（基本支出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22.42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万元，其中人员支出1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7.94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万元，公用支出4.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万元，另外项目支出10万元）</w:t>
      </w:r>
      <w:r>
        <w:rPr>
          <w:rFonts w:ascii="仿宋" w:hAnsi="仿宋" w:eastAsia="仿宋" w:cs="宋体"/>
          <w:kern w:val="0"/>
          <w:sz w:val="32"/>
          <w:szCs w:val="32"/>
        </w:rPr>
        <w:t>，卫生</w:t>
      </w:r>
      <w:r>
        <w:rPr>
          <w:rFonts w:hint="eastAsia" w:ascii="仿宋" w:hAnsi="仿宋" w:eastAsia="仿宋" w:cs="宋体"/>
          <w:kern w:val="0"/>
          <w:sz w:val="32"/>
          <w:szCs w:val="32"/>
        </w:rPr>
        <w:t>健康</w:t>
      </w:r>
      <w:r>
        <w:rPr>
          <w:rFonts w:ascii="仿宋" w:hAnsi="仿宋" w:eastAsia="仿宋" w:cs="宋体"/>
          <w:kern w:val="0"/>
          <w:sz w:val="32"/>
          <w:szCs w:val="32"/>
        </w:rPr>
        <w:t>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0.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46</w:t>
      </w:r>
      <w:r>
        <w:rPr>
          <w:rFonts w:ascii="仿宋" w:hAnsi="仿宋" w:eastAsia="仿宋" w:cs="宋体"/>
          <w:kern w:val="0"/>
          <w:sz w:val="32"/>
          <w:szCs w:val="32"/>
        </w:rPr>
        <w:t>万元，住房保障支出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0.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97</w:t>
      </w:r>
      <w:r>
        <w:rPr>
          <w:rFonts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360" w:lineRule="auto"/>
        <w:ind w:firstLine="64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（三）财政拨款支出情况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ascii="仿宋" w:hAnsi="仿宋" w:eastAsia="仿宋" w:cs="宋体"/>
          <w:kern w:val="0"/>
          <w:sz w:val="32"/>
          <w:szCs w:val="32"/>
        </w:rPr>
        <w:t>年财政预算拨款</w:t>
      </w:r>
      <w:r>
        <w:rPr>
          <w:rFonts w:hint="eastAsia" w:ascii="仿宋" w:hAnsi="仿宋" w:eastAsia="仿宋" w:cs="宋体"/>
          <w:kern w:val="0"/>
          <w:sz w:val="32"/>
          <w:szCs w:val="32"/>
        </w:rPr>
        <w:t>18.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ascii="仿宋" w:hAnsi="仿宋" w:eastAsia="仿宋" w:cs="宋体"/>
          <w:kern w:val="0"/>
          <w:sz w:val="32"/>
          <w:szCs w:val="32"/>
        </w:rPr>
        <w:t>万元。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（四）政府性基金情况</w:t>
      </w:r>
    </w:p>
    <w:p>
      <w:pPr>
        <w:ind w:firstLine="65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年，部门没有使用政府性基金预算拨款安排的支出。</w:t>
      </w:r>
    </w:p>
    <w:p>
      <w:pPr>
        <w:ind w:firstLine="65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（五）单位运行经费等重要事项的说明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　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ascii="仿宋" w:hAnsi="仿宋" w:eastAsia="仿宋"/>
          <w:sz w:val="32"/>
          <w:szCs w:val="32"/>
        </w:rPr>
        <w:t>年，运行经费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22.42</w:t>
      </w:r>
      <w:r>
        <w:rPr>
          <w:rFonts w:ascii="仿宋" w:hAnsi="仿宋" w:eastAsia="仿宋"/>
          <w:sz w:val="32"/>
          <w:szCs w:val="32"/>
        </w:rPr>
        <w:t>万元，其中人员支出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7.94</w:t>
      </w:r>
      <w:r>
        <w:rPr>
          <w:rFonts w:ascii="仿宋" w:hAnsi="仿宋" w:eastAsia="仿宋"/>
          <w:sz w:val="32"/>
          <w:szCs w:val="32"/>
        </w:rPr>
        <w:t>万元，公用支出</w:t>
      </w: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48</w:t>
      </w:r>
      <w:r>
        <w:rPr>
          <w:rFonts w:ascii="仿宋" w:hAnsi="仿宋" w:eastAsia="仿宋"/>
          <w:sz w:val="32"/>
          <w:szCs w:val="32"/>
        </w:rPr>
        <w:t>万元。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</w:t>
      </w:r>
      <w:r>
        <w:rPr>
          <w:rFonts w:hint="eastAsia" w:ascii="仿宋" w:hAnsi="仿宋" w:eastAsia="仿宋"/>
          <w:b/>
          <w:bCs/>
          <w:sz w:val="32"/>
          <w:szCs w:val="32"/>
        </w:rPr>
        <w:t>　</w:t>
      </w:r>
      <w:r>
        <w:rPr>
          <w:rFonts w:hint="eastAsia" w:ascii="仿宋" w:hAnsi="仿宋" w:eastAsia="仿宋"/>
          <w:sz w:val="32"/>
          <w:szCs w:val="32"/>
        </w:rPr>
        <w:t>四、20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年“三公”经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费预算情况说明</w:t>
      </w:r>
    </w:p>
    <w:p>
      <w:pPr>
        <w:spacing w:line="360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　　</w:t>
      </w:r>
      <w:r>
        <w:rPr>
          <w:rFonts w:hint="eastAsia"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年，“三公”经费未从一般公共预算安排。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　第三部分　随州市劳动人事争议仲裁院20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年部门预算表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一、收支预算总表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二、收入预算总表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三、支出预算总表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四、财政拨款收支预算总表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五、一般公共预算支出表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六、一般公共预算基本支出表</w:t>
      </w:r>
    </w:p>
    <w:p>
      <w:pPr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　七、三公经费预算表</w:t>
      </w:r>
    </w:p>
    <w:p>
      <w:pPr>
        <w:spacing w:line="360" w:lineRule="auto"/>
        <w:ind w:firstLine="642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八、政府性基金预算表</w:t>
      </w:r>
    </w:p>
    <w:p>
      <w:pPr>
        <w:spacing w:line="360" w:lineRule="auto"/>
        <w:ind w:firstLine="642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九、财政专项支出预算表</w:t>
      </w:r>
    </w:p>
    <w:p>
      <w:pPr>
        <w:spacing w:line="360" w:lineRule="auto"/>
        <w:ind w:firstLine="642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十、政府采购预算表</w:t>
      </w:r>
    </w:p>
    <w:p>
      <w:pPr>
        <w:spacing w:line="360" w:lineRule="auto"/>
        <w:ind w:firstLine="642"/>
        <w:rPr>
          <w:rFonts w:ascii="仿宋" w:hAnsi="仿宋" w:eastAsia="仿宋" w:cs="宋体"/>
          <w:kern w:val="0"/>
          <w:sz w:val="32"/>
          <w:szCs w:val="32"/>
        </w:rPr>
      </w:pPr>
    </w:p>
    <w:p>
      <w:pPr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　  </w:t>
      </w:r>
    </w:p>
    <w:p>
      <w:pPr>
        <w:spacing w:line="360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随州市劳动人事争议仲裁院</w:t>
      </w: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　　　　　　　　　　　　　　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" w:hAnsi="仿宋" w:eastAsia="仿宋" w:cs="宋体"/>
          <w:kern w:val="0"/>
          <w:sz w:val="32"/>
          <w:szCs w:val="32"/>
        </w:rPr>
      </w:pPr>
      <w:r>
        <w:drawing>
          <wp:inline distT="0" distB="0" distL="114300" distR="114300">
            <wp:extent cx="4924425" cy="8170545"/>
            <wp:effectExtent l="0" t="0" r="13335" b="133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 w:cs="宋体"/>
          <w:kern w:val="0"/>
          <w:sz w:val="32"/>
          <w:szCs w:val="32"/>
        </w:rPr>
      </w:pPr>
      <w:r>
        <w:drawing>
          <wp:inline distT="0" distB="0" distL="114300" distR="114300">
            <wp:extent cx="5267960" cy="1428750"/>
            <wp:effectExtent l="0" t="0" r="508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drawing>
          <wp:inline distT="0" distB="0" distL="114300" distR="114300">
            <wp:extent cx="5270500" cy="3138805"/>
            <wp:effectExtent l="0" t="0" r="2540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333365" cy="7426325"/>
            <wp:effectExtent l="0" t="0" r="63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742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196840" cy="3582035"/>
            <wp:effectExtent l="0" t="0" r="0" b="1460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229225" cy="3533140"/>
            <wp:effectExtent l="0" t="0" r="13335" b="254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142865" cy="3373120"/>
            <wp:effectExtent l="0" t="0" r="825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272405" cy="2277110"/>
            <wp:effectExtent l="0" t="0" r="635" b="889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269865" cy="1758315"/>
            <wp:effectExtent l="0" t="0" r="3175" b="952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5226685" cy="2327275"/>
            <wp:effectExtent l="0" t="0" r="635" b="444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  <w:rPr>
          <w:rFonts w:hint="eastAsia"/>
        </w:rPr>
      </w:pPr>
      <w:r>
        <w:drawing>
          <wp:inline distT="0" distB="0" distL="114300" distR="114300">
            <wp:extent cx="5269865" cy="2933065"/>
            <wp:effectExtent l="0" t="0" r="3175" b="825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E0325E4"/>
    <w:rsid w:val="00046D5B"/>
    <w:rsid w:val="00083042"/>
    <w:rsid w:val="000C7D09"/>
    <w:rsid w:val="0017668E"/>
    <w:rsid w:val="002422FD"/>
    <w:rsid w:val="00275858"/>
    <w:rsid w:val="00285C98"/>
    <w:rsid w:val="002C5F88"/>
    <w:rsid w:val="002C6090"/>
    <w:rsid w:val="002D4D4A"/>
    <w:rsid w:val="002F0BFD"/>
    <w:rsid w:val="003D7EF7"/>
    <w:rsid w:val="0041281A"/>
    <w:rsid w:val="005006B0"/>
    <w:rsid w:val="006919D3"/>
    <w:rsid w:val="006A21E7"/>
    <w:rsid w:val="006C1FFF"/>
    <w:rsid w:val="006D1D47"/>
    <w:rsid w:val="008A3EC1"/>
    <w:rsid w:val="00934C62"/>
    <w:rsid w:val="00976F9E"/>
    <w:rsid w:val="00987B70"/>
    <w:rsid w:val="009A24F6"/>
    <w:rsid w:val="009E09A0"/>
    <w:rsid w:val="009F104A"/>
    <w:rsid w:val="009F7C58"/>
    <w:rsid w:val="00A24290"/>
    <w:rsid w:val="00A27428"/>
    <w:rsid w:val="00A6482A"/>
    <w:rsid w:val="00B63C9F"/>
    <w:rsid w:val="00B97747"/>
    <w:rsid w:val="00BD1EE7"/>
    <w:rsid w:val="00C056EF"/>
    <w:rsid w:val="00CB1BE2"/>
    <w:rsid w:val="00D00F1E"/>
    <w:rsid w:val="00DC5D75"/>
    <w:rsid w:val="00DF6F3C"/>
    <w:rsid w:val="00F149C0"/>
    <w:rsid w:val="01310124"/>
    <w:rsid w:val="02EC75D3"/>
    <w:rsid w:val="054147C8"/>
    <w:rsid w:val="06CF223C"/>
    <w:rsid w:val="06DD100A"/>
    <w:rsid w:val="089D664C"/>
    <w:rsid w:val="0A687226"/>
    <w:rsid w:val="101C010C"/>
    <w:rsid w:val="114536E9"/>
    <w:rsid w:val="12771AF4"/>
    <w:rsid w:val="13BE587B"/>
    <w:rsid w:val="15664B43"/>
    <w:rsid w:val="160E5A62"/>
    <w:rsid w:val="169062BC"/>
    <w:rsid w:val="1A2B4C75"/>
    <w:rsid w:val="1A7B296F"/>
    <w:rsid w:val="1AC73112"/>
    <w:rsid w:val="1AE41C1F"/>
    <w:rsid w:val="1BA02131"/>
    <w:rsid w:val="1BB1426A"/>
    <w:rsid w:val="1C232D8F"/>
    <w:rsid w:val="1D4D745D"/>
    <w:rsid w:val="1E391F66"/>
    <w:rsid w:val="205361FC"/>
    <w:rsid w:val="244E7D58"/>
    <w:rsid w:val="25B17E32"/>
    <w:rsid w:val="26C7337E"/>
    <w:rsid w:val="298F717F"/>
    <w:rsid w:val="29B74F98"/>
    <w:rsid w:val="29C567F4"/>
    <w:rsid w:val="2AA71B97"/>
    <w:rsid w:val="2D9452B0"/>
    <w:rsid w:val="2F351840"/>
    <w:rsid w:val="33B72F1D"/>
    <w:rsid w:val="33C46088"/>
    <w:rsid w:val="342C0DA5"/>
    <w:rsid w:val="37251608"/>
    <w:rsid w:val="38C83AD1"/>
    <w:rsid w:val="39ED4D39"/>
    <w:rsid w:val="3AAB7F6A"/>
    <w:rsid w:val="3ABE5C56"/>
    <w:rsid w:val="3D3D04FC"/>
    <w:rsid w:val="404F119C"/>
    <w:rsid w:val="41D80B9F"/>
    <w:rsid w:val="42A309D5"/>
    <w:rsid w:val="432F4531"/>
    <w:rsid w:val="4CBE6897"/>
    <w:rsid w:val="4D70596B"/>
    <w:rsid w:val="4F562C12"/>
    <w:rsid w:val="4FCB0480"/>
    <w:rsid w:val="50DE7B49"/>
    <w:rsid w:val="52783E94"/>
    <w:rsid w:val="52E56148"/>
    <w:rsid w:val="54DB4A4D"/>
    <w:rsid w:val="576757C2"/>
    <w:rsid w:val="5A2C2AFA"/>
    <w:rsid w:val="5CDE450D"/>
    <w:rsid w:val="5E0325E4"/>
    <w:rsid w:val="61DE1B53"/>
    <w:rsid w:val="63DE72C5"/>
    <w:rsid w:val="64DB01FD"/>
    <w:rsid w:val="66351F80"/>
    <w:rsid w:val="67C60622"/>
    <w:rsid w:val="69510503"/>
    <w:rsid w:val="698637BA"/>
    <w:rsid w:val="6B590BDA"/>
    <w:rsid w:val="6D22094E"/>
    <w:rsid w:val="6E1E76EE"/>
    <w:rsid w:val="6EE42725"/>
    <w:rsid w:val="70A03486"/>
    <w:rsid w:val="75696439"/>
    <w:rsid w:val="75871752"/>
    <w:rsid w:val="775D5892"/>
    <w:rsid w:val="77C4385B"/>
    <w:rsid w:val="7B1A2005"/>
    <w:rsid w:val="7BD5713A"/>
    <w:rsid w:val="7BF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qFormat/>
    <w:uiPriority w:val="0"/>
    <w:pPr>
      <w:ind w:left="100" w:leftChars="2500"/>
    </w:pPr>
  </w:style>
  <w:style w:type="paragraph" w:styleId="3">
    <w:name w:val="Balloon Text"/>
    <w:basedOn w:val="1"/>
    <w:link w:val="18"/>
    <w:uiPriority w:val="0"/>
    <w:rPr>
      <w:sz w:val="18"/>
      <w:szCs w:val="18"/>
    </w:rPr>
  </w:style>
  <w:style w:type="paragraph" w:styleId="4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</w:r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TML Definition"/>
    <w:basedOn w:val="8"/>
    <w:qFormat/>
    <w:uiPriority w:val="0"/>
  </w:style>
  <w:style w:type="character" w:styleId="12">
    <w:name w:val="HTML Variable"/>
    <w:basedOn w:val="8"/>
    <w:qFormat/>
    <w:uiPriority w:val="0"/>
  </w:style>
  <w:style w:type="character" w:styleId="13">
    <w:name w:val="Hyperlink"/>
    <w:basedOn w:val="8"/>
    <w:qFormat/>
    <w:uiPriority w:val="0"/>
    <w:rPr>
      <w:color w:val="333333"/>
      <w:u w:val="none"/>
    </w:rPr>
  </w:style>
  <w:style w:type="character" w:styleId="14">
    <w:name w:val="HTML Cite"/>
    <w:basedOn w:val="8"/>
    <w:qFormat/>
    <w:uiPriority w:val="0"/>
  </w:style>
  <w:style w:type="character" w:customStyle="1" w:styleId="15">
    <w:name w:val="tag"/>
    <w:basedOn w:val="8"/>
    <w:qFormat/>
    <w:uiPriority w:val="0"/>
  </w:style>
  <w:style w:type="paragraph" w:customStyle="1" w:styleId="16">
    <w:name w:val="正文缩进 + 首行缩进:  2 字符"/>
    <w:basedOn w:val="1"/>
    <w:qFormat/>
    <w:uiPriority w:val="0"/>
    <w:pPr>
      <w:spacing w:line="560" w:lineRule="exact"/>
      <w:ind w:firstLine="640"/>
    </w:pPr>
    <w:rPr>
      <w:rFonts w:ascii="Times New Roman" w:hAnsi="Times New Roman" w:eastAsia="仿宋_GB2312"/>
      <w:sz w:val="32"/>
      <w:szCs w:val="20"/>
    </w:rPr>
  </w:style>
  <w:style w:type="character" w:customStyle="1" w:styleId="17">
    <w:name w:val="日期 Char"/>
    <w:basedOn w:val="8"/>
    <w:link w:val="2"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140</Words>
  <Characters>802</Characters>
  <Lines>6</Lines>
  <Paragraphs>1</Paragraphs>
  <TotalTime>128</TotalTime>
  <ScaleCrop>false</ScaleCrop>
  <LinksUpToDate>false</LinksUpToDate>
  <CharactersWithSpaces>941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2016-10-26T07:04:00Z</dcterms:created>
  <dc:creator>Administrator</dc:creator>
  <cp:lastModifiedBy>Administrator</cp:lastModifiedBy>
  <cp:lastPrinted>2017-12-19T06:13:00Z</cp:lastPrinted>
  <dcterms:modified xsi:type="dcterms:W3CDTF">2020-03-26T08:03:20Z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