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notes.xml" ContentType="application/vnd.openxmlformats-officedocument.wordprocessingml.footnotes+xml"/>
  <Override PartName="/docProps/core.xml" ContentType="application/vnd.openxmlformats-package.core-properties+xml"/>
  <Override PartName="/word/fontTable.xml" ContentType="application/vnd.openxmlformats-officedocument.wordprocessingml.fontTable+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26"/>
        <w:pBdr/>
        <w:spacing/>
        <w:ind/>
        <w:jc w:val="center"/>
        <w:rPr>
          <w:rFonts w:eastAsia="方正大标宋简体"/>
          <w:sz w:val="40"/>
          <w:szCs w:val="40"/>
        </w:rPr>
      </w:pPr>
      <w:r>
        <w:rPr>
          <w:rFonts w:eastAsia="方正大标宋简体"/>
          <w:sz w:val="40"/>
          <w:szCs w:val="40"/>
        </w:rPr>
        <w:t xml:space="preserve">随州</w:t>
      </w:r>
      <w:r>
        <w:rPr>
          <w:rFonts w:hint="eastAsia" w:eastAsia="方正大标宋简体"/>
          <w:sz w:val="40"/>
          <w:szCs w:val="40"/>
        </w:rPr>
        <w:t xml:space="preserve">技师学院2020年</w:t>
      </w:r>
      <w:r>
        <w:rPr>
          <w:rFonts w:eastAsia="方正大标宋简体"/>
          <w:sz w:val="40"/>
          <w:szCs w:val="40"/>
        </w:rPr>
        <w:t xml:space="preserve">部门预算</w:t>
      </w:r>
      <w:r>
        <w:rPr>
          <w:rFonts w:eastAsia="方正大标宋简体"/>
          <w:sz w:val="40"/>
          <w:szCs w:val="40"/>
        </w:rPr>
      </w:r>
    </w:p>
    <w:p>
      <w:pPr>
        <w:pStyle w:val="626"/>
        <w:pBdr/>
        <w:spacing/>
        <w:ind/>
        <w:jc w:val="center"/>
        <w:rPr>
          <w:rFonts w:eastAsia="黑体"/>
          <w:sz w:val="40"/>
          <w:szCs w:val="40"/>
        </w:rPr>
      </w:pPr>
      <w:r>
        <w:rPr>
          <w:rFonts w:eastAsia="黑体"/>
          <w:sz w:val="40"/>
          <w:szCs w:val="40"/>
        </w:rPr>
        <w:t xml:space="preserve">目   录</w:t>
      </w:r>
      <w:r>
        <w:rPr>
          <w:rFonts w:eastAsia="黑体"/>
          <w:sz w:val="40"/>
          <w:szCs w:val="40"/>
        </w:rPr>
      </w:r>
    </w:p>
    <w:p>
      <w:pPr>
        <w:pStyle w:val="626"/>
        <w:pBdr/>
        <w:spacing/>
        <w:ind w:firstLine="640"/>
        <w:rPr/>
      </w:pPr>
      <w:r>
        <w:t xml:space="preserve">第一部分</w:t>
      </w:r>
      <w:r>
        <w:rPr>
          <w:rFonts w:hint="eastAsia"/>
        </w:rPr>
        <w:t xml:space="preserve"> </w:t>
      </w:r>
      <w:r>
        <w:t xml:space="preserve"> 随州</w:t>
      </w:r>
      <w:r>
        <w:rPr>
          <w:rFonts w:hint="eastAsia"/>
        </w:rPr>
        <w:t xml:space="preserve">技师学院</w:t>
      </w:r>
      <w:r>
        <w:t xml:space="preserve">（概况）</w:t>
      </w:r>
      <w:r/>
    </w:p>
    <w:p>
      <w:pPr>
        <w:pStyle w:val="626"/>
        <w:pBdr/>
        <w:spacing/>
        <w:ind w:firstLine="1978"/>
        <w:rPr/>
      </w:pPr>
      <w:r>
        <w:t xml:space="preserve">一、部门主要职责</w:t>
      </w:r>
      <w:r/>
    </w:p>
    <w:p>
      <w:pPr>
        <w:pStyle w:val="626"/>
        <w:pBdr/>
        <w:spacing/>
        <w:ind w:firstLine="1978"/>
        <w:rPr/>
      </w:pPr>
      <w:r>
        <w:t xml:space="preserve">二、部门基本情况</w:t>
      </w:r>
      <w:r/>
    </w:p>
    <w:p>
      <w:pPr>
        <w:pStyle w:val="626"/>
        <w:pBdr/>
        <w:spacing/>
        <w:ind w:firstLine="640"/>
        <w:rPr/>
      </w:pPr>
      <w:r>
        <w:t xml:space="preserve">第二部分</w:t>
      </w:r>
      <w:r>
        <w:rPr>
          <w:rFonts w:hint="eastAsia"/>
        </w:rPr>
        <w:t xml:space="preserve"> </w:t>
      </w:r>
      <w:r>
        <w:t xml:space="preserve"> 随州</w:t>
      </w:r>
      <w:r>
        <w:rPr>
          <w:rFonts w:hint="eastAsia"/>
        </w:rPr>
        <w:t xml:space="preserve">技师学院2020年</w:t>
      </w:r>
      <w:r>
        <w:t xml:space="preserve">部门预算情况说明</w:t>
      </w:r>
      <w:r/>
    </w:p>
    <w:p>
      <w:pPr>
        <w:pStyle w:val="626"/>
        <w:pBdr/>
        <w:spacing/>
        <w:ind w:firstLine="1955"/>
        <w:rPr/>
      </w:pPr>
      <w:r>
        <w:t xml:space="preserve">一、</w:t>
      </w:r>
      <w:r>
        <w:rPr>
          <w:rFonts w:hint="eastAsia"/>
        </w:rPr>
        <w:t xml:space="preserve">2020年</w:t>
      </w:r>
      <w:r>
        <w:t xml:space="preserve">部门预算收支情况说明</w:t>
      </w:r>
      <w:r/>
    </w:p>
    <w:p>
      <w:pPr>
        <w:pStyle w:val="626"/>
        <w:pBdr/>
        <w:spacing/>
        <w:ind w:firstLine="1955"/>
        <w:rPr>
          <w:rFonts w:hint="eastAsia"/>
        </w:rPr>
      </w:pPr>
      <w:r>
        <w:t xml:space="preserve">二、</w:t>
      </w:r>
      <w:r>
        <w:rPr>
          <w:rFonts w:hint="eastAsia"/>
        </w:rPr>
        <w:t xml:space="preserve">2020年</w:t>
      </w:r>
      <w:r>
        <w:t xml:space="preserve">“三公”经费预算情况说明</w:t>
      </w:r>
      <w:r>
        <w:rPr>
          <w:rFonts w:hint="eastAsia"/>
        </w:rPr>
      </w:r>
      <w:r>
        <w:rPr>
          <w:rFonts w:hint="eastAsia"/>
        </w:rPr>
      </w:r>
    </w:p>
    <w:p>
      <w:pPr>
        <w:pStyle w:val="626"/>
        <w:pBdr/>
        <w:spacing/>
        <w:ind w:firstLine="640"/>
        <w:rPr/>
      </w:pPr>
      <w:r>
        <w:t xml:space="preserve">第三部分</w:t>
      </w:r>
      <w:r>
        <w:rPr>
          <w:rFonts w:hint="eastAsia"/>
        </w:rPr>
        <w:t xml:space="preserve">  </w:t>
      </w:r>
      <w:r>
        <w:t xml:space="preserve">随州</w:t>
      </w:r>
      <w:r>
        <w:rPr>
          <w:rFonts w:hint="eastAsia"/>
        </w:rPr>
        <w:t xml:space="preserve">技师学院2020年</w:t>
      </w:r>
      <w:r>
        <w:t xml:space="preserve">部门预算表</w:t>
      </w:r>
      <w:r/>
    </w:p>
    <w:p>
      <w:pPr>
        <w:pStyle w:val="626"/>
        <w:pBdr/>
        <w:spacing/>
        <w:ind w:firstLine="1955"/>
        <w:rPr/>
      </w:pPr>
      <w:r>
        <w:t xml:space="preserve">一、部门收支预算总表</w:t>
      </w:r>
      <w:r/>
    </w:p>
    <w:p>
      <w:pPr>
        <w:pStyle w:val="626"/>
        <w:pBdr/>
        <w:spacing/>
        <w:ind w:firstLine="1955"/>
        <w:rPr/>
      </w:pPr>
      <w:r>
        <w:t xml:space="preserve">二、部门收入总表</w:t>
      </w:r>
      <w:r/>
    </w:p>
    <w:p>
      <w:pPr>
        <w:pStyle w:val="626"/>
        <w:pBdr/>
        <w:spacing/>
        <w:ind w:firstLine="1955"/>
        <w:rPr/>
      </w:pPr>
      <w:r>
        <w:t xml:space="preserve">三、部门支出总表</w:t>
      </w:r>
      <w:r/>
    </w:p>
    <w:p>
      <w:pPr>
        <w:pStyle w:val="626"/>
        <w:pBdr/>
        <w:spacing/>
        <w:ind w:firstLine="1955"/>
        <w:rPr/>
      </w:pPr>
      <w:r>
        <w:t xml:space="preserve">四、财政拨款收支总表</w:t>
      </w:r>
      <w:r/>
    </w:p>
    <w:p>
      <w:pPr>
        <w:pStyle w:val="626"/>
        <w:pBdr/>
        <w:spacing/>
        <w:ind w:firstLine="1955"/>
        <w:rPr/>
      </w:pPr>
      <w:r>
        <w:t xml:space="preserve">五、一般公共预算支出表</w:t>
      </w:r>
      <w:r/>
    </w:p>
    <w:p>
      <w:pPr>
        <w:pStyle w:val="626"/>
        <w:pBdr/>
        <w:spacing/>
        <w:ind w:firstLine="1955"/>
        <w:rPr/>
      </w:pPr>
      <w:r>
        <w:t xml:space="preserve">六、一般公共预算基本支出表</w:t>
      </w:r>
      <w:r/>
    </w:p>
    <w:p>
      <w:pPr>
        <w:pStyle w:val="626"/>
        <w:pBdr/>
        <w:spacing/>
        <w:ind w:firstLine="1955"/>
        <w:rPr/>
      </w:pPr>
      <w:r>
        <w:t xml:space="preserve">七、一般公共预算“三公”经费支出表</w:t>
      </w:r>
      <w:r/>
    </w:p>
    <w:p>
      <w:pPr>
        <w:pStyle w:val="626"/>
        <w:pBdr/>
        <w:spacing/>
        <w:ind w:firstLine="1955"/>
        <w:rPr>
          <w:rFonts w:hint="eastAsia"/>
        </w:rPr>
      </w:pPr>
      <w:r>
        <w:t xml:space="preserve">八、政府性基金预算支出表</w:t>
      </w:r>
      <w:r>
        <w:rPr>
          <w:rFonts w:hint="eastAsia"/>
        </w:rPr>
      </w:r>
      <w:r>
        <w:rPr>
          <w:rFonts w:hint="eastAsia"/>
        </w:rPr>
      </w:r>
    </w:p>
    <w:p>
      <w:pPr>
        <w:pStyle w:val="626"/>
        <w:pBdr/>
        <w:spacing/>
        <w:ind w:firstLine="640"/>
        <w:rPr>
          <w:rFonts w:hint="eastAsia"/>
        </w:rPr>
      </w:pPr>
      <w:r>
        <w:t xml:space="preserve">第四部分</w:t>
      </w:r>
      <w:r>
        <w:rPr>
          <w:rFonts w:hint="eastAsia"/>
        </w:rPr>
        <w:t xml:space="preserve">  </w:t>
      </w:r>
      <w:r>
        <w:t xml:space="preserve">名词解释</w:t>
      </w:r>
      <w:r>
        <w:rPr>
          <w:rFonts w:hint="eastAsia"/>
        </w:rPr>
      </w:r>
      <w:r>
        <w:rPr>
          <w:rFonts w:hint="eastAsia"/>
        </w:rPr>
      </w:r>
    </w:p>
    <w:p>
      <w:pPr>
        <w:pStyle w:val="626"/>
        <w:pBdr/>
        <w:spacing/>
        <w:ind/>
        <w:jc w:val="center"/>
        <w:rPr>
          <w:rFonts w:hint="eastAsia" w:ascii="黑体" w:eastAsia="黑体"/>
        </w:rPr>
      </w:pPr>
      <w:r>
        <w:rPr>
          <w:rFonts w:hint="eastAsia" w:ascii="黑体" w:eastAsia="黑体"/>
        </w:rPr>
        <w:t xml:space="preserve">第一部分  随州技师学院概况</w:t>
      </w:r>
      <w:r>
        <w:rPr>
          <w:rFonts w:hint="eastAsia" w:ascii="黑体" w:eastAsia="黑体"/>
        </w:rPr>
      </w:r>
    </w:p>
    <w:p>
      <w:pPr>
        <w:pStyle w:val="626"/>
        <w:pBdr/>
        <w:spacing/>
        <w:ind w:firstLine="640"/>
        <w:rPr>
          <w:rFonts w:hint="eastAsia"/>
        </w:rPr>
      </w:pPr>
      <w:r>
        <w:t xml:space="preserve">一、</w:t>
      </w:r>
      <w:r>
        <w:rPr>
          <w:rFonts w:hint="eastAsia"/>
        </w:rPr>
        <w:t xml:space="preserve">基本职能及主要工作</w:t>
      </w:r>
      <w:r>
        <w:rPr>
          <w:rFonts w:hint="eastAsia"/>
        </w:rPr>
      </w:r>
    </w:p>
    <w:p>
      <w:pPr>
        <w:pStyle w:val="626"/>
        <w:pBdr/>
        <w:spacing/>
        <w:ind w:firstLine="640"/>
        <w:rPr>
          <w:rFonts w:hint="eastAsia"/>
        </w:rPr>
      </w:pPr>
      <w:r>
        <w:rPr>
          <w:rFonts w:hint="eastAsia"/>
        </w:rPr>
        <w:t xml:space="preserve">（一）部门职能</w:t>
      </w:r>
      <w:r>
        <w:rPr>
          <w:rFonts w:hint="eastAsia"/>
        </w:rPr>
      </w:r>
    </w:p>
    <w:p>
      <w:pPr>
        <w:pStyle w:val="626"/>
        <w:pBdr/>
        <w:spacing/>
        <w:ind w:firstLine="640"/>
        <w:rPr>
          <w:rFonts w:hint="eastAsia"/>
        </w:rPr>
      </w:pPr>
      <w:r>
        <w:rPr>
          <w:rFonts w:hint="eastAsia"/>
        </w:rPr>
        <w:t xml:space="preserve">随州技师学院是经湖北省人民政府批准建立的一所公办、全日制、综合型国家级重点技工院校,是属于随州市政府主办、随州市人力资源和社会保障局主管的事业单位。 学院现设有高考部、高技部及培训部，是国家级高技能人才培训基地。主要开展全日制教育教学和培训、鉴定工作，培养中级工、高级工、技师、预备技师等技能人才，涵盖机械类、电工电子类、电子商务服务类等20多个工种，同时，为随州市技能竞赛提供高水平的硬件保证。</w:t>
      </w:r>
      <w:r>
        <w:rPr>
          <w:rFonts w:hint="eastAsia"/>
        </w:rPr>
      </w:r>
    </w:p>
    <w:p>
      <w:pPr>
        <w:pStyle w:val="626"/>
        <w:pBdr/>
        <w:spacing/>
        <w:ind w:firstLine="640"/>
        <w:rPr>
          <w:rFonts w:hint="eastAsia"/>
        </w:rPr>
      </w:pPr>
      <w:r>
        <w:rPr>
          <w:rFonts w:hint="eastAsia"/>
        </w:rPr>
        <w:t xml:space="preserve"> 主要职责：</w:t>
      </w:r>
      <w:r>
        <w:rPr>
          <w:rFonts w:hint="eastAsia"/>
        </w:rPr>
      </w:r>
    </w:p>
    <w:p>
      <w:pPr>
        <w:pStyle w:val="626"/>
        <w:pBdr/>
        <w:spacing/>
        <w:ind w:firstLine="640"/>
        <w:rPr>
          <w:rFonts w:hint="eastAsia"/>
        </w:rPr>
      </w:pPr>
      <w:r>
        <w:rPr>
          <w:rFonts w:hint="eastAsia"/>
        </w:rPr>
        <w:t xml:space="preserve"> （一）按资质承担全日制高、中等职业技术教育。贯彻落实党的教育方针、政策，坚持社会主义办学方向，按教育规律办学，不断提高教育质量，完成技工学校各项教学任务；</w:t>
      </w:r>
      <w:r>
        <w:rPr>
          <w:rFonts w:hint="eastAsia"/>
        </w:rPr>
      </w:r>
    </w:p>
    <w:p>
      <w:pPr>
        <w:pStyle w:val="626"/>
        <w:pBdr/>
        <w:spacing/>
        <w:ind w:firstLine="640"/>
        <w:rPr>
          <w:rFonts w:hint="eastAsia"/>
        </w:rPr>
      </w:pPr>
      <w:r>
        <w:rPr>
          <w:rFonts w:hint="eastAsia"/>
        </w:rPr>
        <w:t xml:space="preserve">（二）根据市场和企业需求设置专业，招收初中、高中（或相当于高中学历）毕业生，学制三年至四年，主要培养中、高级技术工人，为国民经济和社会发展提供技术人才服务；</w:t>
      </w:r>
      <w:r>
        <w:rPr>
          <w:rFonts w:hint="eastAsia"/>
        </w:rPr>
      </w:r>
    </w:p>
    <w:p>
      <w:pPr>
        <w:pStyle w:val="626"/>
        <w:pBdr/>
        <w:spacing/>
        <w:ind w:firstLine="640"/>
        <w:rPr>
          <w:rFonts w:hint="eastAsia"/>
        </w:rPr>
      </w:pPr>
      <w:r>
        <w:rPr>
          <w:rFonts w:hint="eastAsia"/>
        </w:rPr>
        <w:t xml:space="preserve">（三）承担企业在职职工的技术提升培训、以及就业再就业、退役士兵职业技能、农村劳动力转移技能培训、创业等各种技能的培训和实训任务。</w:t>
      </w:r>
      <w:r>
        <w:rPr>
          <w:rFonts w:hint="eastAsia"/>
        </w:rPr>
      </w:r>
    </w:p>
    <w:p>
      <w:pPr>
        <w:pStyle w:val="626"/>
        <w:pBdr/>
        <w:spacing/>
        <w:ind w:firstLine="640"/>
        <w:rPr>
          <w:rFonts w:hint="eastAsia"/>
        </w:rPr>
      </w:pPr>
      <w:r>
        <w:rPr>
          <w:rFonts w:hint="eastAsia"/>
        </w:rPr>
        <w:t xml:space="preserve">（四）承担技工教育、职业培训专业理论教师和实习指导教师的培训。</w:t>
      </w:r>
      <w:r>
        <w:rPr>
          <w:rFonts w:hint="eastAsia"/>
        </w:rPr>
      </w:r>
    </w:p>
    <w:p>
      <w:pPr>
        <w:pStyle w:val="626"/>
        <w:pBdr/>
        <w:spacing/>
        <w:ind w:firstLine="640"/>
        <w:rPr>
          <w:rFonts w:hint="eastAsia"/>
        </w:rPr>
      </w:pPr>
      <w:r>
        <w:rPr>
          <w:rFonts w:hint="eastAsia"/>
        </w:rPr>
        <w:t xml:space="preserve">（五）围绕随州市重点发展的产业领域，建设面向全国及随州市工业支柱产业、高新技术产业、现代服务业和农业的应用型骨干专业。</w:t>
      </w:r>
      <w:r>
        <w:rPr>
          <w:rFonts w:hint="eastAsia"/>
        </w:rPr>
      </w:r>
    </w:p>
    <w:p>
      <w:pPr>
        <w:pStyle w:val="626"/>
        <w:pBdr/>
        <w:spacing/>
        <w:ind w:firstLine="640"/>
        <w:rPr>
          <w:rFonts w:hint="eastAsia"/>
        </w:rPr>
      </w:pPr>
      <w:r>
        <w:rPr>
          <w:rFonts w:hint="eastAsia"/>
        </w:rPr>
        <w:t xml:space="preserve"> （六）创新职业教育人才培养模式，深度联合企业，推行工学结合、校企合作的高技能人才培养模式。</w:t>
      </w:r>
      <w:r>
        <w:rPr>
          <w:rFonts w:hint="eastAsia"/>
        </w:rPr>
      </w:r>
    </w:p>
    <w:p>
      <w:pPr>
        <w:pStyle w:val="626"/>
        <w:pBdr/>
        <w:spacing/>
        <w:ind w:firstLine="640"/>
        <w:rPr>
          <w:rFonts w:hint="eastAsia"/>
        </w:rPr>
      </w:pPr>
      <w:r>
        <w:rPr>
          <w:rFonts w:hint="eastAsia"/>
        </w:rPr>
        <w:t xml:space="preserve"> （七）承担社会化职业技能培训与鉴定，拓展职业教育领域。</w:t>
      </w:r>
      <w:r>
        <w:rPr>
          <w:rFonts w:hint="eastAsia"/>
        </w:rPr>
      </w:r>
    </w:p>
    <w:p>
      <w:pPr>
        <w:pStyle w:val="626"/>
        <w:pBdr/>
        <w:spacing/>
        <w:ind w:firstLine="640"/>
        <w:rPr>
          <w:rFonts w:hint="eastAsia"/>
        </w:rPr>
      </w:pPr>
      <w:r>
        <w:rPr>
          <w:rFonts w:hint="eastAsia"/>
        </w:rPr>
        <w:t xml:space="preserve"> （八）承担与区域经济发展支柱产业相关的技工教育、教材开发、实习装备等方面的研究。</w:t>
      </w:r>
      <w:r>
        <w:rPr>
          <w:rFonts w:hint="eastAsia"/>
        </w:rPr>
      </w:r>
    </w:p>
    <w:p>
      <w:pPr>
        <w:pStyle w:val="626"/>
        <w:pBdr/>
        <w:spacing/>
        <w:ind w:firstLine="640"/>
        <w:rPr>
          <w:rFonts w:hint="eastAsia"/>
        </w:rPr>
      </w:pPr>
      <w:r>
        <w:rPr>
          <w:rFonts w:hint="eastAsia"/>
        </w:rPr>
        <w:t xml:space="preserve">（九）组织开展面向企业和社会提供高端技能培训、评价以及竞赛等组织服务工作；</w:t>
      </w:r>
      <w:r>
        <w:rPr>
          <w:rFonts w:hint="eastAsia"/>
        </w:rPr>
      </w:r>
    </w:p>
    <w:p>
      <w:pPr>
        <w:pStyle w:val="626"/>
        <w:pBdr/>
        <w:spacing/>
        <w:ind w:firstLine="640"/>
        <w:rPr>
          <w:rFonts w:hint="eastAsia"/>
        </w:rPr>
      </w:pPr>
      <w:r>
        <w:rPr>
          <w:rFonts w:hint="eastAsia"/>
        </w:rPr>
        <w:t xml:space="preserve">（十）开展国内外校际、校企之间的教育合作和学术交流。</w:t>
      </w:r>
      <w:r>
        <w:rPr>
          <w:rFonts w:hint="eastAsia"/>
        </w:rPr>
      </w:r>
    </w:p>
    <w:p>
      <w:pPr>
        <w:pStyle w:val="626"/>
        <w:pBdr/>
        <w:spacing/>
        <w:ind w:firstLine="640"/>
        <w:rPr>
          <w:rFonts w:hint="eastAsia"/>
        </w:rPr>
      </w:pPr>
      <w:r>
        <w:rPr>
          <w:rFonts w:hint="eastAsia"/>
        </w:rPr>
        <w:t xml:space="preserve">（二）主要工作</w:t>
      </w:r>
      <w:r>
        <w:rPr>
          <w:rFonts w:hint="eastAsia"/>
        </w:rPr>
      </w:r>
    </w:p>
    <w:p>
      <w:pPr>
        <w:pStyle w:val="626"/>
        <w:pBdr/>
        <w:spacing w:line="520" w:lineRule="exact"/>
        <w:ind w:firstLine="643"/>
        <w:jc w:val="left"/>
        <w:rPr>
          <w:rFonts w:ascii="仿宋_GB2312" w:hAnsi="仿宋"/>
          <w:b/>
          <w:szCs w:val="32"/>
        </w:rPr>
      </w:pPr>
      <w:r>
        <w:rPr>
          <w:rFonts w:hint="eastAsia" w:ascii="仿宋_GB2312" w:hAnsi="仿宋"/>
          <w:b/>
          <w:szCs w:val="32"/>
        </w:rPr>
        <w:t xml:space="preserve">1、队伍建设不断加强。</w:t>
      </w:r>
      <w:r>
        <w:rPr>
          <w:rFonts w:ascii="仿宋_GB2312" w:hAnsi="仿宋"/>
          <w:b/>
          <w:szCs w:val="32"/>
        </w:rPr>
      </w:r>
      <w:r>
        <w:rPr>
          <w:rFonts w:ascii="仿宋_GB2312" w:hAnsi="仿宋"/>
          <w:b/>
          <w:szCs w:val="32"/>
        </w:rPr>
      </w:r>
    </w:p>
    <w:p>
      <w:pPr>
        <w:pStyle w:val="626"/>
        <w:pBdr/>
        <w:spacing w:line="520" w:lineRule="exact"/>
        <w:ind w:firstLine="640"/>
        <w:jc w:val="left"/>
        <w:rPr>
          <w:rFonts w:ascii="仿宋_GB2312" w:hAnsi="仿宋"/>
          <w:szCs w:val="32"/>
        </w:rPr>
      </w:pPr>
      <w:r>
        <w:rPr>
          <w:rFonts w:hint="eastAsia" w:ascii="仿宋_GB2312" w:hAnsi="仿宋"/>
          <w:szCs w:val="32"/>
        </w:rPr>
        <w:t xml:space="preserve">一是继续坚持党委中心学习组集中学习制度，定期开展专题理论学习，以学习促提高，打造素质过硬的教职工队伍。 </w:t>
      </w:r>
      <w:r>
        <w:rPr>
          <w:rFonts w:ascii="仿宋_GB2312" w:hAnsi="仿宋"/>
          <w:szCs w:val="32"/>
        </w:rPr>
      </w:r>
      <w:r>
        <w:rPr>
          <w:rFonts w:ascii="仿宋_GB2312" w:hAnsi="仿宋"/>
          <w:szCs w:val="32"/>
        </w:rPr>
      </w:r>
    </w:p>
    <w:p>
      <w:pPr>
        <w:pStyle w:val="626"/>
        <w:pBdr/>
        <w:spacing w:line="520" w:lineRule="exact"/>
        <w:ind w:firstLine="640"/>
        <w:jc w:val="left"/>
        <w:rPr>
          <w:rFonts w:ascii="仿宋_GB2312" w:hAnsi="仿宋"/>
          <w:szCs w:val="32"/>
        </w:rPr>
      </w:pPr>
      <w:r>
        <w:rPr>
          <w:rFonts w:hint="eastAsia" w:ascii="仿宋_GB2312" w:hAnsi="仿宋"/>
          <w:szCs w:val="32"/>
        </w:rPr>
        <w:t xml:space="preserve">二是加强校本培训，注重教师业务素质提高。教育教学工作是学校的核心工作，师资队伍建设则是提高教育教学质量的支点。学院内设随州市高级技工学校、随州市烈山中学、随州</w:t>
      </w:r>
      <w:r>
        <w:rPr>
          <w:rFonts w:hint="eastAsia" w:ascii="仿宋_GB2312" w:hAnsi="仿宋"/>
          <w:szCs w:val="32"/>
        </w:rPr>
        <w:t xml:space="preserve">市职业技能培训中心三个单位，“三驾马车”并驾齐驱、各显特色，但各自发展也面临着问题与挑战。随着学院办学规模的日益壮大，师资队伍特别是“双师型”队伍建设迫在眉睫。我们利用假期组织教职员工积极参加各级各类培训，同时还积极选派教师参加省、市组织的新课程改革等各类培训活动，落实了培训计划；组织学管人员赴先进院校进行德育工作调研学习、召开教育教学研讨会、德育工作经验交流会、新入师专题培训等各种职教形式，努力提高班主任的业务技能水平。通过各级各类培训，学院师资水平得到极大提高，普职融通、相得益彰，升学就业呈现良好态势。</w:t>
      </w:r>
      <w:r>
        <w:rPr>
          <w:rFonts w:ascii="仿宋_GB2312" w:hAnsi="仿宋"/>
          <w:szCs w:val="32"/>
        </w:rPr>
      </w:r>
      <w:r>
        <w:rPr>
          <w:rFonts w:ascii="仿宋_GB2312" w:hAnsi="仿宋"/>
          <w:szCs w:val="32"/>
        </w:rPr>
      </w:r>
    </w:p>
    <w:p>
      <w:pPr>
        <w:pStyle w:val="626"/>
        <w:pBdr/>
        <w:spacing w:line="520" w:lineRule="exact"/>
        <w:ind w:firstLine="643"/>
        <w:jc w:val="left"/>
        <w:rPr>
          <w:rFonts w:ascii="仿宋_GB2312" w:hAnsi="仿宋"/>
          <w:b/>
          <w:szCs w:val="32"/>
        </w:rPr>
      </w:pPr>
      <w:r>
        <w:rPr>
          <w:rFonts w:hint="eastAsia" w:ascii="仿宋_GB2312" w:hAnsi="仿宋"/>
          <w:b/>
          <w:szCs w:val="32"/>
        </w:rPr>
        <w:t xml:space="preserve">2、日常管理规范有序。</w:t>
      </w:r>
      <w:r>
        <w:rPr>
          <w:rFonts w:ascii="仿宋_GB2312" w:hAnsi="仿宋"/>
          <w:b/>
          <w:szCs w:val="32"/>
        </w:rPr>
      </w:r>
      <w:r>
        <w:rPr>
          <w:rFonts w:ascii="仿宋_GB2312" w:hAnsi="仿宋"/>
          <w:b/>
          <w:szCs w:val="32"/>
        </w:rPr>
      </w:r>
    </w:p>
    <w:p>
      <w:pPr>
        <w:pStyle w:val="626"/>
        <w:pBdr/>
        <w:spacing w:line="520" w:lineRule="exact"/>
        <w:ind w:firstLine="640"/>
        <w:jc w:val="left"/>
        <w:rPr>
          <w:rFonts w:ascii="仿宋_GB2312" w:hAnsi="仿宋"/>
          <w:color w:val="000000"/>
          <w:szCs w:val="32"/>
        </w:rPr>
      </w:pPr>
      <w:r>
        <w:rPr>
          <w:rFonts w:hint="eastAsia" w:ascii="仿宋_GB2312" w:hAnsi="仿宋"/>
          <w:color w:val="000000"/>
          <w:szCs w:val="32"/>
        </w:rPr>
        <w:t xml:space="preserve">为使学院各项工作规范有序，我们健全并完善了一系列规章制度，狠抓常规管理，不断强化制度执行力度。</w:t>
      </w:r>
      <w:r>
        <w:rPr>
          <w:rFonts w:ascii="仿宋_GB2312" w:hAnsi="仿宋"/>
          <w:color w:val="000000"/>
          <w:szCs w:val="32"/>
        </w:rPr>
      </w:r>
      <w:r>
        <w:rPr>
          <w:rFonts w:ascii="仿宋_GB2312" w:hAnsi="仿宋"/>
          <w:color w:val="000000"/>
          <w:szCs w:val="32"/>
        </w:rPr>
      </w:r>
    </w:p>
    <w:p>
      <w:pPr>
        <w:pStyle w:val="626"/>
        <w:pBdr/>
        <w:spacing w:line="520" w:lineRule="exact"/>
        <w:ind w:firstLine="640"/>
        <w:jc w:val="left"/>
        <w:rPr>
          <w:rFonts w:ascii="仿宋_GB2312" w:hAnsi="仿宋"/>
          <w:szCs w:val="32"/>
        </w:rPr>
      </w:pPr>
      <w:r>
        <w:rPr>
          <w:rFonts w:hint="eastAsia" w:ascii="仿宋_GB2312" w:hAnsi="仿宋"/>
          <w:szCs w:val="32"/>
        </w:rPr>
        <w:t xml:space="preserve">一是抓好师生日常行为规范。完善一日常规，进一步加强常规管理，学院实行行政值班、处室（年级组）值班、班主任值班、学生干部值日、视频监控等日常管理制度，建立全天候、无缝隙师生管理网络，坚持“一日五查”制度，监督、指导并对当天的管理情况记载处理，通报考核，全院上下风清气顺，师生精神面貌得到较大改观。</w:t>
      </w:r>
      <w:r>
        <w:rPr>
          <w:rFonts w:ascii="仿宋_GB2312" w:hAnsi="仿宋"/>
          <w:szCs w:val="32"/>
        </w:rPr>
      </w:r>
      <w:r>
        <w:rPr>
          <w:rFonts w:ascii="仿宋_GB2312" w:hAnsi="仿宋"/>
          <w:szCs w:val="32"/>
        </w:rPr>
      </w:r>
    </w:p>
    <w:p>
      <w:pPr>
        <w:pStyle w:val="626"/>
        <w:pBdr/>
        <w:spacing w:line="520" w:lineRule="exact"/>
        <w:ind w:firstLine="640"/>
        <w:jc w:val="left"/>
        <w:rPr>
          <w:rFonts w:ascii="仿宋_GB2312" w:hAnsi="仿宋"/>
          <w:szCs w:val="32"/>
        </w:rPr>
      </w:pPr>
      <w:r>
        <w:rPr>
          <w:rFonts w:hint="eastAsia" w:ascii="仿宋_GB2312" w:hAnsi="仿宋"/>
          <w:szCs w:val="32"/>
        </w:rPr>
        <w:t xml:space="preserve">二是抓好安全文明教育。我们把安全工作放在首位，狠抓安全教育不放松，形</w:t>
      </w:r>
      <w:r>
        <w:rPr>
          <w:rFonts w:hint="eastAsia" w:ascii="仿宋_GB2312" w:hAnsi="仿宋"/>
          <w:szCs w:val="32"/>
        </w:rPr>
        <w:t xml:space="preserve">成安全无小事、处处讲安全的责任意识。以活动为载体，寓教育于活动之中，建立学校、家长、社会三方联教机制，力促学生成人成才。规范学籍管理工作流程，建立了学生学籍动态管理制度，依规按时完成了学生奖助免等各项事务的办理；加强各项安全防范，让学生学会保护自我，提高和增强安全避险的知识和能力；加大安全专项检查力度，实行安全隐患日查制，对学生寝室、教室等场所进行检查，查有无硬件隐患，查学生是否带了管制刀具等违禁物品；落实安全责任制，实行安全责任追究制，相关部门各负其责，谁出问题谁负责，做到奖罚分明，杜绝安全责任事故发生。</w:t>
      </w:r>
      <w:r>
        <w:rPr>
          <w:rFonts w:ascii="仿宋_GB2312" w:hAnsi="仿宋"/>
          <w:szCs w:val="32"/>
        </w:rPr>
      </w:r>
      <w:r>
        <w:rPr>
          <w:rFonts w:ascii="仿宋_GB2312" w:hAnsi="仿宋"/>
          <w:szCs w:val="32"/>
        </w:rPr>
      </w:r>
    </w:p>
    <w:p>
      <w:pPr>
        <w:pStyle w:val="626"/>
        <w:pBdr/>
        <w:spacing w:line="520" w:lineRule="exact"/>
        <w:ind w:firstLine="640"/>
        <w:jc w:val="left"/>
        <w:rPr>
          <w:rFonts w:ascii="仿宋_GB2312" w:hAnsi="仿宋"/>
          <w:szCs w:val="32"/>
        </w:rPr>
      </w:pPr>
      <w:r>
        <w:rPr>
          <w:rFonts w:hint="eastAsia" w:ascii="仿宋_GB2312" w:hAnsi="仿宋"/>
          <w:szCs w:val="32"/>
        </w:rPr>
        <w:t xml:space="preserve">三是强化责任抓督查，进一步规范职责要求，明确行政值班职责与程序，注重巡查各层次值班人员与处室人员到岗情况及履行职责情况，着力解决不作为、慢作为等问题，各项工作得到较好落实。</w:t>
      </w:r>
      <w:r>
        <w:rPr>
          <w:rFonts w:ascii="仿宋_GB2312" w:hAnsi="仿宋"/>
          <w:szCs w:val="32"/>
        </w:rPr>
      </w:r>
      <w:r>
        <w:rPr>
          <w:rFonts w:ascii="仿宋_GB2312" w:hAnsi="仿宋"/>
          <w:szCs w:val="32"/>
        </w:rPr>
      </w:r>
    </w:p>
    <w:p>
      <w:pPr>
        <w:pStyle w:val="626"/>
        <w:pBdr/>
        <w:spacing w:line="520" w:lineRule="exact"/>
        <w:ind w:firstLine="640"/>
        <w:jc w:val="left"/>
        <w:rPr>
          <w:rFonts w:ascii="仿宋_GB2312" w:hAnsi="仿宋"/>
          <w:szCs w:val="32"/>
        </w:rPr>
      </w:pPr>
      <w:r>
        <w:rPr>
          <w:rFonts w:hint="eastAsia" w:ascii="仿宋_GB2312" w:hAnsi="仿宋"/>
          <w:szCs w:val="32"/>
        </w:rPr>
        <w:t xml:space="preserve">四是党风廉政建设重防范。严格执行党风廉政建设和反腐败“一岗双责”制度，认真落实惩防体系建设，防止和遏制了各种腐败现象和不正之风的滋生。</w:t>
      </w:r>
      <w:r>
        <w:rPr>
          <w:rFonts w:ascii="仿宋_GB2312" w:hAnsi="仿宋"/>
          <w:szCs w:val="32"/>
        </w:rPr>
      </w:r>
      <w:r>
        <w:rPr>
          <w:rFonts w:ascii="仿宋_GB2312" w:hAnsi="仿宋"/>
          <w:szCs w:val="32"/>
        </w:rPr>
      </w:r>
    </w:p>
    <w:p>
      <w:pPr>
        <w:pStyle w:val="626"/>
        <w:pBdr/>
        <w:spacing w:line="520" w:lineRule="exact"/>
        <w:ind w:firstLine="643"/>
        <w:jc w:val="left"/>
        <w:rPr>
          <w:rFonts w:ascii="仿宋_GB2312" w:hAnsi="仿宋"/>
          <w:b/>
          <w:szCs w:val="32"/>
        </w:rPr>
      </w:pPr>
      <w:r>
        <w:rPr>
          <w:rFonts w:hint="eastAsia" w:ascii="仿宋_GB2312" w:hAnsi="仿宋"/>
          <w:b/>
          <w:szCs w:val="32"/>
        </w:rPr>
        <w:t xml:space="preserve">3、教学改革全面铺开。</w:t>
      </w:r>
      <w:r>
        <w:rPr>
          <w:rFonts w:ascii="仿宋_GB2312" w:hAnsi="仿宋"/>
          <w:b/>
          <w:szCs w:val="32"/>
        </w:rPr>
      </w:r>
      <w:r>
        <w:rPr>
          <w:rFonts w:ascii="仿宋_GB2312" w:hAnsi="仿宋"/>
          <w:b/>
          <w:szCs w:val="32"/>
        </w:rPr>
      </w:r>
    </w:p>
    <w:p>
      <w:pPr>
        <w:pStyle w:val="626"/>
        <w:pBdr/>
        <w:spacing w:line="520" w:lineRule="exact"/>
        <w:ind w:firstLine="640"/>
        <w:rPr>
          <w:rFonts w:ascii="仿宋_GB2312" w:hAnsi="仿宋" w:cs="仿宋"/>
          <w:szCs w:val="32"/>
        </w:rPr>
      </w:pPr>
      <w:r>
        <w:rPr>
          <w:rFonts w:hint="eastAsia" w:ascii="仿宋_GB2312"/>
          <w:color w:val="000000"/>
          <w:szCs w:val="32"/>
        </w:rPr>
        <w:t xml:space="preserve">高级技工学校</w:t>
      </w:r>
      <w:r>
        <w:rPr>
          <w:rFonts w:hint="eastAsia" w:ascii="仿宋_GB2312" w:hAnsi="仿宋"/>
          <w:szCs w:val="32"/>
        </w:rPr>
        <w:t xml:space="preserve">积极推进“一体化”教学改革，有效促进了教师专业化成长，提高了学生学习兴趣。</w:t>
      </w:r>
      <w:r>
        <w:rPr>
          <w:rFonts w:hint="eastAsia" w:ascii="仿宋_GB2312"/>
          <w:szCs w:val="32"/>
        </w:rPr>
        <w:t xml:space="preserve">专门组织召开专业建设研讨会，</w:t>
      </w:r>
      <w:r>
        <w:rPr>
          <w:rFonts w:hint="eastAsia" w:ascii="仿宋_GB2312" w:hAnsi="仿宋"/>
          <w:szCs w:val="32"/>
        </w:rPr>
        <w:t xml:space="preserve">在分析困难和问题的基础上，提出了推进改革的具体措施，出台了一系列考核办法，</w:t>
      </w:r>
      <w:r>
        <w:rPr>
          <w:rFonts w:hint="eastAsia" w:ascii="仿宋_GB2312"/>
          <w:szCs w:val="32"/>
        </w:rPr>
        <w:t xml:space="preserve">有效促进了教师专业化成长</w:t>
      </w:r>
      <w:r>
        <w:rPr>
          <w:rFonts w:hint="eastAsia" w:ascii="仿宋_GB2312"/>
          <w:color w:val="000000"/>
          <w:szCs w:val="32"/>
        </w:rPr>
        <w:t xml:space="preserve">。同时</w:t>
      </w:r>
      <w:r>
        <w:rPr>
          <w:rFonts w:hint="eastAsia" w:ascii="仿宋_GB2312" w:hAnsi="仿宋"/>
          <w:szCs w:val="32"/>
        </w:rPr>
        <w:t xml:space="preserve">积极组织开展各级各类校本培训，不断开拓教师视野，提升教师业务素质，教师业务水平和执教能力不断提高。进一步规范日常教学管理工作流程，加大教学检查力度，对发现的问题及时督促整改。大力开展技能竞赛活动，以竞赛促教学，</w:t>
      </w:r>
      <w:r>
        <w:rPr>
          <w:rFonts w:hint="eastAsia" w:ascii="仿宋_GB2312" w:hAnsi="仿宋" w:cs="仿宋"/>
          <w:szCs w:val="32"/>
        </w:rPr>
        <w:t xml:space="preserve">按要求积极组织相关教师参加省人力资源和社会保障厅教学竞赛活动，</w:t>
      </w:r>
      <w:r>
        <w:rPr>
          <w:rFonts w:hint="eastAsia" w:ascii="仿宋_GB2312" w:hAnsi="仿宋" w:cs="仿宋"/>
          <w:szCs w:val="32"/>
        </w:rPr>
        <w:t xml:space="preserve">丁</w:t>
      </w:r>
      <w:r>
        <w:rPr>
          <w:rFonts w:ascii="仿宋_GB2312" w:hAnsi="仿宋" w:cs="仿宋"/>
          <w:szCs w:val="32"/>
        </w:rPr>
        <w:t xml:space="preserve">新</w:t>
      </w:r>
      <w:r>
        <w:rPr>
          <w:rFonts w:hint="eastAsia" w:ascii="仿宋_GB2312" w:hAnsi="仿宋" w:cs="仿宋"/>
          <w:szCs w:val="32"/>
        </w:rPr>
        <w:t xml:space="preserve">卓老</w:t>
      </w:r>
      <w:r>
        <w:rPr>
          <w:rFonts w:hint="eastAsia" w:ascii="仿宋_GB2312" w:hAnsi="仿宋" w:cs="仿宋"/>
          <w:szCs w:val="32"/>
        </w:rPr>
        <w:t xml:space="preserve">师参加</w:t>
      </w:r>
      <w:r>
        <w:rPr>
          <w:rFonts w:ascii="仿宋" w:hAnsi="仿宋" w:eastAsia="仿宋"/>
          <w:color w:val="000000"/>
          <w:szCs w:val="32"/>
        </w:rPr>
        <w:t xml:space="preserve">湖北工匠杯技能大赛智能制造比赛获</w:t>
      </w:r>
      <w:r>
        <w:rPr>
          <w:rFonts w:hint="eastAsia" w:ascii="仿宋" w:hAnsi="仿宋" w:eastAsia="仿宋"/>
          <w:color w:val="000000"/>
          <w:szCs w:val="32"/>
        </w:rPr>
        <w:t xml:space="preserve">数控车</w:t>
      </w:r>
      <w:r>
        <w:rPr>
          <w:rFonts w:ascii="仿宋" w:hAnsi="仿宋" w:eastAsia="仿宋"/>
          <w:color w:val="000000"/>
          <w:szCs w:val="32"/>
        </w:rPr>
        <w:t xml:space="preserve">项目三等奖</w:t>
      </w:r>
      <w:r>
        <w:rPr>
          <w:rFonts w:hint="eastAsia" w:ascii="仿宋" w:hAnsi="仿宋" w:eastAsia="仿宋" w:cs="仿宋"/>
          <w:szCs w:val="32"/>
        </w:rPr>
        <w:t xml:space="preserve">，</w:t>
      </w:r>
      <w:r>
        <w:rPr>
          <w:rFonts w:hint="eastAsia" w:ascii="仿宋_GB2312" w:hAnsi="仿宋"/>
          <w:szCs w:val="32"/>
        </w:rPr>
        <w:t xml:space="preserve">学生参加随州市中职竞赛获一等奖8人，二等奖、三等奖25人次。</w:t>
      </w:r>
      <w:r>
        <w:rPr>
          <w:rFonts w:ascii="仿宋_GB2312" w:hAnsi="仿宋" w:cs="仿宋"/>
          <w:szCs w:val="32"/>
        </w:rPr>
      </w:r>
      <w:r>
        <w:rPr>
          <w:rFonts w:ascii="仿宋_GB2312" w:hAnsi="仿宋" w:cs="仿宋"/>
          <w:szCs w:val="32"/>
        </w:rPr>
      </w:r>
    </w:p>
    <w:p>
      <w:pPr>
        <w:pStyle w:val="626"/>
        <w:pBdr/>
        <w:spacing w:line="520" w:lineRule="exact"/>
        <w:ind w:firstLine="640"/>
        <w:jc w:val="left"/>
        <w:rPr>
          <w:rFonts w:ascii="仿宋_GB2312" w:hAnsi="仿宋"/>
          <w:szCs w:val="32"/>
        </w:rPr>
      </w:pPr>
      <w:r>
        <w:rPr>
          <w:rFonts w:hint="eastAsia" w:ascii="仿宋_GB2312"/>
          <w:color w:val="000000"/>
          <w:szCs w:val="32"/>
        </w:rPr>
        <w:t xml:space="preserve">烈山中学紧紧围绕“抓管理，促规范；抓落实，促实效”的工作思路，加强教育教学和管理制度改革。一是成立工作专班，立足实际修订教学常规督导与管理要求，完善班主任考核办法，调整教师评价与教学效果积分测算办法，建立教师管理激励机制，充分调动教师工作积极性。二是积极探讨新高考模式，为适应新高考要求，以教研组长为学科带头人，加强教学教研，广泛组织各类教学教研活动，务求实效。三是加强教学督导。完善值班人员联合巡查和视频查课制度，教务处每周对教学情况进行汇总公示并按相关考核制度执行奖惩，每月编发一期教学督导通报，</w:t>
      </w:r>
      <w:r>
        <w:rPr>
          <w:rFonts w:hint="eastAsia" w:ascii="仿宋_GB2312"/>
          <w:szCs w:val="32"/>
        </w:rPr>
        <w:t xml:space="preserve">营造了浓厚的学习氛围</w:t>
      </w:r>
      <w:r>
        <w:rPr>
          <w:rFonts w:hint="eastAsia" w:ascii="仿宋_GB2312" w:hAnsi="宋体"/>
          <w:szCs w:val="32"/>
        </w:rPr>
        <w:t xml:space="preserve">。四是结合学院实际修订并完善方案</w:t>
      </w:r>
      <w:r>
        <w:rPr>
          <w:rFonts w:hint="eastAsia" w:ascii="仿宋_GB2312"/>
          <w:szCs w:val="32"/>
        </w:rPr>
        <w:t xml:space="preserve">，组织</w:t>
      </w:r>
      <w:r>
        <w:rPr>
          <w:rFonts w:hint="eastAsia" w:ascii="仿宋_GB2312" w:hAnsi="宋体"/>
          <w:szCs w:val="32"/>
        </w:rPr>
        <w:t xml:space="preserve">全体教师积极参加全市新课程培训活动，</w:t>
      </w:r>
      <w:r>
        <w:rPr>
          <w:rFonts w:hint="eastAsia" w:ascii="仿宋_GB2312" w:hAnsi="仿宋"/>
          <w:szCs w:val="32"/>
        </w:rPr>
        <w:t xml:space="preserve">接触到新的教育教学理念并运用于教育教学实践</w:t>
      </w:r>
      <w:r>
        <w:rPr>
          <w:rFonts w:hint="eastAsia" w:ascii="仿宋_GB2312"/>
          <w:szCs w:val="32"/>
        </w:rPr>
        <w:t xml:space="preserve">，提高了学生学习的积极性和主动性，</w:t>
      </w:r>
      <w:r>
        <w:rPr>
          <w:rFonts w:hint="eastAsia" w:ascii="仿宋_GB2312" w:hAnsi="仿宋"/>
          <w:szCs w:val="32"/>
        </w:rPr>
        <w:t xml:space="preserve">教学效果进一步提高。</w:t>
      </w:r>
      <w:r>
        <w:rPr>
          <w:rFonts w:ascii="仿宋_GB2312" w:hAnsi="仿宋"/>
          <w:szCs w:val="32"/>
        </w:rPr>
      </w:r>
      <w:r>
        <w:rPr>
          <w:rFonts w:ascii="仿宋_GB2312" w:hAnsi="仿宋"/>
          <w:szCs w:val="32"/>
        </w:rPr>
      </w:r>
    </w:p>
    <w:p>
      <w:pPr>
        <w:pStyle w:val="626"/>
        <w:pBdr/>
        <w:spacing w:line="520" w:lineRule="exact"/>
        <w:ind w:firstLine="643"/>
        <w:jc w:val="left"/>
        <w:rPr>
          <w:rFonts w:ascii="仿宋_GB2312" w:hAnsi="仿宋"/>
          <w:b/>
          <w:color w:val="000000"/>
          <w:szCs w:val="32"/>
        </w:rPr>
      </w:pPr>
      <w:r>
        <w:rPr>
          <w:rFonts w:hint="eastAsia" w:ascii="仿宋_GB2312" w:hAnsi="仿宋"/>
          <w:b/>
          <w:szCs w:val="32"/>
        </w:rPr>
        <w:t xml:space="preserve">4、</w:t>
      </w:r>
      <w:r>
        <w:rPr>
          <w:rFonts w:hint="eastAsia" w:ascii="仿宋_GB2312" w:hAnsi="仿宋"/>
          <w:b/>
          <w:color w:val="000000"/>
          <w:szCs w:val="32"/>
        </w:rPr>
        <w:t xml:space="preserve">后勤管理提质增效。</w:t>
      </w:r>
      <w:r>
        <w:rPr>
          <w:rFonts w:ascii="仿宋_GB2312" w:hAnsi="仿宋"/>
          <w:b/>
          <w:color w:val="000000"/>
          <w:szCs w:val="32"/>
        </w:rPr>
      </w:r>
      <w:r>
        <w:rPr>
          <w:rFonts w:ascii="仿宋_GB2312" w:hAnsi="仿宋"/>
          <w:b/>
          <w:color w:val="000000"/>
          <w:szCs w:val="32"/>
        </w:rPr>
      </w:r>
    </w:p>
    <w:p>
      <w:pPr>
        <w:pStyle w:val="626"/>
        <w:pBdr/>
        <w:spacing w:line="520" w:lineRule="exact"/>
        <w:ind w:firstLine="640"/>
        <w:jc w:val="left"/>
        <w:rPr>
          <w:rFonts w:ascii="仿宋_GB2312" w:hAnsi="仿宋"/>
          <w:b/>
          <w:szCs w:val="32"/>
        </w:rPr>
      </w:pPr>
      <w:r>
        <w:rPr>
          <w:rFonts w:hint="eastAsia" w:ascii="仿宋_GB2312" w:hAnsi="仿宋"/>
          <w:color w:val="000000"/>
          <w:szCs w:val="32"/>
        </w:rPr>
        <w:t xml:space="preserve">全力</w:t>
      </w:r>
      <w:r>
        <w:rPr>
          <w:rFonts w:hint="eastAsia" w:ascii="仿宋_GB2312" w:hAnsi="仿宋"/>
          <w:szCs w:val="32"/>
        </w:rPr>
        <w:t xml:space="preserve">做好后勤保障工作，积极主动为广大师生提供工作、学习、生活保障工作，搞好物资管理、使用维修工作。</w:t>
      </w:r>
      <w:r>
        <w:rPr>
          <w:rFonts w:hint="eastAsia" w:ascii="仿宋_GB2312" w:hAnsi="仿宋"/>
          <w:color w:val="000000"/>
          <w:szCs w:val="32"/>
        </w:rPr>
        <w:t xml:space="preserve">按照增收节支的工作要求，我们多措并举，</w:t>
      </w:r>
      <w:r>
        <w:rPr>
          <w:rFonts w:hint="eastAsia" w:ascii="仿宋_GB2312" w:hAnsi="仿宋"/>
          <w:color w:val="000000"/>
          <w:szCs w:val="32"/>
        </w:rPr>
        <w:t xml:space="preserve">降耗增效，提高了后勤工作人员的办事效率和服务水平。一是实行后勤值班制度，班级维修公示制度，服务师生做到优质高效。二是加强膳食管理，健全了外包食堂安全卫生制度，成立了食品安全监督小组，完善监督评价体系，有效改善了工作人员的工作态度。三是首批公租房分配妥善完成。学院积极联系市住房保障办，注重沟通协调，确保手续完善，根据政策已将首批28套公租房分配到相关人员，解决了他们的住房需求。</w:t>
      </w:r>
      <w:r>
        <w:rPr>
          <w:rFonts w:ascii="仿宋_GB2312" w:hAnsi="仿宋"/>
          <w:b/>
          <w:szCs w:val="32"/>
        </w:rPr>
      </w:r>
      <w:r>
        <w:rPr>
          <w:rFonts w:ascii="仿宋_GB2312" w:hAnsi="仿宋"/>
          <w:b/>
          <w:szCs w:val="32"/>
        </w:rPr>
      </w:r>
    </w:p>
    <w:p>
      <w:pPr>
        <w:pStyle w:val="626"/>
        <w:pBdr/>
        <w:spacing w:line="520" w:lineRule="exact"/>
        <w:ind w:firstLine="803"/>
        <w:jc w:val="left"/>
        <w:rPr>
          <w:rFonts w:ascii="仿宋_GB2312" w:hAnsi="仿宋"/>
          <w:b/>
          <w:szCs w:val="32"/>
        </w:rPr>
      </w:pPr>
      <w:r>
        <w:rPr>
          <w:rFonts w:hint="eastAsia" w:ascii="仿宋_GB2312" w:hAnsi="仿宋"/>
          <w:b/>
          <w:szCs w:val="32"/>
        </w:rPr>
        <w:t xml:space="preserve">5、招生任务超额完成。</w:t>
      </w:r>
      <w:r>
        <w:rPr>
          <w:rFonts w:ascii="仿宋_GB2312" w:hAnsi="仿宋"/>
          <w:b/>
          <w:szCs w:val="32"/>
        </w:rPr>
      </w:r>
      <w:r>
        <w:rPr>
          <w:rFonts w:ascii="仿宋_GB2312" w:hAnsi="仿宋"/>
          <w:b/>
          <w:szCs w:val="32"/>
        </w:rPr>
      </w:r>
    </w:p>
    <w:p>
      <w:pPr>
        <w:pStyle w:val="626"/>
        <w:pBdr/>
        <w:spacing w:line="520" w:lineRule="exact"/>
        <w:ind w:firstLine="800"/>
        <w:jc w:val="left"/>
        <w:rPr>
          <w:rFonts w:ascii="仿宋_GB2312" w:hAnsi="仿宋"/>
          <w:szCs w:val="32"/>
        </w:rPr>
      </w:pPr>
      <w:r>
        <w:rPr>
          <w:rFonts w:hint="eastAsia" w:ascii="仿宋_GB2312" w:hAnsi="仿宋" w:cs="宋体"/>
          <w:szCs w:val="32"/>
        </w:rPr>
        <w:t xml:space="preserve">生源事关学院的生存发展，没有学生就没有学校。</w:t>
      </w:r>
      <w:r>
        <w:rPr>
          <w:rFonts w:hint="eastAsia" w:ascii="仿宋_GB2312" w:hAnsi="仿宋"/>
          <w:szCs w:val="32"/>
        </w:rPr>
        <w:t xml:space="preserve">针对严峻的招生形势，</w:t>
      </w:r>
      <w:r>
        <w:rPr>
          <w:rFonts w:hint="eastAsia" w:ascii="仿宋_GB2312" w:hAnsi="仿宋" w:cs="宋体"/>
          <w:szCs w:val="32"/>
        </w:rPr>
        <w:t xml:space="preserve">我们认识上高度统一，思想上高度重视，</w:t>
      </w:r>
      <w:r>
        <w:rPr>
          <w:rFonts w:hint="eastAsia" w:ascii="仿宋_GB2312" w:hAnsi="仿宋"/>
          <w:szCs w:val="32"/>
        </w:rPr>
        <w:t xml:space="preserve">多措并举积极争取上级支持，以烈山中学恢复普通高中招生为契机，继续坚持强化宣传、全员参与的招生策略，各招生团队通过走下去、请进来的办法加大招生力度，千方百计密切与生源地联系。</w:t>
      </w:r>
      <w:r>
        <w:rPr>
          <w:rFonts w:ascii="仿宋_GB2312" w:hAnsi="仿宋"/>
          <w:szCs w:val="32"/>
        </w:rPr>
      </w:r>
      <w:r>
        <w:rPr>
          <w:rFonts w:ascii="仿宋_GB2312" w:hAnsi="仿宋"/>
          <w:szCs w:val="32"/>
        </w:rPr>
      </w:r>
    </w:p>
    <w:p>
      <w:pPr>
        <w:pStyle w:val="626"/>
        <w:pBdr/>
        <w:spacing w:line="520" w:lineRule="exact"/>
        <w:ind w:firstLine="643"/>
        <w:rPr>
          <w:rFonts w:ascii="仿宋_GB2312" w:hAnsi="仿宋"/>
          <w:b/>
          <w:szCs w:val="32"/>
        </w:rPr>
      </w:pPr>
      <w:r>
        <w:rPr>
          <w:rFonts w:hint="eastAsia" w:ascii="仿宋_GB2312" w:hAnsi="仿宋"/>
          <w:b/>
          <w:szCs w:val="32"/>
        </w:rPr>
        <w:t xml:space="preserve">6、就业质量进一步优化。</w:t>
      </w:r>
      <w:r>
        <w:rPr>
          <w:rFonts w:ascii="仿宋_GB2312" w:hAnsi="仿宋"/>
          <w:b/>
          <w:szCs w:val="32"/>
        </w:rPr>
      </w:r>
      <w:r>
        <w:rPr>
          <w:rFonts w:ascii="仿宋_GB2312" w:hAnsi="仿宋"/>
          <w:b/>
          <w:szCs w:val="32"/>
        </w:rPr>
      </w:r>
    </w:p>
    <w:p>
      <w:pPr>
        <w:pStyle w:val="626"/>
        <w:pBdr/>
        <w:spacing w:line="520" w:lineRule="exact"/>
        <w:ind w:firstLine="640"/>
        <w:rPr>
          <w:rFonts w:ascii="仿宋_GB2312" w:hAnsi="仿宋"/>
          <w:b/>
          <w:szCs w:val="32"/>
        </w:rPr>
      </w:pPr>
      <w:r>
        <w:rPr>
          <w:rFonts w:hint="eastAsia" w:ascii="仿宋_GB2312" w:hAnsi="仿宋"/>
          <w:szCs w:val="32"/>
        </w:rPr>
        <w:t xml:space="preserve">年初，针对当前经济形势和就业形势的变化，学院一是加强了对准毕业学生就业思想、政策、信息、心理和技术等方面的指导，帮助学生树立正确的择业、就业观念，提高就业竞争能力；二是深化校企合作，大力推进“六共同”（共同建设专业、共同招生、共同制定培养计划、共同组织教学、共同考核评价、共同组织就业）培养模式，提高校企合作的紧密度。所有</w:t>
      </w:r>
      <w:r>
        <w:rPr>
          <w:rFonts w:hint="eastAsia" w:ascii="仿宋_GB2312" w:hAnsi="仿宋" w:cs="宋体"/>
          <w:szCs w:val="32"/>
        </w:rPr>
        <w:t xml:space="preserve">定向培养学生实现了优质就业，就业满意率进一步提高，毕业学生供不应求。</w:t>
      </w:r>
      <w:r>
        <w:rPr>
          <w:rFonts w:ascii="仿宋_GB2312" w:hAnsi="仿宋"/>
          <w:b/>
          <w:szCs w:val="32"/>
        </w:rPr>
      </w:r>
      <w:r>
        <w:rPr>
          <w:rFonts w:ascii="仿宋_GB2312" w:hAnsi="仿宋"/>
          <w:b/>
          <w:szCs w:val="32"/>
        </w:rPr>
      </w:r>
    </w:p>
    <w:p>
      <w:pPr>
        <w:pStyle w:val="626"/>
        <w:pBdr/>
        <w:spacing w:line="520" w:lineRule="exact"/>
        <w:ind w:firstLine="643"/>
        <w:jc w:val="left"/>
        <w:rPr>
          <w:rFonts w:ascii="仿宋_GB2312" w:hAnsi="仿宋"/>
          <w:b/>
          <w:szCs w:val="32"/>
        </w:rPr>
      </w:pPr>
      <w:r>
        <w:rPr>
          <w:rFonts w:hint="eastAsia" w:ascii="仿宋_GB2312" w:hAnsi="仿宋"/>
          <w:b/>
          <w:szCs w:val="32"/>
        </w:rPr>
        <w:t xml:space="preserve">7、培训工作有新起色。</w:t>
      </w:r>
      <w:r>
        <w:rPr>
          <w:rFonts w:ascii="仿宋_GB2312" w:hAnsi="仿宋"/>
          <w:b/>
          <w:szCs w:val="32"/>
        </w:rPr>
      </w:r>
      <w:r>
        <w:rPr>
          <w:rFonts w:ascii="仿宋_GB2312" w:hAnsi="仿宋"/>
          <w:b/>
          <w:szCs w:val="32"/>
        </w:rPr>
      </w:r>
    </w:p>
    <w:p>
      <w:pPr>
        <w:pStyle w:val="626"/>
        <w:pBdr/>
        <w:spacing w:line="520" w:lineRule="exact"/>
        <w:ind w:firstLine="640"/>
        <w:jc w:val="left"/>
        <w:rPr>
          <w:rFonts w:ascii="仿宋_GB2312" w:hAnsi="仿宋"/>
          <w:szCs w:val="32"/>
        </w:rPr>
      </w:pPr>
      <w:r>
        <w:rPr>
          <w:rFonts w:hint="eastAsia" w:ascii="仿宋_GB2312" w:hAnsi="仿宋"/>
          <w:szCs w:val="32"/>
        </w:rPr>
        <w:t xml:space="preserve">我们以服务地方经济建设发展为己任，充分发挥学院师资优势，广泛开展各类短期技能培训。学院对技能培训中心</w:t>
      </w:r>
      <w:r>
        <w:rPr>
          <w:rFonts w:ascii="仿宋_GB2312" w:hAnsi="仿宋"/>
          <w:szCs w:val="32"/>
        </w:rPr>
      </w:r>
      <w:r>
        <w:rPr>
          <w:rFonts w:ascii="仿宋_GB2312" w:hAnsi="仿宋"/>
          <w:szCs w:val="32"/>
        </w:rPr>
      </w:r>
    </w:p>
    <w:p>
      <w:pPr>
        <w:pStyle w:val="626"/>
        <w:pBdr/>
        <w:spacing w:line="520" w:lineRule="exact"/>
        <w:ind/>
        <w:jc w:val="left"/>
        <w:rPr>
          <w:rFonts w:ascii="仿宋_GB2312" w:hAnsi="仿宋"/>
          <w:szCs w:val="32"/>
        </w:rPr>
      </w:pPr>
      <w:r>
        <w:rPr>
          <w:rFonts w:hint="eastAsia" w:ascii="仿宋_GB2312" w:hAnsi="仿宋"/>
          <w:szCs w:val="32"/>
        </w:rPr>
        <w:t xml:space="preserve">实行目标责任制考核（培训人数、培训质量、人员管理、上缴收入），进一步拓展培训渠道，改进培训形式和内容，提高培训质量和效率。既着眼于解决就业培训各环节的突出矛盾，又充分调动培训部每名工作人员的主观能动性，形成工作合力，培训教学推出一批名师，全年共举办短期技能培训班28个，累计培训</w:t>
      </w:r>
      <w:r>
        <w:rPr>
          <w:rFonts w:ascii="仿宋_GB2312" w:hAnsi="仿宋"/>
          <w:color w:val="000000"/>
          <w:szCs w:val="32"/>
        </w:rPr>
        <w:t xml:space="preserve">2517</w:t>
      </w:r>
      <w:r>
        <w:rPr>
          <w:rFonts w:hint="eastAsia" w:ascii="仿宋_GB2312" w:hAnsi="仿宋"/>
          <w:szCs w:val="32"/>
        </w:rPr>
        <w:t xml:space="preserve">人。对这些培训，我们都免费进行，服务了企业、社会，满足了行业需求，受到广泛好评。与此同时，我们提供场所和服务，帮助安监、卫生等行业主管部门培训考核从业人员，较好地发挥了培训基地的功能和作用，取得了一定的经济收入。大学生公共实训保障基地运转良好，继续发挥应有作用，受到参训师生一致好评。</w:t>
      </w:r>
      <w:r>
        <w:rPr>
          <w:rFonts w:ascii="仿宋_GB2312" w:hAnsi="仿宋"/>
          <w:szCs w:val="32"/>
        </w:rPr>
      </w:r>
      <w:r>
        <w:rPr>
          <w:rFonts w:ascii="仿宋_GB2312" w:hAnsi="仿宋"/>
          <w:szCs w:val="32"/>
        </w:rPr>
      </w:r>
    </w:p>
    <w:p>
      <w:pPr>
        <w:pStyle w:val="626"/>
        <w:pBdr/>
        <w:spacing w:line="520" w:lineRule="exact"/>
        <w:ind w:firstLine="643"/>
        <w:rPr>
          <w:rFonts w:ascii="仿宋_GB2312" w:hAnsi="仿宋"/>
          <w:b/>
          <w:szCs w:val="32"/>
        </w:rPr>
      </w:pPr>
      <w:r>
        <w:rPr>
          <w:rFonts w:hint="eastAsia" w:ascii="仿宋_GB2312" w:hAnsi="仿宋"/>
          <w:b/>
          <w:szCs w:val="32"/>
        </w:rPr>
        <w:t xml:space="preserve">8、党群组织发挥作用。</w:t>
      </w:r>
      <w:r>
        <w:rPr>
          <w:rFonts w:ascii="仿宋_GB2312" w:hAnsi="仿宋"/>
          <w:b/>
          <w:szCs w:val="32"/>
        </w:rPr>
      </w:r>
      <w:r>
        <w:rPr>
          <w:rFonts w:ascii="仿宋_GB2312" w:hAnsi="仿宋"/>
          <w:b/>
          <w:szCs w:val="32"/>
        </w:rPr>
      </w:r>
    </w:p>
    <w:p>
      <w:pPr>
        <w:pStyle w:val="626"/>
        <w:pBdr/>
        <w:spacing w:line="520" w:lineRule="exact"/>
        <w:ind w:firstLine="640"/>
        <w:rPr>
          <w:rFonts w:ascii="仿宋_GB2312" w:hAnsi="仿宋"/>
          <w:szCs w:val="32"/>
        </w:rPr>
      </w:pPr>
      <w:r>
        <w:rPr>
          <w:rFonts w:hint="eastAsia" w:ascii="仿宋_GB2312" w:hAnsi="仿宋"/>
          <w:szCs w:val="32"/>
        </w:rPr>
        <w:t xml:space="preserve">学院经常性以支部为单位在全院开展“不忘初心、牢记使命”主题教育，调动了大家工作的积极性、主动性，推动了学院发展；院团委深入开展校外志愿服务活动，受到上级肯定和表彰；妇委会利用“三·八”妇女节，组织女教职工集中体检，陶冶了情操；工会积极组织开展各项活动，如组织举办教职工迎元旦运动会，为困难职工献爱心活动。</w:t>
      </w:r>
      <w:r>
        <w:rPr>
          <w:rFonts w:ascii="仿宋_GB2312" w:hAnsi="仿宋"/>
          <w:szCs w:val="32"/>
        </w:rPr>
      </w:r>
      <w:r>
        <w:rPr>
          <w:rFonts w:ascii="仿宋_GB2312" w:hAnsi="仿宋"/>
          <w:szCs w:val="32"/>
        </w:rPr>
      </w:r>
    </w:p>
    <w:p>
      <w:pPr>
        <w:pStyle w:val="626"/>
        <w:pBdr/>
        <w:spacing w:line="520" w:lineRule="exact"/>
        <w:ind w:firstLine="643"/>
        <w:rPr>
          <w:rFonts w:ascii="仿宋_GB2312" w:hAnsi="仿宋"/>
          <w:b/>
          <w:szCs w:val="32"/>
        </w:rPr>
      </w:pPr>
      <w:r>
        <w:rPr>
          <w:rFonts w:hint="eastAsia" w:ascii="仿宋_GB2312" w:hAnsi="仿宋"/>
          <w:b/>
          <w:szCs w:val="32"/>
        </w:rPr>
        <w:t xml:space="preserve">9、文明创建扎实开展。</w:t>
      </w:r>
      <w:r>
        <w:rPr>
          <w:rFonts w:ascii="仿宋_GB2312" w:hAnsi="仿宋"/>
          <w:b/>
          <w:szCs w:val="32"/>
        </w:rPr>
      </w:r>
      <w:r>
        <w:rPr>
          <w:rFonts w:ascii="仿宋_GB2312" w:hAnsi="仿宋"/>
          <w:b/>
          <w:szCs w:val="32"/>
        </w:rPr>
      </w:r>
    </w:p>
    <w:p>
      <w:pPr>
        <w:pStyle w:val="626"/>
        <w:pBdr/>
        <w:spacing w:line="520" w:lineRule="exact"/>
        <w:ind w:firstLine="640"/>
        <w:rPr>
          <w:rFonts w:ascii="仿宋_GB2312" w:hAnsi="仿宋"/>
          <w:szCs w:val="32"/>
        </w:rPr>
      </w:pPr>
      <w:r>
        <w:rPr>
          <w:rFonts w:hint="eastAsia" w:ascii="仿宋_GB2312" w:hAnsi="仿宋"/>
          <w:szCs w:val="32"/>
        </w:rPr>
        <w:t xml:space="preserve">不断加大文明创建工作力度，把涉及文明创建工作的综合治理、环境卫生、廉政建设作为重中之重，抓紧抓好抓实。进一步搞好精准扶贫工作，精准扶贫成效显著，驻村</w:t>
      </w:r>
      <w:r>
        <w:rPr>
          <w:rFonts w:hint="eastAsia" w:ascii="仿宋_GB2312" w:hAnsi="仿宋"/>
          <w:szCs w:val="32"/>
        </w:rPr>
        <w:t xml:space="preserve">工作人</w:t>
      </w:r>
      <w:r>
        <w:rPr>
          <w:rFonts w:ascii="仿宋_GB2312" w:hAnsi="仿宋"/>
          <w:szCs w:val="32"/>
        </w:rPr>
        <w:t xml:space="preserve">员</w:t>
      </w:r>
      <w:r>
        <w:rPr>
          <w:rFonts w:hint="eastAsia" w:ascii="仿宋_GB2312" w:hAnsi="仿宋"/>
          <w:szCs w:val="32"/>
        </w:rPr>
        <w:t xml:space="preserve">杨</w:t>
      </w:r>
      <w:r>
        <w:rPr>
          <w:rFonts w:ascii="仿宋_GB2312" w:hAnsi="仿宋"/>
          <w:szCs w:val="32"/>
        </w:rPr>
        <w:t xml:space="preserve">光武</w:t>
      </w:r>
      <w:r>
        <w:rPr>
          <w:rFonts w:hint="eastAsia" w:ascii="仿宋_GB2312" w:hAnsi="仿宋"/>
          <w:szCs w:val="32"/>
        </w:rPr>
        <w:t xml:space="preserve">同志被</w:t>
      </w:r>
      <w:r>
        <w:rPr>
          <w:rFonts w:hint="eastAsia" w:ascii="仿宋_GB2312" w:hAnsi="仿宋"/>
          <w:szCs w:val="32"/>
        </w:rPr>
        <w:t xml:space="preserve">上</w:t>
      </w:r>
      <w:r>
        <w:rPr>
          <w:rFonts w:ascii="仿宋_GB2312" w:hAnsi="仿宋"/>
          <w:szCs w:val="32"/>
        </w:rPr>
        <w:t xml:space="preserve">级领导表扬</w:t>
      </w:r>
      <w:r>
        <w:rPr>
          <w:rFonts w:hint="eastAsia" w:ascii="仿宋_GB2312" w:hAnsi="仿宋"/>
          <w:szCs w:val="32"/>
        </w:rPr>
        <w:t xml:space="preserve">。努力营造学院文明氛围，提高文明创建工作的水平和层次，确保文明创建工作落到实处。</w:t>
      </w:r>
      <w:r>
        <w:rPr>
          <w:rFonts w:ascii="仿宋_GB2312" w:hAnsi="仿宋"/>
          <w:szCs w:val="32"/>
        </w:rPr>
      </w:r>
      <w:r>
        <w:rPr>
          <w:rFonts w:ascii="仿宋_GB2312" w:hAnsi="仿宋"/>
          <w:szCs w:val="32"/>
        </w:rPr>
      </w:r>
    </w:p>
    <w:p>
      <w:pPr>
        <w:pStyle w:val="626"/>
        <w:pBdr/>
        <w:spacing/>
        <w:ind w:firstLine="640"/>
        <w:rPr>
          <w:rFonts w:hint="eastAsia"/>
        </w:rPr>
      </w:pPr>
      <w:r>
        <w:rPr>
          <w:rFonts w:hint="eastAsia"/>
        </w:rPr>
        <w:t xml:space="preserve">二、部门概况</w:t>
      </w:r>
      <w:r>
        <w:rPr>
          <w:rFonts w:hint="eastAsia"/>
        </w:rPr>
      </w:r>
    </w:p>
    <w:p>
      <w:pPr>
        <w:pStyle w:val="626"/>
        <w:pBdr/>
        <w:spacing/>
        <w:ind w:firstLine="640"/>
        <w:rPr>
          <w:rFonts w:hint="eastAsia"/>
        </w:rPr>
      </w:pPr>
      <w:r>
        <w:rPr>
          <w:rFonts w:hint="eastAsia"/>
        </w:rPr>
        <w:t xml:space="preserve">随州技师学院编制335人，在职274人（含聘请人员）201</w:t>
      </w:r>
      <w:r>
        <w:t xml:space="preserve">9</w:t>
      </w:r>
      <w:r>
        <w:rPr>
          <w:rFonts w:hint="eastAsia"/>
        </w:rPr>
        <w:t xml:space="preserve">年新招聘</w:t>
      </w:r>
      <w:r>
        <w:t xml:space="preserve">2</w:t>
      </w:r>
      <w:r>
        <w:rPr>
          <w:rFonts w:hint="eastAsia"/>
        </w:rPr>
        <w:t xml:space="preserve">名教师，退休33人。</w:t>
      </w:r>
      <w:r>
        <w:rPr>
          <w:rFonts w:hint="eastAsia"/>
        </w:rPr>
      </w:r>
    </w:p>
    <w:p>
      <w:pPr>
        <w:pStyle w:val="626"/>
        <w:pBdr/>
        <w:spacing/>
        <w:ind/>
        <w:jc w:val="center"/>
        <w:rPr>
          <w:rFonts w:ascii="黑体" w:eastAsia="黑体"/>
        </w:rPr>
      </w:pPr>
      <w:r>
        <w:rPr>
          <w:rFonts w:hint="eastAsia"/>
          <w:b/>
          <w:bCs/>
        </w:rPr>
        <w:t xml:space="preserve">第二部分 </w:t>
      </w:r>
      <w:r>
        <w:rPr>
          <w:rFonts w:hint="eastAsia"/>
        </w:rPr>
        <w:t xml:space="preserve">  </w:t>
      </w:r>
      <w:r>
        <w:rPr>
          <w:rFonts w:ascii="黑体" w:eastAsia="黑体"/>
        </w:rPr>
        <w:t xml:space="preserve">随州</w:t>
      </w:r>
      <w:r>
        <w:rPr>
          <w:rFonts w:hint="eastAsia" w:ascii="黑体" w:eastAsia="黑体"/>
        </w:rPr>
        <w:t xml:space="preserve">技师学院2020年</w:t>
      </w:r>
      <w:r>
        <w:rPr>
          <w:rFonts w:ascii="黑体" w:eastAsia="黑体"/>
        </w:rPr>
        <w:t xml:space="preserve">部门预算情况说明</w:t>
      </w:r>
      <w:r>
        <w:rPr>
          <w:rFonts w:ascii="黑体" w:eastAsia="黑体"/>
        </w:rPr>
      </w:r>
    </w:p>
    <w:p>
      <w:pPr>
        <w:pStyle w:val="626"/>
        <w:pBdr/>
        <w:spacing/>
        <w:ind w:firstLine="640"/>
        <w:rPr>
          <w:rFonts w:hint="eastAsia"/>
        </w:rPr>
      </w:pPr>
      <w:r>
        <w:rPr>
          <w:rFonts w:hint="eastAsia"/>
        </w:rPr>
        <w:t xml:space="preserve">（一）收入预算情况</w:t>
      </w:r>
      <w:r>
        <w:rPr>
          <w:rFonts w:hint="eastAsia"/>
        </w:rPr>
      </w:r>
    </w:p>
    <w:p>
      <w:pPr>
        <w:pStyle w:val="626"/>
        <w:pBdr/>
        <w:spacing/>
        <w:ind w:firstLine="960"/>
        <w:rPr>
          <w:rFonts w:hint="eastAsia"/>
        </w:rPr>
      </w:pPr>
      <w:r>
        <w:rPr>
          <w:rFonts w:hint="eastAsia"/>
        </w:rPr>
        <w:t xml:space="preserve">2020年预算收入5445.01万元，其中财政拨款收入3491.28万元，比上年增加1071.28万元，增长44.26%，主要因为上级专项转移支付资金有所增加；其他收入793.73万元，比上年减少205.47万元，降低20.56%;纳入专户管理的非税收入1160万元，比上年增加20万元，增长1.75%，与上年基本持平。</w:t>
      </w:r>
      <w:r>
        <w:rPr>
          <w:rFonts w:hint="eastAsia"/>
        </w:rPr>
      </w:r>
    </w:p>
    <w:p>
      <w:pPr>
        <w:pStyle w:val="626"/>
        <w:pBdr/>
        <w:spacing/>
        <w:ind w:firstLine="640"/>
        <w:rPr>
          <w:rFonts w:hint="eastAsia"/>
        </w:rPr>
      </w:pPr>
      <w:r>
        <w:rPr>
          <w:rFonts w:hint="eastAsia"/>
        </w:rPr>
        <w:t xml:space="preserve">（二）支出预算情况 </w:t>
      </w:r>
      <w:r>
        <w:rPr>
          <w:rFonts w:hint="eastAsia"/>
        </w:rPr>
      </w:r>
    </w:p>
    <w:p>
      <w:pPr>
        <w:pStyle w:val="626"/>
        <w:pBdr/>
        <w:spacing/>
        <w:ind w:firstLine="640"/>
        <w:rPr>
          <w:rFonts w:hint="eastAsia"/>
        </w:rPr>
      </w:pPr>
      <w:r>
        <w:rPr>
          <w:rFonts w:hint="eastAsia"/>
        </w:rPr>
        <w:t xml:space="preserve">2020年基本支出预算5445.01万元，其中：人员支出3611.04万元，公用支出463.44万元；项目支出700万元；事业单位经营支出670.53万元。</w:t>
      </w:r>
      <w:r>
        <w:rPr>
          <w:rFonts w:hint="eastAsia"/>
        </w:rPr>
      </w:r>
    </w:p>
    <w:p>
      <w:pPr>
        <w:pStyle w:val="626"/>
        <w:pBdr/>
        <w:spacing/>
        <w:ind w:firstLine="640"/>
        <w:rPr>
          <w:rFonts w:hint="eastAsia"/>
        </w:rPr>
      </w:pPr>
      <w:r>
        <w:rPr>
          <w:rFonts w:hint="eastAsia"/>
        </w:rPr>
        <w:t xml:space="preserve">（三）财政拨款支出情况</w:t>
      </w:r>
      <w:r>
        <w:rPr>
          <w:rFonts w:hint="eastAsia"/>
        </w:rPr>
      </w:r>
    </w:p>
    <w:p>
      <w:pPr>
        <w:pStyle w:val="626"/>
        <w:pBdr/>
        <w:spacing/>
        <w:ind w:firstLine="960"/>
        <w:rPr>
          <w:rFonts w:hint="eastAsia"/>
        </w:rPr>
      </w:pPr>
      <w:r>
        <w:rPr>
          <w:rFonts w:hint="eastAsia"/>
        </w:rPr>
        <w:t xml:space="preserve">2020年财政预算拨款3491.28万元。其中人员支出2720万元，日常公用支出71.28万元，项目支出700万元。</w:t>
      </w:r>
      <w:r>
        <w:rPr>
          <w:rFonts w:hint="eastAsia"/>
        </w:rPr>
      </w:r>
    </w:p>
    <w:p>
      <w:pPr>
        <w:pStyle w:val="626"/>
        <w:pBdr/>
        <w:spacing/>
        <w:ind w:firstLine="640"/>
        <w:rPr>
          <w:rFonts w:hint="eastAsia"/>
        </w:rPr>
      </w:pPr>
      <w:r>
        <w:rPr>
          <w:rFonts w:hint="eastAsia"/>
        </w:rPr>
        <w:t xml:space="preserve">（四）政府性基金情况</w:t>
      </w:r>
      <w:r>
        <w:rPr>
          <w:rFonts w:hint="eastAsia"/>
        </w:rPr>
      </w:r>
    </w:p>
    <w:p>
      <w:pPr>
        <w:pStyle w:val="626"/>
        <w:pBdr/>
        <w:spacing/>
        <w:ind w:firstLine="640"/>
        <w:rPr>
          <w:rFonts w:hint="eastAsia"/>
        </w:rPr>
      </w:pPr>
      <w:r>
        <w:rPr>
          <w:rFonts w:hint="eastAsia"/>
        </w:rPr>
        <w:t xml:space="preserve">2020年无政府性基金预算拨款安排的支出。</w:t>
      </w:r>
      <w:r>
        <w:rPr>
          <w:rFonts w:hint="eastAsia"/>
        </w:rPr>
      </w:r>
    </w:p>
    <w:p>
      <w:pPr>
        <w:pStyle w:val="626"/>
        <w:pBdr/>
        <w:spacing/>
        <w:ind w:firstLine="320"/>
        <w:rPr>
          <w:rFonts w:hint="eastAsia"/>
        </w:rPr>
      </w:pPr>
      <w:r>
        <w:rPr>
          <w:rFonts w:hint="eastAsia"/>
        </w:rPr>
        <w:t xml:space="preserve">（五）2020年“三公”经费预算情况说明</w:t>
      </w:r>
      <w:r>
        <w:rPr>
          <w:rFonts w:hint="eastAsia"/>
        </w:rPr>
      </w:r>
    </w:p>
    <w:p>
      <w:pPr>
        <w:pStyle w:val="626"/>
        <w:pBdr/>
        <w:spacing/>
        <w:ind w:firstLine="640"/>
        <w:rPr/>
      </w:pPr>
      <w:r>
        <w:rPr>
          <w:rFonts w:hint="eastAsia"/>
        </w:rPr>
        <w:t xml:space="preserve">2020年，“三公”经费未从一般公共预算安排。</w:t>
      </w:r>
      <w:r/>
    </w:p>
    <w:p>
      <w:pPr>
        <w:pStyle w:val="626"/>
        <w:pBdr/>
        <w:spacing/>
        <w:ind/>
        <w:jc w:val="left"/>
        <w:rPr>
          <w:rFonts w:hint="eastAsia" w:ascii="黑体" w:eastAsia="黑体"/>
        </w:rPr>
      </w:pPr>
      <w:r>
        <w:rPr>
          <w:rFonts w:hint="eastAsia" w:ascii="黑体" w:eastAsia="黑体"/>
        </w:rPr>
      </w:r>
      <w:r>
        <w:rPr>
          <w:rFonts w:hint="eastAsia" w:ascii="黑体" w:eastAsia="黑体"/>
        </w:rPr>
      </w:r>
    </w:p>
    <w:p>
      <w:pPr>
        <w:pStyle w:val="626"/>
        <w:pBdr/>
        <w:spacing/>
        <w:ind/>
        <w:jc w:val="center"/>
        <w:rPr>
          <w:rFonts w:ascii="黑体" w:eastAsia="黑体"/>
        </w:rPr>
      </w:pPr>
      <w:r>
        <w:rPr>
          <w:rFonts w:ascii="黑体" w:eastAsia="黑体"/>
        </w:rPr>
        <w:t xml:space="preserve">第三部</w:t>
      </w:r>
      <w:r>
        <w:rPr>
          <w:rFonts w:hint="eastAsia" w:ascii="黑体" w:eastAsia="黑体"/>
        </w:rPr>
        <w:t xml:space="preserve">分  </w:t>
      </w:r>
      <w:r>
        <w:rPr>
          <w:rFonts w:ascii="黑体" w:eastAsia="黑体"/>
        </w:rPr>
        <w:t xml:space="preserve">随州</w:t>
      </w:r>
      <w:r>
        <w:rPr>
          <w:rFonts w:hint="eastAsia" w:ascii="黑体" w:eastAsia="黑体"/>
        </w:rPr>
        <w:t xml:space="preserve">技师学院2020年</w:t>
      </w:r>
      <w:r>
        <w:rPr>
          <w:rFonts w:ascii="黑体" w:eastAsia="黑体"/>
        </w:rPr>
        <w:t xml:space="preserve">部门预算表</w:t>
      </w:r>
      <w:r>
        <w:rPr>
          <w:rFonts w:ascii="黑体" w:eastAsia="黑体"/>
        </w:rPr>
      </w:r>
    </w:p>
    <w:p>
      <w:pPr>
        <w:pStyle w:val="626"/>
        <w:pBdr/>
        <w:spacing/>
        <w:ind/>
        <w:jc w:val="left"/>
        <w:rPr>
          <w:rFonts w:hint="eastAsia" w:ascii="黑体" w:eastAsia="黑体"/>
        </w:rPr>
      </w:pPr>
      <w:r>
        <w:rPr>
          <w:rFonts w:hint="eastAsia" w:ascii="黑体" w:eastAsia="黑体"/>
        </w:rPr>
      </w:r>
      <w:r>
        <w:rPr>
          <w:rFonts w:hint="eastAsia" w:ascii="黑体" w:eastAsia="黑体"/>
        </w:rPr>
      </w:r>
    </w:p>
    <w:p>
      <w:pPr>
        <w:pStyle w:val="626"/>
        <w:pBdr/>
        <w:spacing/>
        <w:ind/>
        <w:jc w:val="center"/>
        <w:rPr>
          <w:rFonts w:hint="eastAsia" w:ascii="黑体" w:eastAsia="黑体"/>
        </w:rPr>
      </w:pPr>
      <w:r>
        <w:rPr>
          <w:rFonts w:ascii="宋体" w:hAnsi="宋体" w:eastAsia="宋体" w:cs="宋体"/>
          <w:sz w:val="24"/>
          <w:szCs w:val="24"/>
        </w:rPr>
        <w:fldChar w:fldCharType="begin"/>
      </w:r>
      <w:r>
        <w:rPr>
          <w:rFonts w:ascii="宋体" w:hAnsi="宋体" w:eastAsia="宋体" w:cs="宋体"/>
          <w:sz w:val="24"/>
          <w:szCs w:val="24"/>
        </w:rPr>
        <w:instrText xml:space="preserve">INCLUDEPICTURE \d "D:\\Documents\\Tencent Files\\494049171\\Image\\C2C\\H5MT95}Z9_9YC_%_}15J$%F.png" \* MERGEFORMATINET </w:instrText>
      </w:r>
      <w:r>
        <w:rPr>
          <w:rFonts w:ascii="宋体" w:hAnsi="宋体" w:eastAsia="宋体" w:cs="宋体"/>
          <w:sz w:val="24"/>
          <w:szCs w:val="24"/>
        </w:rPr>
        <w:fldChar w:fldCharType="separate"/>
        <mc:AlternateContent>
          <mc:Choice Requires="wpg">
            <w:drawing>
              <wp:inline xmlns:wp="http://schemas.openxmlformats.org/drawingml/2006/wordprocessingDrawing" distT="0" distB="0" distL="0" distR="0">
                <wp:extent cx="3286125" cy="4076700"/>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9"/>
                        <a:stretch/>
                      </pic:blipFill>
                      <pic:spPr bwMode="auto">
                        <a:xfrm>
                          <a:off x="0" y="0"/>
                          <a:ext cx="3286125" cy="407669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258.75pt;height:321.00pt;mso-wrap-distance-left:0.00pt;mso-wrap-distance-top:0.00pt;mso-wrap-distance-right:0.00pt;mso-wrap-distance-bottom:0.00pt;z-index:1;" stroked="f">
                <v:imagedata r:id="rId9" o:title=""/>
                <o:lock v:ext="edit" rotation="t"/>
              </v:shape>
            </w:pict>
          </mc:Fallback>
        </mc:AlternateContent>
        <w:fldChar w:fldCharType="end"/>
      </w:r>
      <w:r>
        <w:rPr>
          <w:rFonts w:hint="eastAsia" w:ascii="黑体" w:eastAsia="黑体"/>
        </w:rPr>
      </w:r>
      <w:r>
        <w:rPr>
          <w:rFonts w:hint="eastAsia" w:ascii="黑体" w:eastAsia="黑体"/>
        </w:rPr>
      </w:r>
    </w:p>
    <w:p>
      <w:pPr>
        <w:pStyle w:val="626"/>
        <w:pBdr/>
        <w:spacing/>
        <w:ind/>
        <w:jc w:val="center"/>
        <w:rPr>
          <w:rFonts w:hint="eastAsia" w:ascii="黑体" w:eastAsia="黑体"/>
        </w:rPr>
      </w:pPr>
      <w:r>
        <mc:AlternateContent>
          <mc:Choice Requires="wpg">
            <w:drawing>
              <wp:inline xmlns:wp="http://schemas.openxmlformats.org/drawingml/2006/wordprocessingDrawing" distT="0" distB="0" distL="0" distR="0">
                <wp:extent cx="5756999" cy="1392466"/>
                <wp:effectExtent l="0" t="0" r="0" b="0"/>
                <wp:docPr id="2" name="_x0000_i102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0"/>
                        <a:stretch/>
                      </pic:blipFill>
                      <pic:spPr bwMode="auto">
                        <a:xfrm>
                          <a:off x="0" y="0"/>
                          <a:ext cx="5756999" cy="1392466"/>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53.31pt;height:109.64pt;mso-wrap-distance-left:0.00pt;mso-wrap-distance-top:0.00pt;mso-wrap-distance-right:0.00pt;mso-wrap-distance-bottom:0.00pt;z-index:1;" stroked="f">
                <v:imagedata r:id="rId10" o:title=""/>
                <o:lock v:ext="edit" rotation="t"/>
              </v:shape>
            </w:pict>
          </mc:Fallback>
        </mc:AlternateContent>
      </w:r>
      <w:r>
        <mc:AlternateContent>
          <mc:Choice Requires="wpg">
            <w:drawing>
              <wp:inline xmlns:wp="http://schemas.openxmlformats.org/drawingml/2006/wordprocessingDrawing" distT="0" distB="0" distL="0" distR="0">
                <wp:extent cx="5751982" cy="1478331"/>
                <wp:effectExtent l="0" t="0" r="0" b="0"/>
                <wp:docPr id="3" name="_x0000_i1028"/>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751982" cy="147833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52.91pt;height:116.40pt;mso-wrap-distance-left:0.00pt;mso-wrap-distance-top:0.00pt;mso-wrap-distance-right:0.00pt;mso-wrap-distance-bottom:0.00pt;z-index:1;" stroked="f">
                <v:imagedata r:id="rId11" o:title=""/>
                <o:lock v:ext="edit" rotation="t"/>
              </v:shape>
            </w:pict>
          </mc:Fallback>
        </mc:AlternateContent>
      </w:r>
      <w:r>
        <w:rPr>
          <w:rFonts w:hint="eastAsia" w:ascii="黑体" w:eastAsia="黑体"/>
        </w:rPr>
      </w:r>
      <w:r>
        <w:rPr>
          <w:rFonts w:hint="eastAsia" w:ascii="黑体" w:eastAsia="黑体"/>
        </w:rPr>
      </w:r>
    </w:p>
    <w:p>
      <w:pPr>
        <w:pStyle w:val="626"/>
        <w:pBdr/>
        <w:spacing/>
        <w:ind/>
        <w:jc w:val="left"/>
        <w:rPr>
          <w:rFonts w:hint="eastAsia" w:ascii="黑体" w:eastAsia="黑体"/>
        </w:rPr>
      </w:pPr>
      <w:r>
        <mc:AlternateContent>
          <mc:Choice Requires="wpg">
            <w:drawing>
              <wp:inline xmlns:wp="http://schemas.openxmlformats.org/drawingml/2006/wordprocessingDrawing" distT="0" distB="0" distL="0" distR="0">
                <wp:extent cx="4457700" cy="4848225"/>
                <wp:effectExtent l="0" t="0" r="0" b="0"/>
                <wp:docPr id="4" name="_x0000_i1029"/>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457700" cy="484822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351.00pt;height:381.75pt;mso-wrap-distance-left:0.00pt;mso-wrap-distance-top:0.00pt;mso-wrap-distance-right:0.00pt;mso-wrap-distance-bottom:0.00pt;z-index:1;" stroked="f">
                <v:imagedata r:id="rId12" o:title=""/>
                <o:lock v:ext="edit" rotation="t"/>
              </v:shape>
            </w:pict>
          </mc:Fallback>
        </mc:AlternateContent>
      </w:r>
      <w:r>
        <mc:AlternateContent>
          <mc:Choice Requires="wpg">
            <w:drawing>
              <wp:inline xmlns:wp="http://schemas.openxmlformats.org/drawingml/2006/wordprocessingDrawing" distT="0" distB="0" distL="0" distR="0">
                <wp:extent cx="5757062" cy="2031467"/>
                <wp:effectExtent l="0" t="0" r="0" b="0"/>
                <wp:docPr id="5" name="_x0000_i1030"/>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757062" cy="2031467"/>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53.31pt;height:159.96pt;mso-wrap-distance-left:0.00pt;mso-wrap-distance-top:0.00pt;mso-wrap-distance-right:0.00pt;mso-wrap-distance-bottom:0.00pt;z-index:1;" stroked="f">
                <v:imagedata r:id="rId13" o:title=""/>
                <o:lock v:ext="edit" rotation="t"/>
              </v:shape>
            </w:pict>
          </mc:Fallback>
        </mc:AlternateContent>
      </w:r>
      <w:r>
        <mc:AlternateContent>
          <mc:Choice Requires="wpg">
            <w:drawing>
              <wp:inline xmlns:wp="http://schemas.openxmlformats.org/drawingml/2006/wordprocessingDrawing" distT="0" distB="0" distL="0" distR="0">
                <wp:extent cx="5755005" cy="1585824"/>
                <wp:effectExtent l="0" t="0" r="0" b="0"/>
                <wp:docPr id="6" name="_x0000_i103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5755005" cy="158582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453.15pt;height:124.87pt;mso-wrap-distance-left:0.00pt;mso-wrap-distance-top:0.00pt;mso-wrap-distance-right:0.00pt;mso-wrap-distance-bottom:0.00pt;z-index:1;" stroked="f">
                <v:imagedata r:id="rId14" o:title=""/>
                <o:lock v:ext="edit" rotation="t"/>
              </v:shape>
            </w:pict>
          </mc:Fallback>
        </mc:AlternateContent>
      </w:r>
      <w:r>
        <mc:AlternateContent>
          <mc:Choice Requires="wpg">
            <w:drawing>
              <wp:inline xmlns:wp="http://schemas.openxmlformats.org/drawingml/2006/wordprocessingDrawing" distT="0" distB="0" distL="0" distR="0">
                <wp:extent cx="5757316" cy="3465004"/>
                <wp:effectExtent l="0" t="0" r="0" b="0"/>
                <wp:docPr id="7" name="_x0000_i103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5757316" cy="346500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453.33pt;height:272.83pt;mso-wrap-distance-left:0.00pt;mso-wrap-distance-top:0.00pt;mso-wrap-distance-right:0.00pt;mso-wrap-distance-bottom:0.00pt;z-index:1;" stroked="f">
                <v:imagedata r:id="rId15" o:title=""/>
                <o:lock v:ext="edit" rotation="t"/>
              </v:shape>
            </w:pict>
          </mc:Fallback>
        </mc:AlternateContent>
      </w:r>
      <w:r>
        <mc:AlternateContent>
          <mc:Choice Requires="wpg">
            <w:drawing>
              <wp:inline xmlns:wp="http://schemas.openxmlformats.org/drawingml/2006/wordprocessingDrawing" distT="0" distB="0" distL="0" distR="0">
                <wp:extent cx="5756999" cy="1343050"/>
                <wp:effectExtent l="0" t="0" r="0" b="0"/>
                <wp:docPr id="8" name="_x0000_i103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5756999" cy="134305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453.31pt;height:105.75pt;mso-wrap-distance-left:0.00pt;mso-wrap-distance-top:0.00pt;mso-wrap-distance-right:0.00pt;mso-wrap-distance-bottom:0.00pt;z-index:1;" stroked="f">
                <v:imagedata r:id="rId16" o:title=""/>
                <o:lock v:ext="edit" rotation="t"/>
              </v:shape>
            </w:pict>
          </mc:Fallback>
        </mc:AlternateContent>
      </w:r>
      <w:r>
        <mc:AlternateContent>
          <mc:Choice Requires="wpg">
            <w:drawing>
              <wp:inline xmlns:wp="http://schemas.openxmlformats.org/drawingml/2006/wordprocessingDrawing" distT="0" distB="0" distL="0" distR="0">
                <wp:extent cx="5751919" cy="1480045"/>
                <wp:effectExtent l="0" t="0" r="0" b="0"/>
                <wp:docPr id="9" name="_x0000_i103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5751919" cy="148004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52.91pt;height:116.54pt;mso-wrap-distance-left:0.00pt;mso-wrap-distance-top:0.00pt;mso-wrap-distance-right:0.00pt;mso-wrap-distance-bottom:0.00pt;z-index:1;" stroked="f">
                <v:imagedata r:id="rId17" o:title=""/>
                <o:lock v:ext="edit" rotation="t"/>
              </v:shape>
            </w:pict>
          </mc:Fallback>
        </mc:AlternateContent>
      </w:r>
      <w:r>
        <mc:AlternateContent>
          <mc:Choice Requires="wpg">
            <w:drawing>
              <wp:inline xmlns:wp="http://schemas.openxmlformats.org/drawingml/2006/wordprocessingDrawing" distT="0" distB="0" distL="0" distR="0">
                <wp:extent cx="4886325" cy="2438400"/>
                <wp:effectExtent l="0" t="0" r="0" b="0"/>
                <wp:docPr id="10" name="_x0000_i103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886325" cy="243840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384.75pt;height:192.00pt;mso-wrap-distance-left:0.00pt;mso-wrap-distance-top:0.00pt;mso-wrap-distance-right:0.00pt;mso-wrap-distance-bottom:0.00pt;z-index:1;" stroked="f">
                <v:imagedata r:id="rId18" o:title=""/>
                <o:lock v:ext="edit" rotation="t"/>
              </v:shape>
            </w:pict>
          </mc:Fallback>
        </mc:AlternateContent>
      </w:r>
      <w:r>
        <mc:AlternateContent>
          <mc:Choice Requires="wpg">
            <w:drawing>
              <wp:inline xmlns:wp="http://schemas.openxmlformats.org/drawingml/2006/wordprocessingDrawing" distT="0" distB="0" distL="0" distR="0">
                <wp:extent cx="5758002" cy="1295908"/>
                <wp:effectExtent l="0" t="0" r="0" b="0"/>
                <wp:docPr id="11" name="_x0000_i103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5758002" cy="1295908"/>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53.39pt;height:102.04pt;mso-wrap-distance-left:0.00pt;mso-wrap-distance-top:0.00pt;mso-wrap-distance-right:0.00pt;mso-wrap-distance-bottom:0.00pt;z-index:1;" stroked="f">
                <v:imagedata r:id="rId19" o:title=""/>
                <o:lock v:ext="edit" rotation="t"/>
              </v:shape>
            </w:pict>
          </mc:Fallback>
        </mc:AlternateContent>
      </w:r>
      <w:r>
        <w:rPr>
          <w:rFonts w:hint="eastAsia" w:ascii="黑体" w:eastAsia="黑体"/>
        </w:rPr>
      </w:r>
      <w:r>
        <w:rPr>
          <w:rFonts w:hint="eastAsia" w:ascii="黑体" w:eastAsia="黑体"/>
        </w:rPr>
      </w:r>
    </w:p>
    <w:p>
      <w:pPr>
        <w:pStyle w:val="626"/>
        <w:pBdr/>
        <w:spacing/>
        <w:ind w:firstLine="960"/>
        <w:jc w:val="left"/>
        <w:rPr>
          <w:rFonts w:hint="eastAsia" w:ascii="黑体" w:eastAsia="黑体"/>
        </w:rPr>
      </w:pPr>
      <w:r>
        <w:rPr>
          <w:rFonts w:ascii="黑体" w:eastAsia="黑体"/>
        </w:rPr>
        <w:t xml:space="preserve">第四部分</w:t>
      </w:r>
      <w:r>
        <w:rPr>
          <w:rFonts w:hint="eastAsia" w:ascii="黑体" w:eastAsia="黑体"/>
        </w:rPr>
        <w:t xml:space="preserve">  </w:t>
      </w:r>
      <w:r>
        <w:rPr>
          <w:rFonts w:ascii="黑体" w:eastAsia="黑体"/>
        </w:rPr>
        <w:t xml:space="preserve">名词解释</w:t>
      </w:r>
      <w:r>
        <w:rPr>
          <w:rFonts w:hint="eastAsia" w:ascii="黑体" w:eastAsia="黑体"/>
        </w:rPr>
      </w:r>
      <w:r>
        <w:rPr>
          <w:rFonts w:hint="eastAsia" w:ascii="黑体" w:eastAsia="黑体"/>
        </w:rPr>
      </w:r>
    </w:p>
    <w:p>
      <w:pPr>
        <w:pStyle w:val="626"/>
        <w:pBdr/>
        <w:spacing/>
        <w:ind w:firstLine="640"/>
        <w:jc w:val="left"/>
        <w:rPr>
          <w:rFonts w:hint="eastAsia" w:ascii="仿宋" w:hAnsi="仿宋" w:eastAsia="仿宋"/>
        </w:rPr>
      </w:pPr>
      <w:r>
        <w:rPr>
          <w:rFonts w:hint="eastAsia" w:ascii="仿宋" w:hAnsi="仿宋" w:eastAsia="仿宋"/>
        </w:rPr>
        <w:t xml:space="preserve">一、财政拨款收入：指当年从市级财政取得的公共预算财政拨款和政府性基金预算财政拨款。</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二、事业收入：指事业单位开展专业业务活动及其辅助活动取得的收入。</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三、其他收入：指除上述在“财政拨款收入、事业收入、经营收入”等之外取得的收入。</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四、一般公共服务（类）支出：指政府提供一般公共服务的支出。如政府部门保障机构正常运转、开展业务管理活动所发生的基本支出和项目支出。</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五、教育(类)支出：指政府教育事务支出。包括教育管理事务、普通教育、职工教育、成人教育、广播电视教育、留学教育、特殊教育等。如教育事业单位保障机构正常运转、开展教育管理活动所发生的基本支出和项目支出。</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六、科学技术(类)支出：指科学技术方面的支出。包括科学技术管理事务、基础研究、应用研究、技术研究与开发、科技条件与服务、科学技术普及、开展国际重大科技合作、重大专项、转制科研机构、科技奖励等。</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七、社会保障和就业（类）支出：指政府在社会保障与就业方面的支出。包括社会保障与就业管理事务、民政管理事务、财政对社会保险基金补助、行政事业单位离退休、企业改革补助、就业补助、抚恤、退役安置、社会福利、残疾人事业、城市居民最低生活保障、自然灾害生活救助、红十字会事业等。</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八、住房保障（类）支出：指政府用于住房方面的支出。包括保障性安居工程支出、住房改革支出、城乡社区住宅支出等。如行政事业单位按照国家政策规定向职工发放住房公积金、提租补贴、购房补贴等。</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九、其他支出：指除以上支出（类）以外的其他政府支出。</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十、“三公”经费：是指因公出国（境）费、公务用车购置及运行费和公务接待费。其中，因公出国（境）费指单位工作人员公务出国（境）的住宿费、旅费、伙食补助费、杂费、培训费等支出；公务用车购置及运行费指单位公务用车购置费、租用费、燃料费、维修费、过路过桥费、保险费、安全奖励费用等支出；公务接待费指单位按规定开支的各类公务接待（含外宾接待）支出。</w:t>
      </w:r>
      <w:r>
        <w:rPr>
          <w:rFonts w:hint="eastAsia" w:ascii="仿宋" w:hAnsi="仿宋" w:eastAsia="仿宋"/>
        </w:rPr>
      </w:r>
    </w:p>
    <w:p>
      <w:pPr>
        <w:pStyle w:val="626"/>
        <w:pBdr/>
        <w:spacing/>
        <w:ind w:firstLine="640"/>
        <w:jc w:val="left"/>
        <w:rPr>
          <w:rFonts w:hint="eastAsia" w:ascii="仿宋" w:hAnsi="仿宋" w:eastAsia="仿宋"/>
        </w:rPr>
      </w:pPr>
      <w:r>
        <w:rPr>
          <w:rFonts w:hint="eastAsia" w:ascii="仿宋" w:hAnsi="仿宋" w:eastAsia="仿宋"/>
        </w:rPr>
        <w:t xml:space="preserve">十一、社会保障和就业：反映就业补助、抚恤、退役安置、社会福利、残疾人事业等方面的支出。</w:t>
      </w:r>
      <w:r>
        <w:rPr>
          <w:rFonts w:hint="eastAsia" w:ascii="仿宋" w:hAnsi="仿宋" w:eastAsia="仿宋"/>
        </w:rPr>
      </w:r>
    </w:p>
    <w:sectPr>
      <w:headerReference w:type="default" r:id="rId8"/>
      <w:footnotePr/>
      <w:endnotePr/>
      <w:type w:val="nextPage"/>
      <w:pgSz w:h="16838" w:orient="landscape" w:w="11906"/>
      <w:pgMar w:top="1418" w:right="1418" w:bottom="1418" w:left="1418" w:header="851" w:footer="992"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黑体">
    <w:panose1 w:val="02010609060101010101"/>
  </w:font>
  <w:font w:name="方正大标宋简体">
    <w:panose1 w:val="020B0604020202020204"/>
  </w:font>
  <w:font w:name="仿宋_GB2312">
    <w:panose1 w:val="02010609060101010101"/>
  </w:font>
  <w:font w:name="Arial">
    <w:panose1 w:val="020B0604020202020204"/>
  </w:font>
  <w:font w:name="等线">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30"/>
      <w:pBdr>
        <w:bottom w:val="none" w:color="000000" w:sz="0" w:space="0"/>
      </w:pBdr>
      <w:spacing/>
      <w:ind/>
      <w:rP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26"/>
    <w:next w:val="626"/>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26"/>
    <w:next w:val="626"/>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26"/>
    <w:next w:val="626"/>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26"/>
    <w:next w:val="626"/>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26"/>
    <w:next w:val="626"/>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26"/>
    <w:next w:val="626"/>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26"/>
    <w:next w:val="626"/>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26"/>
    <w:next w:val="626"/>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26"/>
    <w:next w:val="626"/>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26"/>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26"/>
    <w:next w:val="626"/>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26"/>
    <w:next w:val="626"/>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26"/>
    <w:next w:val="626"/>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26"/>
    <w:next w:val="626"/>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26"/>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26"/>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26"/>
    <w:next w:val="626"/>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26"/>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26"/>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26"/>
    <w:next w:val="626"/>
    <w:uiPriority w:val="39"/>
    <w:unhideWhenUsed/>
    <w:pPr>
      <w:pBdr/>
      <w:spacing w:after="57"/>
      <w:ind w:right="0" w:firstLine="0" w:left="0"/>
    </w:pPr>
  </w:style>
  <w:style w:type="paragraph" w:styleId="182">
    <w:name w:val="toc 2"/>
    <w:basedOn w:val="626"/>
    <w:next w:val="626"/>
    <w:uiPriority w:val="39"/>
    <w:unhideWhenUsed/>
    <w:pPr>
      <w:pBdr/>
      <w:spacing w:after="57"/>
      <w:ind w:right="0" w:firstLine="0" w:left="283"/>
    </w:pPr>
  </w:style>
  <w:style w:type="paragraph" w:styleId="183">
    <w:name w:val="toc 3"/>
    <w:basedOn w:val="626"/>
    <w:next w:val="626"/>
    <w:uiPriority w:val="39"/>
    <w:unhideWhenUsed/>
    <w:pPr>
      <w:pBdr/>
      <w:spacing w:after="57"/>
      <w:ind w:right="0" w:firstLine="0" w:left="567"/>
    </w:pPr>
  </w:style>
  <w:style w:type="paragraph" w:styleId="184">
    <w:name w:val="toc 4"/>
    <w:basedOn w:val="626"/>
    <w:next w:val="626"/>
    <w:uiPriority w:val="39"/>
    <w:unhideWhenUsed/>
    <w:pPr>
      <w:pBdr/>
      <w:spacing w:after="57"/>
      <w:ind w:right="0" w:firstLine="0" w:left="850"/>
    </w:pPr>
  </w:style>
  <w:style w:type="paragraph" w:styleId="185">
    <w:name w:val="toc 5"/>
    <w:basedOn w:val="626"/>
    <w:next w:val="626"/>
    <w:uiPriority w:val="39"/>
    <w:unhideWhenUsed/>
    <w:pPr>
      <w:pBdr/>
      <w:spacing w:after="57"/>
      <w:ind w:right="0" w:firstLine="0" w:left="1134"/>
    </w:pPr>
  </w:style>
  <w:style w:type="paragraph" w:styleId="186">
    <w:name w:val="toc 6"/>
    <w:basedOn w:val="626"/>
    <w:next w:val="626"/>
    <w:uiPriority w:val="39"/>
    <w:unhideWhenUsed/>
    <w:pPr>
      <w:pBdr/>
      <w:spacing w:after="57"/>
      <w:ind w:right="0" w:firstLine="0" w:left="1417"/>
    </w:pPr>
  </w:style>
  <w:style w:type="paragraph" w:styleId="187">
    <w:name w:val="toc 7"/>
    <w:basedOn w:val="626"/>
    <w:next w:val="626"/>
    <w:uiPriority w:val="39"/>
    <w:unhideWhenUsed/>
    <w:pPr>
      <w:pBdr/>
      <w:spacing w:after="57"/>
      <w:ind w:right="0" w:firstLine="0" w:left="1701"/>
    </w:pPr>
  </w:style>
  <w:style w:type="paragraph" w:styleId="188">
    <w:name w:val="toc 8"/>
    <w:basedOn w:val="626"/>
    <w:next w:val="626"/>
    <w:uiPriority w:val="39"/>
    <w:unhideWhenUsed/>
    <w:pPr>
      <w:pBdr/>
      <w:spacing w:after="57"/>
      <w:ind w:right="0" w:firstLine="0" w:left="1984"/>
    </w:pPr>
  </w:style>
  <w:style w:type="paragraph" w:styleId="189">
    <w:name w:val="toc 9"/>
    <w:basedOn w:val="626"/>
    <w:next w:val="626"/>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26"/>
    <w:next w:val="626"/>
    <w:uiPriority w:val="99"/>
    <w:unhideWhenUsed/>
    <w:pPr>
      <w:pBdr/>
      <w:spacing w:after="0" w:afterAutospacing="0"/>
      <w:ind/>
    </w:pPr>
  </w:style>
  <w:style w:type="paragraph" w:styleId="626" w:default="1">
    <w:name w:val="Normal"/>
    <w:next w:val="626"/>
    <w:link w:val="626"/>
    <w:qFormat/>
    <w:pPr>
      <w:widowControl w:val="false"/>
      <w:pBdr/>
      <w:spacing/>
      <w:ind/>
      <w:jc w:val="both"/>
    </w:pPr>
    <w:rPr>
      <w:rFonts w:eastAsia="仿宋_GB2312"/>
      <w:sz w:val="32"/>
      <w:szCs w:val="31"/>
      <w:lang w:val="en-US" w:eastAsia="zh-CN" w:bidi="ar-SA"/>
    </w:rPr>
  </w:style>
  <w:style w:type="character" w:styleId="627">
    <w:name w:val="默认段落字体"/>
    <w:next w:val="627"/>
    <w:link w:val="626"/>
    <w:semiHidden/>
    <w:pPr>
      <w:pBdr/>
      <w:spacing/>
      <w:ind/>
    </w:pPr>
  </w:style>
  <w:style w:type="table" w:styleId="628">
    <w:name w:val="普通表格"/>
    <w:next w:val="628"/>
    <w:link w:val="626"/>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629">
    <w:name w:val="无列表"/>
    <w:next w:val="629"/>
    <w:link w:val="626"/>
    <w:uiPriority w:val="99"/>
    <w:semiHidden/>
    <w:unhideWhenUsed/>
    <w:pPr>
      <w:pBdr/>
      <w:spacing/>
      <w:ind/>
    </w:pPr>
  </w:style>
  <w:style w:type="paragraph" w:styleId="630">
    <w:name w:val="页眉"/>
    <w:basedOn w:val="626"/>
    <w:next w:val="630"/>
    <w:link w:val="626"/>
    <w:pPr>
      <w:pBdr>
        <w:bottom w:val="single" w:color="000000" w:sz="6" w:space="1"/>
      </w:pBdr>
      <w:tabs>
        <w:tab w:val="center" w:leader="none" w:pos="4153"/>
        <w:tab w:val="right" w:leader="none" w:pos="8306"/>
      </w:tabs>
      <w:spacing/>
      <w:ind/>
      <w:jc w:val="center"/>
    </w:pPr>
    <w:rPr>
      <w:sz w:val="18"/>
      <w:szCs w:val="18"/>
    </w:rPr>
  </w:style>
  <w:style w:type="paragraph" w:styleId="631">
    <w:name w:val="页脚"/>
    <w:basedOn w:val="626"/>
    <w:next w:val="631"/>
    <w:link w:val="626"/>
    <w:pPr>
      <w:pBdr/>
      <w:tabs>
        <w:tab w:val="center" w:leader="none" w:pos="4153"/>
        <w:tab w:val="right" w:leader="none" w:pos="8306"/>
      </w:tabs>
      <w:spacing/>
      <w:ind/>
      <w:jc w:val="left"/>
    </w:pPr>
    <w:rPr>
      <w:sz w:val="18"/>
      <w:szCs w:val="18"/>
    </w:rPr>
  </w:style>
  <w:style w:type="paragraph" w:styleId="632">
    <w:name w:val="批注框文本"/>
    <w:basedOn w:val="626"/>
    <w:next w:val="632"/>
    <w:link w:val="626"/>
    <w:semiHidden/>
    <w:pPr>
      <w:pBdr/>
      <w:spacing/>
      <w:ind/>
    </w:pPr>
    <w:rPr>
      <w:sz w:val="18"/>
      <w:szCs w:val="18"/>
    </w:rPr>
  </w:style>
  <w:style w:type="paragraph" w:styleId="633">
    <w:name w:val="日期"/>
    <w:basedOn w:val="626"/>
    <w:next w:val="626"/>
    <w:link w:val="626"/>
    <w:pPr>
      <w:pBdr/>
      <w:spacing/>
      <w:ind w:left="100"/>
    </w:pPr>
  </w:style>
  <w:style w:type="character" w:styleId="1233" w:default="1">
    <w:name w:val="Default Paragraph Font"/>
    <w:uiPriority w:val="1"/>
    <w:semiHidden/>
    <w:unhideWhenUsed/>
    <w:pPr>
      <w:pBdr/>
      <w:spacing/>
      <w:ind/>
    </w:pPr>
  </w:style>
  <w:style w:type="numbering" w:styleId="1234" w:default="1">
    <w:name w:val="No List"/>
    <w:uiPriority w:val="99"/>
    <w:semiHidden/>
    <w:unhideWhenUsed/>
    <w:pPr>
      <w:pBdr/>
      <w:spacing/>
      <w:ind/>
    </w:pPr>
  </w:style>
  <w:style w:type="table" w:styleId="1235"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MC SYSTEM</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市财政局关于下达2010年市直部门预算的通知</dc:title>
  <dc:creator>微软用户</dc:creator>
  <cp:lastModifiedBy>匿名</cp:lastModifiedBy>
  <cp:revision>4</cp:revision>
  <dcterms:created xsi:type="dcterms:W3CDTF">2019-02-26T02:35:00Z</dcterms:created>
  <dcterms:modified xsi:type="dcterms:W3CDTF">2024-10-09T08:54:16Z</dcterms:modified>
  <cp:version>983040</cp:version>
</cp:coreProperties>
</file>