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680"/>
        <w:pBdr/>
        <w:spacing w:line="600" w:lineRule="exact"/>
        <w:ind/>
        <w:jc w:val="center"/>
        <w:rPr>
          <w:rFonts w:hint="eastAsia" w:ascii="宋体" w:hAnsi="宋体" w:eastAsia="宋体"/>
          <w:sz w:val="42"/>
          <w:szCs w:val="42"/>
        </w:rPr>
      </w:pPr>
      <w:r>
        <w:rPr>
          <w:rFonts w:hint="eastAsia" w:ascii="宋体" w:hAnsi="宋体" w:eastAsia="宋体"/>
          <w:sz w:val="42"/>
          <w:szCs w:val="42"/>
        </w:rPr>
        <w:t xml:space="preserve">201</w:t>
      </w:r>
      <w:r>
        <w:rPr>
          <w:rFonts w:hint="eastAsia" w:ascii="宋体" w:hAnsi="宋体" w:eastAsia="宋体"/>
          <w:sz w:val="42"/>
          <w:szCs w:val="42"/>
          <w:lang w:val="en-US" w:eastAsia="zh-CN"/>
        </w:rPr>
        <w:t xml:space="preserve">9</w:t>
      </w:r>
      <w:r>
        <w:rPr>
          <w:rFonts w:hint="eastAsia" w:ascii="宋体" w:hAnsi="宋体" w:eastAsia="宋体"/>
          <w:sz w:val="42"/>
          <w:szCs w:val="42"/>
        </w:rPr>
        <w:t xml:space="preserve">年度随州市委党校整体支出绩效</w:t>
      </w:r>
      <w:r>
        <w:rPr>
          <w:rFonts w:hint="eastAsia" w:ascii="宋体" w:hAnsi="宋体" w:eastAsia="宋体"/>
          <w:sz w:val="42"/>
          <w:szCs w:val="42"/>
        </w:rPr>
      </w:r>
      <w:r>
        <w:rPr>
          <w:rFonts w:hint="eastAsia" w:ascii="宋体" w:hAnsi="宋体" w:eastAsia="宋体"/>
          <w:sz w:val="42"/>
          <w:szCs w:val="42"/>
        </w:rPr>
      </w:r>
    </w:p>
    <w:p>
      <w:pPr>
        <w:pStyle w:val="680"/>
        <w:pBdr/>
        <w:spacing w:line="600" w:lineRule="exact"/>
        <w:ind/>
        <w:jc w:val="center"/>
        <w:rPr>
          <w:rFonts w:hint="eastAsia" w:ascii="宋体" w:hAnsi="宋体" w:eastAsia="宋体"/>
          <w:sz w:val="42"/>
          <w:szCs w:val="42"/>
        </w:rPr>
      </w:pPr>
      <w:r>
        <w:rPr>
          <w:rFonts w:hint="eastAsia" w:ascii="宋体" w:hAnsi="宋体" w:eastAsia="宋体"/>
          <w:sz w:val="42"/>
          <w:szCs w:val="42"/>
        </w:rPr>
        <w:t xml:space="preserve">自评报告</w:t>
      </w:r>
      <w:r>
        <w:rPr>
          <w:rFonts w:hint="eastAsia" w:ascii="宋体" w:hAnsi="宋体" w:eastAsia="宋体"/>
          <w:sz w:val="42"/>
          <w:szCs w:val="42"/>
        </w:rPr>
      </w:r>
      <w:r>
        <w:rPr>
          <w:rFonts w:hint="eastAsia" w:ascii="宋体" w:hAnsi="宋体" w:eastAsia="宋体"/>
          <w:sz w:val="42"/>
          <w:szCs w:val="42"/>
        </w:rPr>
      </w:r>
    </w:p>
    <w:p>
      <w:pPr>
        <w:pStyle w:val="680"/>
        <w:pBdr/>
        <w:spacing w:line="620" w:lineRule="exact"/>
        <w:ind w:firstLine="840"/>
        <w:rPr>
          <w:rFonts w:hint="eastAsia" w:ascii="宋体" w:hAnsi="宋体" w:eastAsia="宋体"/>
          <w:sz w:val="42"/>
          <w:szCs w:val="42"/>
        </w:rPr>
      </w:pPr>
      <w:r>
        <w:rPr>
          <w:rFonts w:hint="eastAsia" w:ascii="宋体" w:hAnsi="宋体" w:eastAsia="宋体"/>
          <w:sz w:val="42"/>
          <w:szCs w:val="42"/>
        </w:rPr>
      </w:r>
      <w:r>
        <w:rPr>
          <w:rFonts w:hint="eastAsia" w:ascii="宋体" w:hAnsi="宋体" w:eastAsia="宋体"/>
          <w:sz w:val="42"/>
          <w:szCs w:val="42"/>
        </w:rPr>
      </w:r>
    </w:p>
    <w:p>
      <w:pPr>
        <w:pStyle w:val="680"/>
        <w:numPr>
          <w:ilvl w:val="0"/>
          <w:numId w:val="1"/>
        </w:numPr>
        <w:pBdr/>
        <w:spacing w:line="620" w:lineRule="exact"/>
        <w:ind/>
        <w:rPr>
          <w:rFonts w:hint="eastAsia" w:ascii="宋体" w:hAnsi="宋体" w:eastAsia="宋体"/>
          <w:szCs w:val="32"/>
        </w:rPr>
      </w:pPr>
      <w:r>
        <w:rPr>
          <w:rFonts w:ascii="宋体" w:hAnsi="宋体" w:eastAsia="宋体"/>
          <w:szCs w:val="32"/>
        </w:rPr>
        <w:t xml:space="preserve">基本情况</w:t>
      </w:r>
      <w:r>
        <w:rPr>
          <w:rFonts w:hint="eastAsia" w:ascii="宋体" w:hAnsi="宋体" w:eastAsia="宋体"/>
          <w:szCs w:val="32"/>
        </w:rPr>
      </w:r>
      <w:r>
        <w:rPr>
          <w:rFonts w:hint="eastAsia" w:ascii="宋体" w:hAnsi="宋体" w:eastAsia="宋体"/>
          <w:szCs w:val="32"/>
        </w:rPr>
      </w:r>
    </w:p>
    <w:p>
      <w:pPr>
        <w:pStyle w:val="680"/>
        <w:pBdr/>
        <w:spacing w:line="620" w:lineRule="exact"/>
        <w:ind w:firstLine="480"/>
        <w:rPr>
          <w:rFonts w:hint="eastAsia" w:ascii="宋体" w:hAnsi="宋体" w:eastAsia="宋体"/>
          <w:szCs w:val="32"/>
        </w:rPr>
      </w:pPr>
      <w:r>
        <w:rPr>
          <w:rFonts w:ascii="宋体" w:hAnsi="宋体" w:eastAsia="宋体"/>
          <w:szCs w:val="32"/>
        </w:rPr>
        <w:t xml:space="preserve">（一）简要概述部门支出情况以及当年市委市政府下达的重点工作。</w:t>
      </w:r>
      <w:r>
        <w:rPr>
          <w:rFonts w:hint="eastAsia" w:ascii="宋体" w:hAnsi="宋体" w:eastAsia="宋体"/>
          <w:szCs w:val="32"/>
        </w:rPr>
      </w:r>
      <w:r>
        <w:rPr>
          <w:rFonts w:hint="eastAsia" w:ascii="宋体" w:hAnsi="宋体" w:eastAsia="宋体"/>
          <w:szCs w:val="32"/>
        </w:rPr>
      </w:r>
    </w:p>
    <w:p>
      <w:pPr>
        <w:pStyle w:val="680"/>
        <w:pBdr/>
        <w:spacing w:line="620" w:lineRule="exact"/>
        <w:ind w:firstLine="640"/>
        <w:rPr>
          <w:rFonts w:ascii="宋体" w:hAnsi="宋体" w:eastAsia="宋体"/>
          <w:szCs w:val="32"/>
        </w:rPr>
      </w:pPr>
      <w:r>
        <w:rPr>
          <w:rFonts w:hint="eastAsia" w:ascii="宋体" w:hAnsi="宋体" w:eastAsia="宋体"/>
          <w:szCs w:val="32"/>
        </w:rPr>
        <w:t xml:space="preserve">201</w:t>
      </w:r>
      <w:r>
        <w:rPr>
          <w:rFonts w:hint="eastAsia" w:ascii="宋体" w:hAnsi="宋体" w:eastAsia="宋体"/>
          <w:szCs w:val="32"/>
          <w:lang w:val="en-US" w:eastAsia="zh-CN"/>
        </w:rPr>
        <w:t xml:space="preserve">9</w:t>
      </w:r>
      <w:r>
        <w:rPr>
          <w:rFonts w:hint="eastAsia" w:ascii="宋体" w:hAnsi="宋体" w:eastAsia="宋体"/>
          <w:szCs w:val="32"/>
        </w:rPr>
        <w:t xml:space="preserve">年度市委党校整体支出总额4559.57万元，其中包含基本支出1025.68万元和项目支出3533.89万元。</w:t>
      </w:r>
      <w:r>
        <w:rPr>
          <w:rFonts w:ascii="宋体" w:hAnsi="宋体" w:eastAsia="宋体"/>
          <w:szCs w:val="32"/>
        </w:rPr>
      </w:r>
      <w:r>
        <w:rPr>
          <w:rFonts w:ascii="宋体" w:hAnsi="宋体" w:eastAsia="宋体"/>
          <w:szCs w:val="32"/>
        </w:rPr>
      </w:r>
    </w:p>
    <w:p>
      <w:pPr>
        <w:pStyle w:val="680"/>
        <w:widowControl w:val="true"/>
        <w:pBdr/>
        <w:spacing w:line="600" w:lineRule="exact"/>
        <w:ind w:firstLine="640"/>
        <w:rPr>
          <w:rFonts w:hint="eastAsia" w:ascii="仿宋_GB2312" w:hAnsi="仿宋_GB2312" w:eastAsia="仿宋_GB2312" w:cs="仿宋_GB2312"/>
          <w:b w:val="0"/>
          <w:bCs w:val="0"/>
          <w:color w:val="000000"/>
          <w:sz w:val="32"/>
          <w:szCs w:val="32"/>
          <w:shd w:val="clear" w:color="auto" w:fill="ffffff"/>
        </w:rPr>
      </w:pPr>
      <w:r>
        <w:rPr>
          <w:rFonts w:hint="eastAsia" w:ascii="宋体" w:hAnsi="宋体" w:eastAsia="宋体"/>
          <w:szCs w:val="32"/>
        </w:rPr>
        <w:t xml:space="preserve">201</w:t>
      </w:r>
      <w:r>
        <w:rPr>
          <w:rFonts w:hint="eastAsia" w:ascii="宋体" w:hAnsi="宋体" w:eastAsia="宋体"/>
          <w:szCs w:val="32"/>
          <w:lang w:val="en-US" w:eastAsia="zh-CN"/>
        </w:rPr>
        <w:t xml:space="preserve">9</w:t>
      </w:r>
      <w:r>
        <w:rPr>
          <w:rFonts w:hint="eastAsia" w:ascii="宋体" w:hAnsi="宋体" w:eastAsia="宋体"/>
          <w:szCs w:val="32"/>
        </w:rPr>
        <w:t xml:space="preserve">年</w:t>
      </w:r>
      <w:r>
        <w:rPr>
          <w:rFonts w:hint="eastAsia" w:ascii="仿宋_GB2312" w:hAnsi="仿宋_GB2312" w:eastAsia="仿宋_GB2312" w:cs="仿宋_GB2312"/>
          <w:b w:val="0"/>
          <w:bCs w:val="0"/>
          <w:color w:val="000000"/>
          <w:sz w:val="32"/>
          <w:szCs w:val="32"/>
          <w:shd w:val="clear" w:color="auto" w:fill="ffffff"/>
        </w:rPr>
        <w:t xml:space="preserve">我校共举办各类培训班次27期，共培训干部2406人。此外，我校还保障了市委常委“不忘初心、牢记使命”主题教育读书班，承办了全省党校系统深入学习贯彻</w:t>
      </w:r>
      <w:r>
        <w:rPr>
          <w:rFonts w:hint="eastAsia" w:ascii="仿宋_GB2312" w:hAnsi="仿宋_GB2312" w:cs="仿宋_GB2312"/>
          <w:b w:val="0"/>
          <w:bCs w:val="0"/>
          <w:color w:val="000000"/>
          <w:sz w:val="32"/>
          <w:szCs w:val="32"/>
          <w:shd w:val="clear" w:color="auto" w:fill="ffffff"/>
          <w:lang w:eastAsia="zh-CN"/>
        </w:rPr>
        <w:t xml:space="preserve">党的十九届四中全会精神</w:t>
      </w:r>
      <w:r>
        <w:rPr>
          <w:rFonts w:hint="eastAsia" w:ascii="仿宋_GB2312" w:hAnsi="仿宋_GB2312" w:eastAsia="仿宋_GB2312" w:cs="仿宋_GB2312"/>
          <w:b w:val="0"/>
          <w:bCs w:val="0"/>
          <w:color w:val="000000"/>
          <w:sz w:val="32"/>
          <w:szCs w:val="32"/>
          <w:shd w:val="clear" w:color="auto" w:fill="ffffff"/>
        </w:rPr>
        <w:t xml:space="preserve">师资培训班，培训400多人。新校园投入使用四个多月来，开创了我校历史上培训班次最多、人数最多、层次最高、范围最广“四个之最”。我们还安排优秀教师到县市区、市直各单位、基层单位宣讲达200余场次，听课人数近1</w:t>
      </w:r>
      <w:r>
        <w:rPr>
          <w:rFonts w:hint="eastAsia" w:ascii="仿宋_GB2312" w:hAnsi="仿宋_GB2312" w:eastAsia="仿宋_GB2312" w:cs="仿宋_GB2312"/>
          <w:b w:val="0"/>
          <w:bCs w:val="0"/>
          <w:color w:val="000000"/>
          <w:sz w:val="32"/>
          <w:szCs w:val="32"/>
          <w:shd w:val="clear" w:color="auto" w:fill="ffffff"/>
          <w:lang w:val="en-US" w:eastAsia="zh-CN"/>
        </w:rPr>
        <w:t xml:space="preserve">3</w:t>
      </w:r>
      <w:r>
        <w:rPr>
          <w:rFonts w:hint="eastAsia" w:ascii="仿宋_GB2312" w:hAnsi="仿宋_GB2312" w:eastAsia="仿宋_GB2312" w:cs="仿宋_GB2312"/>
          <w:b w:val="0"/>
          <w:bCs w:val="0"/>
          <w:color w:val="000000"/>
          <w:sz w:val="32"/>
          <w:szCs w:val="32"/>
          <w:shd w:val="clear" w:color="auto" w:fill="ffffff"/>
        </w:rPr>
        <w:t xml:space="preserve">000人次，充分发挥了党校干部培训主阵地、主渠道作用。</w:t>
      </w:r>
      <w:r>
        <w:rPr>
          <w:rFonts w:hint="eastAsia" w:ascii="仿宋_GB2312" w:hAnsi="仿宋_GB2312" w:eastAsia="仿宋_GB2312" w:cs="仿宋_GB2312"/>
          <w:b w:val="0"/>
          <w:bCs w:val="0"/>
          <w:color w:val="000000"/>
          <w:sz w:val="32"/>
          <w:szCs w:val="32"/>
          <w:shd w:val="clear" w:color="auto" w:fill="ffffff"/>
        </w:rPr>
      </w:r>
      <w:r>
        <w:rPr>
          <w:rFonts w:hint="eastAsia" w:ascii="仿宋_GB2312" w:hAnsi="仿宋_GB2312" w:eastAsia="仿宋_GB2312" w:cs="仿宋_GB2312"/>
          <w:b w:val="0"/>
          <w:bCs w:val="0"/>
          <w:color w:val="000000"/>
          <w:sz w:val="32"/>
          <w:szCs w:val="32"/>
          <w:shd w:val="clear" w:color="auto" w:fill="ffffff"/>
        </w:rPr>
      </w:r>
    </w:p>
    <w:p>
      <w:pPr>
        <w:pStyle w:val="680"/>
        <w:keepNext w:val="false"/>
        <w:keepLines w:val="false"/>
        <w:pageBreakBefore w:val="false"/>
        <w:pBdr/>
        <w:spacing w:line="590" w:lineRule="exact"/>
        <w:ind w:right="0" w:firstLine="640"/>
        <w:rPr>
          <w:rFonts w:hint="eastAsia" w:ascii="仿宋_GB2312" w:hAnsi="仿宋_GB2312" w:eastAsia="仿宋_GB2312" w:cs="仿宋_GB2312"/>
          <w:b w:val="0"/>
          <w:bCs w:val="0"/>
          <w:color w:val="000000"/>
          <w:sz w:val="32"/>
          <w:szCs w:val="32"/>
          <w:shd w:val="clear" w:color="auto" w:fill="ffffff"/>
        </w:rPr>
      </w:pPr>
      <w:r>
        <w:rPr>
          <w:rFonts w:hint="eastAsia" w:ascii="仿宋_GB2312" w:hAnsi="仿宋_GB2312" w:eastAsia="仿宋_GB2312" w:cs="仿宋_GB2312"/>
          <w:b w:val="0"/>
          <w:bCs w:val="0"/>
          <w:color w:val="000000"/>
          <w:sz w:val="32"/>
          <w:szCs w:val="32"/>
          <w:shd w:val="clear" w:color="auto" w:fill="ffffff"/>
        </w:rPr>
        <w:t xml:space="preserve">坚持以学习习近平新时代中国特色社会主义思想为中心内容和首要任务，</w:t>
      </w:r>
      <w:r>
        <w:rPr>
          <w:rFonts w:hint="eastAsia" w:ascii="仿宋_GB2312" w:hAnsi="仿宋_GB2312" w:eastAsia="仿宋_GB2312" w:cs="仿宋_GB2312"/>
          <w:b w:val="0"/>
          <w:bCs w:val="0"/>
          <w:color w:val="000000"/>
          <w:sz w:val="32"/>
          <w:szCs w:val="32"/>
        </w:rPr>
        <w:t xml:space="preserve">突出党的理论教育和党性教育主课地位</w:t>
      </w:r>
      <w:r>
        <w:rPr>
          <w:rFonts w:hint="eastAsia" w:ascii="仿宋_GB2312" w:hAnsi="仿宋_GB2312" w:eastAsia="仿宋_GB2312" w:cs="仿宋_GB2312"/>
          <w:b w:val="0"/>
          <w:bCs w:val="0"/>
          <w:color w:val="000000"/>
          <w:sz w:val="32"/>
          <w:szCs w:val="32"/>
          <w:shd w:val="clear" w:color="auto" w:fill="ffffff"/>
          <w:lang w:eastAsia="zh-CN"/>
        </w:rPr>
        <w:t xml:space="preserve">。</w:t>
      </w:r>
      <w:r>
        <w:rPr>
          <w:rFonts w:hint="eastAsia" w:ascii="仿宋_GB2312" w:hAnsi="仿宋_GB2312" w:eastAsia="仿宋_GB2312" w:cs="仿宋_GB2312"/>
          <w:b w:val="0"/>
          <w:bCs w:val="0"/>
          <w:color w:val="000000"/>
          <w:sz w:val="32"/>
          <w:szCs w:val="32"/>
          <w:shd w:val="clear" w:color="auto" w:fill="ffffff"/>
        </w:rPr>
        <w:t xml:space="preserve">2019年春秋两季主体班次中，新思想专题占比</w:t>
      </w:r>
      <w:r>
        <w:rPr>
          <w:rFonts w:hint="eastAsia" w:ascii="仿宋_GB2312" w:hAnsi="仿宋_GB2312" w:eastAsia="仿宋_GB2312" w:cs="仿宋_GB2312"/>
          <w:b w:val="0"/>
          <w:bCs w:val="0"/>
          <w:color w:val="000000"/>
          <w:sz w:val="32"/>
          <w:szCs w:val="32"/>
          <w:shd w:val="clear" w:color="auto" w:fill="ffffff"/>
          <w:lang w:val="en-US" w:eastAsia="zh-CN"/>
        </w:rPr>
        <w:t xml:space="preserve">56.7%</w:t>
      </w:r>
      <w:r>
        <w:rPr>
          <w:rFonts w:hint="eastAsia" w:ascii="仿宋_GB2312" w:hAnsi="仿宋_GB2312" w:eastAsia="仿宋_GB2312" w:cs="仿宋_GB2312"/>
          <w:b w:val="0"/>
          <w:bCs w:val="0"/>
          <w:color w:val="000000"/>
          <w:sz w:val="32"/>
          <w:szCs w:val="32"/>
          <w:shd w:val="clear" w:color="auto" w:fill="ffffff"/>
        </w:rPr>
        <w:t xml:space="preserve">，理论教育和党性教育课占比</w:t>
      </w:r>
      <w:r>
        <w:rPr>
          <w:rFonts w:hint="eastAsia" w:ascii="仿宋_GB2312" w:hAnsi="仿宋_GB2312" w:eastAsia="仿宋_GB2312" w:cs="仿宋_GB2312"/>
          <w:b w:val="0"/>
          <w:bCs w:val="0"/>
          <w:color w:val="000000"/>
          <w:sz w:val="32"/>
          <w:szCs w:val="32"/>
          <w:shd w:val="clear" w:color="auto" w:fill="ffffff"/>
          <w:lang w:val="en-US" w:eastAsia="zh-CN"/>
        </w:rPr>
        <w:t xml:space="preserve">89.7%</w:t>
      </w:r>
      <w:r>
        <w:rPr>
          <w:rFonts w:hint="eastAsia" w:ascii="仿宋_GB2312" w:hAnsi="仿宋_GB2312" w:eastAsia="仿宋_GB2312" w:cs="仿宋_GB2312"/>
          <w:b w:val="0"/>
          <w:bCs w:val="0"/>
          <w:color w:val="000000"/>
          <w:sz w:val="32"/>
          <w:szCs w:val="32"/>
          <w:shd w:val="clear" w:color="auto" w:fill="ffffff"/>
        </w:rPr>
        <w:t xml:space="preserve">，其中党性教育占比</w:t>
      </w:r>
      <w:r>
        <w:rPr>
          <w:rFonts w:hint="eastAsia" w:ascii="仿宋_GB2312" w:hAnsi="仿宋_GB2312" w:eastAsia="仿宋_GB2312" w:cs="仿宋_GB2312"/>
          <w:b w:val="0"/>
          <w:bCs w:val="0"/>
          <w:color w:val="000000"/>
          <w:sz w:val="32"/>
          <w:szCs w:val="32"/>
          <w:shd w:val="clear" w:color="auto" w:fill="ffffff"/>
          <w:lang w:val="en-US" w:eastAsia="zh-CN"/>
        </w:rPr>
        <w:t xml:space="preserve">30.3%</w:t>
      </w:r>
      <w:r>
        <w:rPr>
          <w:rFonts w:hint="eastAsia" w:ascii="仿宋_GB2312" w:hAnsi="仿宋_GB2312" w:eastAsia="仿宋_GB2312" w:cs="仿宋_GB2312"/>
          <w:b w:val="0"/>
          <w:bCs w:val="0"/>
          <w:color w:val="000000"/>
          <w:sz w:val="32"/>
          <w:szCs w:val="32"/>
          <w:shd w:val="clear" w:color="auto" w:fill="ffffff"/>
        </w:rPr>
        <w:t xml:space="preserve">，均超过中央规定比例。</w:t>
      </w:r>
      <w:r>
        <w:rPr>
          <w:rFonts w:hint="eastAsia" w:ascii="仿宋_GB2312" w:hAnsi="仿宋_GB2312" w:eastAsia="仿宋_GB2312" w:cs="仿宋_GB2312"/>
          <w:b w:val="0"/>
          <w:bCs w:val="0"/>
          <w:color w:val="000000"/>
          <w:sz w:val="32"/>
          <w:szCs w:val="32"/>
          <w:shd w:val="clear" w:color="auto" w:fill="ffffff"/>
        </w:rPr>
      </w:r>
      <w:r>
        <w:rPr>
          <w:rFonts w:hint="eastAsia" w:ascii="仿宋_GB2312" w:hAnsi="仿宋_GB2312" w:eastAsia="仿宋_GB2312" w:cs="仿宋_GB2312"/>
          <w:b w:val="0"/>
          <w:bCs w:val="0"/>
          <w:color w:val="000000"/>
          <w:sz w:val="32"/>
          <w:szCs w:val="32"/>
          <w:shd w:val="clear" w:color="auto" w:fill="ffffff"/>
        </w:rPr>
      </w:r>
    </w:p>
    <w:p>
      <w:pPr>
        <w:pStyle w:val="680"/>
        <w:keepNext w:val="false"/>
        <w:keepLines w:val="false"/>
        <w:pageBreakBefore w:val="false"/>
        <w:pBdr/>
        <w:spacing w:line="590" w:lineRule="exact"/>
        <w:ind w:right="0"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坚持“走出去”与“请进来”相结合，积极探索“本地+异地”、“课堂+基地”开放型办学模式。组织主体班学员赴延安、红旗渠、井冈山、宁德、临沂、湖州、江阴等地接受革命传统教育和异地培训，深受学员一致好评。依托市内红色资源打造红色课程和党性教育基地，红安干部学院领导对我校的经验给予了高度肯定，拟在我校挂牌成立“湖北红安干部学院随州分院”。积极邀请省内外学者和知名人士到党校讲学，落实领导干部上讲台制度，全年共邀请专家学者和领导干部作报告55场次，其中，市委常委达10人次。</w:t>
      </w:r>
      <w:r>
        <w:rPr>
          <w:rFonts w:hint="eastAsia" w:ascii="仿宋_GB2312" w:hAnsi="仿宋_GB2312" w:eastAsia="仿宋_GB2312" w:cs="仿宋_GB2312"/>
          <w:b w:val="0"/>
          <w:bCs w:val="0"/>
          <w:color w:val="000000"/>
          <w:sz w:val="32"/>
          <w:szCs w:val="32"/>
        </w:rPr>
      </w:r>
      <w:r>
        <w:rPr>
          <w:rFonts w:hint="eastAsia" w:ascii="仿宋_GB2312" w:hAnsi="仿宋_GB2312" w:eastAsia="仿宋_GB2312" w:cs="仿宋_GB2312"/>
          <w:b w:val="0"/>
          <w:bCs w:val="0"/>
          <w:color w:val="000000"/>
          <w:sz w:val="32"/>
          <w:szCs w:val="32"/>
        </w:rPr>
      </w:r>
    </w:p>
    <w:p>
      <w:pPr>
        <w:pStyle w:val="680"/>
        <w:keepNext w:val="false"/>
        <w:keepLines w:val="false"/>
        <w:pageBreakBefore w:val="false"/>
        <w:pBdr/>
        <w:spacing w:line="590" w:lineRule="exact"/>
        <w:ind w:right="0"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一年来，全校教师撰写理论文章50余篇，公开发表15篇。组织教师围绕“品质随州”建设、“不忘初心、牢记使命”主题教育、</w:t>
      </w:r>
      <w:r>
        <w:rPr>
          <w:rFonts w:hint="eastAsia" w:ascii="仿宋_GB2312" w:hAnsi="仿宋_GB2312" w:cs="仿宋_GB2312"/>
          <w:b w:val="0"/>
          <w:bCs w:val="0"/>
          <w:color w:val="000000"/>
          <w:sz w:val="32"/>
          <w:szCs w:val="32"/>
          <w:lang w:eastAsia="zh-CN"/>
        </w:rPr>
        <w:t xml:space="preserve">党的十九届四中全会精神</w:t>
      </w:r>
      <w:r>
        <w:rPr>
          <w:rFonts w:hint="eastAsia" w:ascii="仿宋_GB2312" w:hAnsi="仿宋_GB2312" w:eastAsia="仿宋_GB2312" w:cs="仿宋_GB2312"/>
          <w:b w:val="0"/>
          <w:bCs w:val="0"/>
          <w:color w:val="000000"/>
          <w:sz w:val="32"/>
          <w:szCs w:val="32"/>
        </w:rPr>
        <w:t xml:space="preserve">撰写理论文章在《随州日报》发表，切实做到重大节点有声音、重大问题亮观点、重大时段搭平台，充分发挥了党校思想引领作用。</w:t>
      </w:r>
      <w:r>
        <w:rPr>
          <w:rFonts w:hint="eastAsia" w:ascii="仿宋_GB2312" w:hAnsi="仿宋_GB2312" w:eastAsia="仿宋_GB2312" w:cs="仿宋_GB2312"/>
          <w:b w:val="0"/>
          <w:bCs w:val="0"/>
          <w:color w:val="000000"/>
          <w:sz w:val="32"/>
          <w:szCs w:val="32"/>
        </w:rPr>
      </w:r>
      <w:r>
        <w:rPr>
          <w:rFonts w:hint="eastAsia" w:ascii="仿宋_GB2312" w:hAnsi="仿宋_GB2312" w:eastAsia="仿宋_GB2312" w:cs="仿宋_GB2312"/>
          <w:b w:val="0"/>
          <w:bCs w:val="0"/>
          <w:color w:val="000000"/>
          <w:sz w:val="32"/>
          <w:szCs w:val="32"/>
        </w:rPr>
      </w:r>
    </w:p>
    <w:p>
      <w:pPr>
        <w:pStyle w:val="680"/>
        <w:keepNext w:val="false"/>
        <w:keepLines w:val="false"/>
        <w:pageBreakBefore w:val="false"/>
        <w:pBdr/>
        <w:spacing w:line="590" w:lineRule="exact"/>
        <w:ind w:right="0"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全年围绕市委市政府重大决策部署共编辑《领导参阅》7期、《随州干部学刊》2期呈送市领导参阅。围绕“品质随州”、“三城四基地”等主题开展调查研究，完成调研课题14项，其中省委党校合作课题2项，省社会主义学院课题1项。我校完成的《“‘一芯两带三区’战略布局中的‘品质随州’建设” 研究报告》呈送市“四大家”领导参阅，受到了市委书记陈瑞峰、市长郭永红、市委组织部长甘国栋、市委常委吴丕华等市领导的批示和高度评价。</w:t>
      </w:r>
      <w:r>
        <w:rPr>
          <w:rFonts w:hint="eastAsia" w:ascii="仿宋_GB2312" w:hAnsi="仿宋_GB2312" w:eastAsia="仿宋_GB2312" w:cs="仿宋_GB2312"/>
          <w:b w:val="0"/>
          <w:bCs w:val="0"/>
          <w:color w:val="000000"/>
          <w:sz w:val="32"/>
          <w:szCs w:val="32"/>
        </w:rPr>
      </w:r>
      <w:r>
        <w:rPr>
          <w:rFonts w:hint="eastAsia" w:ascii="仿宋_GB2312" w:hAnsi="仿宋_GB2312" w:eastAsia="仿宋_GB2312" w:cs="仿宋_GB2312"/>
          <w:b w:val="0"/>
          <w:bCs w:val="0"/>
          <w:color w:val="000000"/>
          <w:sz w:val="32"/>
          <w:szCs w:val="32"/>
        </w:rPr>
      </w:r>
    </w:p>
    <w:p>
      <w:pPr>
        <w:pStyle w:val="680"/>
        <w:keepNext w:val="false"/>
        <w:keepLines w:val="false"/>
        <w:pageBreakBefore w:val="false"/>
        <w:pBdr/>
        <w:spacing w:line="590" w:lineRule="exact"/>
        <w:ind w:right="0" w:firstLine="640"/>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cs="仿宋_GB2312"/>
          <w:b w:val="0"/>
          <w:bCs w:val="0"/>
          <w:color w:val="000000"/>
          <w:sz w:val="32"/>
          <w:szCs w:val="32"/>
          <w:lang w:val="en-US" w:eastAsia="zh-CN"/>
        </w:rPr>
        <w:t xml:space="preserve">2019年6月，区委党校并入市委党校。</w:t>
      </w:r>
      <w:r>
        <w:rPr>
          <w:rFonts w:hint="eastAsia" w:ascii="仿宋_GB2312" w:hAnsi="仿宋_GB2312" w:eastAsia="仿宋_GB2312" w:cs="仿宋_GB2312"/>
          <w:b w:val="0"/>
          <w:bCs w:val="0"/>
          <w:color w:val="000000"/>
          <w:sz w:val="32"/>
          <w:szCs w:val="32"/>
          <w:lang w:val="en-US" w:eastAsia="zh-CN"/>
        </w:rPr>
      </w:r>
      <w:r>
        <w:rPr>
          <w:rFonts w:hint="eastAsia" w:ascii="仿宋_GB2312" w:hAnsi="仿宋_GB2312" w:eastAsia="仿宋_GB2312" w:cs="仿宋_GB2312"/>
          <w:b w:val="0"/>
          <w:bCs w:val="0"/>
          <w:color w:val="000000"/>
          <w:sz w:val="32"/>
          <w:szCs w:val="32"/>
          <w:lang w:val="en-US" w:eastAsia="zh-CN"/>
        </w:rPr>
      </w:r>
    </w:p>
    <w:p>
      <w:pPr>
        <w:pStyle w:val="680"/>
        <w:keepNext w:val="false"/>
        <w:keepLines w:val="false"/>
        <w:pageBreakBefore w:val="false"/>
        <w:pBdr/>
        <w:spacing w:line="590" w:lineRule="exact"/>
        <w:ind w:right="0" w:firstLine="640"/>
        <w:rPr>
          <w:rFonts w:hint="eastAsia" w:ascii="仿宋_GB2312" w:hAnsi="仿宋_GB2312" w:cs="仿宋_GB2312"/>
          <w:b w:val="0"/>
          <w:bCs w:val="0"/>
          <w:color w:val="000000"/>
          <w:sz w:val="32"/>
          <w:szCs w:val="32"/>
          <w:lang w:val="en-US" w:eastAsia="zh-CN"/>
        </w:rPr>
      </w:pPr>
      <w:r>
        <w:rPr>
          <w:rFonts w:hint="eastAsia" w:ascii="仿宋_GB2312" w:hAnsi="仿宋_GB2312" w:cs="仿宋_GB2312"/>
          <w:b w:val="0"/>
          <w:bCs w:val="0"/>
          <w:color w:val="000000"/>
          <w:sz w:val="32"/>
          <w:szCs w:val="32"/>
          <w:lang w:val="en-US" w:eastAsia="zh-CN"/>
        </w:rPr>
        <w:t xml:space="preserve">2019年8月，市委党校正式搬至新校园。新校园设备逐步投入使用，开启外包服务项目，分餐饮客房和物业管理两块。</w:t>
      </w:r>
      <w:r>
        <w:rPr>
          <w:rFonts w:hint="eastAsia" w:ascii="仿宋_GB2312" w:hAnsi="仿宋_GB2312" w:cs="仿宋_GB2312"/>
          <w:b w:val="0"/>
          <w:bCs w:val="0"/>
          <w:color w:val="000000"/>
          <w:sz w:val="32"/>
          <w:szCs w:val="32"/>
          <w:lang w:val="en-US" w:eastAsia="zh-CN"/>
        </w:rPr>
      </w:r>
      <w:r>
        <w:rPr>
          <w:rFonts w:hint="eastAsia" w:ascii="仿宋_GB2312" w:hAnsi="仿宋_GB2312" w:cs="仿宋_GB2312"/>
          <w:b w:val="0"/>
          <w:bCs w:val="0"/>
          <w:color w:val="000000"/>
          <w:sz w:val="32"/>
          <w:szCs w:val="32"/>
          <w:lang w:val="en-US" w:eastAsia="zh-CN"/>
        </w:rPr>
      </w:r>
    </w:p>
    <w:p>
      <w:pPr>
        <w:pStyle w:val="680"/>
        <w:pBdr/>
        <w:spacing w:line="620" w:lineRule="exact"/>
        <w:ind w:firstLine="640"/>
        <w:rPr>
          <w:rFonts w:hint="eastAsia" w:ascii="宋体" w:hAnsi="宋体" w:eastAsia="宋体"/>
          <w:szCs w:val="32"/>
        </w:rPr>
      </w:pPr>
      <w:r>
        <w:rPr>
          <w:rFonts w:ascii="宋体" w:hAnsi="宋体" w:eastAsia="宋体"/>
          <w:szCs w:val="32"/>
        </w:rPr>
        <w:t xml:space="preserve">（二）简要概述年度绩效目标。</w:t>
      </w:r>
      <w:r>
        <w:rPr>
          <w:rFonts w:hint="eastAsia" w:ascii="宋体" w:hAnsi="宋体" w:eastAsia="宋体"/>
          <w:szCs w:val="32"/>
        </w:rPr>
      </w:r>
      <w:r>
        <w:rPr>
          <w:rFonts w:hint="eastAsia" w:ascii="宋体" w:hAnsi="宋体" w:eastAsia="宋体"/>
          <w:szCs w:val="32"/>
        </w:rPr>
      </w:r>
    </w:p>
    <w:p>
      <w:pPr>
        <w:pStyle w:val="680"/>
        <w:pBdr/>
        <w:spacing w:line="620" w:lineRule="exact"/>
        <w:ind w:firstLine="640"/>
        <w:rPr>
          <w:rFonts w:ascii="宋体" w:hAnsi="宋体" w:eastAsia="宋体"/>
          <w:szCs w:val="32"/>
        </w:rPr>
      </w:pPr>
      <w:r>
        <w:rPr>
          <w:rFonts w:hint="eastAsia" w:ascii="宋体" w:hAnsi="宋体" w:eastAsia="宋体"/>
          <w:szCs w:val="32"/>
        </w:rPr>
        <w:t xml:space="preserve">一是通过基本支出资金的使用，保障党校机关日常工作的高效正常运转。二是通过项目支出资金的使用，保障学员培训</w:t>
      </w:r>
      <w:r>
        <w:rPr>
          <w:rFonts w:hint="eastAsia" w:ascii="宋体" w:hAnsi="宋体" w:eastAsia="宋体"/>
          <w:szCs w:val="32"/>
          <w:lang w:val="en-US" w:eastAsia="zh-CN"/>
        </w:rPr>
        <w:t xml:space="preserve">、教学设备、服务外包</w:t>
      </w:r>
      <w:r>
        <w:rPr>
          <w:rFonts w:hint="eastAsia" w:ascii="宋体" w:hAnsi="宋体" w:eastAsia="宋体"/>
          <w:szCs w:val="32"/>
        </w:rPr>
        <w:t xml:space="preserve">的正常运转。</w:t>
      </w:r>
      <w:r>
        <w:rPr>
          <w:rFonts w:ascii="宋体" w:hAnsi="宋体" w:eastAsia="宋体"/>
          <w:szCs w:val="32"/>
        </w:rPr>
      </w:r>
      <w:r>
        <w:rPr>
          <w:rFonts w:ascii="宋体" w:hAnsi="宋体" w:eastAsia="宋体"/>
          <w:szCs w:val="32"/>
        </w:rPr>
      </w:r>
    </w:p>
    <w:p>
      <w:pPr>
        <w:pStyle w:val="680"/>
        <w:pBdr/>
        <w:spacing w:line="620" w:lineRule="exact"/>
        <w:ind w:firstLine="640"/>
        <w:rPr>
          <w:rFonts w:ascii="宋体" w:hAnsi="宋体" w:eastAsia="宋体"/>
          <w:szCs w:val="32"/>
        </w:rPr>
      </w:pPr>
      <w:r>
        <w:rPr>
          <w:rFonts w:ascii="宋体" w:hAnsi="宋体" w:eastAsia="宋体"/>
          <w:szCs w:val="32"/>
        </w:rPr>
        <w:t xml:space="preserve">二、绩效自评工作开展情况</w:t>
      </w:r>
      <w:r>
        <w:rPr>
          <w:rFonts w:ascii="宋体" w:hAnsi="宋体" w:eastAsia="宋体"/>
          <w:szCs w:val="32"/>
        </w:rPr>
      </w:r>
      <w:r>
        <w:rPr>
          <w:rFonts w:ascii="宋体" w:hAnsi="宋体" w:eastAsia="宋体"/>
          <w:szCs w:val="32"/>
        </w:rPr>
      </w:r>
    </w:p>
    <w:p>
      <w:pPr>
        <w:pStyle w:val="680"/>
        <w:pBdr/>
        <w:spacing w:line="620" w:lineRule="exact"/>
        <w:ind w:firstLine="640"/>
        <w:rPr>
          <w:rFonts w:ascii="宋体" w:hAnsi="宋体" w:eastAsia="宋体"/>
          <w:szCs w:val="32"/>
        </w:rPr>
      </w:pPr>
      <w:r>
        <w:rPr>
          <w:rFonts w:hint="eastAsia" w:ascii="宋体" w:hAnsi="宋体" w:eastAsia="宋体"/>
          <w:szCs w:val="32"/>
        </w:rPr>
        <w:t xml:space="preserve">对照年初</w:t>
      </w:r>
      <w:r>
        <w:rPr>
          <w:rFonts w:ascii="宋体" w:hAnsi="宋体" w:eastAsia="宋体"/>
          <w:szCs w:val="32"/>
        </w:rPr>
        <w:t xml:space="preserve">预算制定绩效表</w:t>
      </w:r>
      <w:r>
        <w:rPr>
          <w:rFonts w:hint="eastAsia" w:ascii="宋体" w:hAnsi="宋体" w:eastAsia="宋体"/>
          <w:szCs w:val="32"/>
        </w:rPr>
        <w:t xml:space="preserve">，总结本年度里的完成情况，填报绩效自评表。</w:t>
      </w:r>
      <w:r>
        <w:rPr>
          <w:rFonts w:ascii="宋体" w:hAnsi="宋体" w:eastAsia="宋体"/>
          <w:szCs w:val="32"/>
        </w:rPr>
      </w:r>
      <w:r>
        <w:rPr>
          <w:rFonts w:ascii="宋体" w:hAnsi="宋体" w:eastAsia="宋体"/>
          <w:szCs w:val="32"/>
        </w:rPr>
      </w:r>
    </w:p>
    <w:p>
      <w:pPr>
        <w:pStyle w:val="680"/>
        <w:pBdr/>
        <w:spacing w:line="620" w:lineRule="exact"/>
        <w:ind w:firstLine="640"/>
        <w:rPr>
          <w:rFonts w:ascii="宋体" w:hAnsi="宋体" w:eastAsia="宋体"/>
          <w:szCs w:val="32"/>
        </w:rPr>
      </w:pPr>
      <w:r>
        <w:rPr>
          <w:rFonts w:ascii="宋体" w:hAnsi="宋体" w:eastAsia="宋体"/>
          <w:szCs w:val="32"/>
        </w:rPr>
        <w:t xml:space="preserve">三、绩效目标完成情况分析</w:t>
      </w:r>
      <w:r>
        <w:rPr>
          <w:rFonts w:ascii="宋体" w:hAnsi="宋体" w:eastAsia="宋体"/>
          <w:szCs w:val="32"/>
        </w:rPr>
      </w:r>
      <w:r>
        <w:rPr>
          <w:rFonts w:ascii="宋体" w:hAnsi="宋体" w:eastAsia="宋体"/>
          <w:szCs w:val="32"/>
        </w:rPr>
      </w:r>
    </w:p>
    <w:p>
      <w:pPr>
        <w:pStyle w:val="680"/>
        <w:pBdr/>
        <w:spacing w:line="620" w:lineRule="exact"/>
        <w:ind w:firstLine="640"/>
        <w:outlineLvl w:val="0"/>
        <w:rPr>
          <w:rFonts w:ascii="宋体" w:hAnsi="宋体" w:eastAsia="宋体"/>
          <w:bCs/>
          <w:szCs w:val="32"/>
        </w:rPr>
      </w:pPr>
      <w:r>
        <w:rPr>
          <w:rFonts w:ascii="宋体" w:hAnsi="宋体" w:eastAsia="宋体"/>
          <w:bCs/>
          <w:szCs w:val="32"/>
        </w:rPr>
        <w:t xml:space="preserve">（一）</w:t>
      </w:r>
      <w:r>
        <w:rPr>
          <w:rFonts w:ascii="宋体" w:hAnsi="宋体" w:eastAsia="宋体"/>
          <w:szCs w:val="32"/>
        </w:rPr>
        <w:t xml:space="preserve">部门整体</w:t>
      </w:r>
      <w:r>
        <w:rPr>
          <w:rFonts w:ascii="宋体" w:hAnsi="宋体" w:eastAsia="宋体"/>
          <w:bCs/>
          <w:szCs w:val="32"/>
        </w:rPr>
        <w:t xml:space="preserve">资金投入情况分析</w:t>
      </w:r>
      <w:r>
        <w:rPr>
          <w:rFonts w:ascii="宋体" w:hAnsi="宋体" w:eastAsia="宋体"/>
          <w:bCs/>
          <w:szCs w:val="32"/>
        </w:rPr>
      </w:r>
      <w:r>
        <w:rPr>
          <w:rFonts w:ascii="宋体" w:hAnsi="宋体" w:eastAsia="宋体"/>
          <w:bCs/>
          <w:szCs w:val="32"/>
        </w:rPr>
      </w:r>
    </w:p>
    <w:p>
      <w:pPr>
        <w:pStyle w:val="680"/>
        <w:pBdr/>
        <w:spacing w:line="620" w:lineRule="exact"/>
        <w:ind w:firstLine="640"/>
        <w:rPr>
          <w:rFonts w:hint="eastAsia" w:ascii="宋体" w:hAnsi="宋体" w:eastAsia="宋体"/>
          <w:szCs w:val="32"/>
        </w:rPr>
      </w:pPr>
      <w:r>
        <w:rPr>
          <w:rFonts w:ascii="宋体" w:hAnsi="宋体" w:eastAsia="宋体"/>
          <w:szCs w:val="32"/>
        </w:rPr>
        <w:t xml:space="preserve">1.部门整体资金到位情况分析。</w:t>
      </w:r>
      <w:r>
        <w:rPr>
          <w:rFonts w:hint="eastAsia" w:ascii="宋体" w:hAnsi="宋体" w:eastAsia="宋体"/>
          <w:szCs w:val="32"/>
        </w:rPr>
      </w:r>
      <w:r>
        <w:rPr>
          <w:rFonts w:hint="eastAsia" w:ascii="宋体" w:hAnsi="宋体" w:eastAsia="宋体"/>
          <w:szCs w:val="32"/>
        </w:rPr>
      </w:r>
    </w:p>
    <w:p>
      <w:pPr>
        <w:pStyle w:val="680"/>
        <w:pBdr/>
        <w:spacing w:line="620" w:lineRule="exact"/>
        <w:ind w:firstLine="640"/>
        <w:rPr>
          <w:rFonts w:ascii="宋体" w:hAnsi="宋体" w:eastAsia="宋体"/>
          <w:szCs w:val="32"/>
        </w:rPr>
      </w:pPr>
      <w:r>
        <w:rPr>
          <w:rFonts w:ascii="宋体" w:hAnsi="宋体" w:eastAsia="宋体"/>
          <w:szCs w:val="32"/>
        </w:rPr>
        <w:t xml:space="preserve">部门整体支出总额</w:t>
      </w:r>
      <w:r>
        <w:rPr>
          <w:rFonts w:hint="eastAsia" w:ascii="宋体" w:hAnsi="宋体" w:eastAsia="宋体"/>
          <w:szCs w:val="32"/>
          <w:lang w:val="en-US" w:eastAsia="zh-CN"/>
        </w:rPr>
        <w:t xml:space="preserve">下达</w:t>
      </w:r>
      <w:r>
        <w:rPr>
          <w:rFonts w:hint="eastAsia" w:ascii="宋体" w:hAnsi="宋体" w:eastAsia="宋体"/>
          <w:szCs w:val="32"/>
        </w:rPr>
        <w:t xml:space="preserve">4559.57万元，其中包含基本支出1025.68万元和项目支出3533.89万元。</w:t>
      </w:r>
      <w:r>
        <w:rPr>
          <w:rFonts w:ascii="宋体" w:hAnsi="宋体" w:eastAsia="宋体"/>
          <w:szCs w:val="32"/>
        </w:rPr>
      </w:r>
      <w:r>
        <w:rPr>
          <w:rFonts w:ascii="宋体" w:hAnsi="宋体" w:eastAsia="宋体"/>
          <w:szCs w:val="32"/>
        </w:rPr>
      </w:r>
    </w:p>
    <w:p>
      <w:pPr>
        <w:pStyle w:val="680"/>
        <w:pBdr/>
        <w:spacing w:line="620" w:lineRule="exact"/>
        <w:ind w:firstLine="640"/>
        <w:rPr>
          <w:rFonts w:hint="eastAsia" w:ascii="宋体" w:hAnsi="宋体" w:eastAsia="宋体"/>
          <w:szCs w:val="32"/>
        </w:rPr>
      </w:pPr>
      <w:r>
        <w:rPr>
          <w:rFonts w:ascii="宋体" w:hAnsi="宋体" w:eastAsia="宋体"/>
          <w:szCs w:val="32"/>
        </w:rPr>
        <w:t xml:space="preserve">2.部门整体资金执行情况分析。</w:t>
      </w:r>
      <w:r>
        <w:rPr>
          <w:rFonts w:hint="eastAsia" w:ascii="宋体" w:hAnsi="宋体" w:eastAsia="宋体"/>
          <w:szCs w:val="32"/>
        </w:rPr>
      </w:r>
      <w:r>
        <w:rPr>
          <w:rFonts w:hint="eastAsia" w:ascii="宋体" w:hAnsi="宋体" w:eastAsia="宋体"/>
          <w:szCs w:val="32"/>
        </w:rPr>
      </w:r>
    </w:p>
    <w:p>
      <w:pPr>
        <w:pStyle w:val="680"/>
        <w:pBdr/>
        <w:spacing w:line="620" w:lineRule="exact"/>
        <w:ind w:firstLine="640"/>
        <w:rPr>
          <w:rFonts w:ascii="宋体" w:hAnsi="宋体" w:eastAsia="宋体"/>
          <w:szCs w:val="32"/>
          <w:lang w:val="en-US" w:eastAsia="zh-CN"/>
        </w:rPr>
      </w:pPr>
      <w:r>
        <w:rPr>
          <w:rFonts w:ascii="宋体" w:hAnsi="宋体" w:eastAsia="宋体"/>
          <w:szCs w:val="32"/>
        </w:rPr>
        <w:t xml:space="preserve">部门整体</w:t>
      </w:r>
      <w:r>
        <w:rPr>
          <w:rFonts w:hint="eastAsia" w:ascii="宋体" w:hAnsi="宋体" w:eastAsia="宋体"/>
          <w:szCs w:val="32"/>
        </w:rPr>
        <w:t xml:space="preserve">执行数为4483.54万元，执行率为</w:t>
      </w:r>
      <w:r>
        <w:rPr>
          <w:rFonts w:hint="eastAsia" w:ascii="宋体" w:hAnsi="宋体" w:eastAsia="宋体"/>
          <w:szCs w:val="32"/>
          <w:lang w:val="en-US" w:eastAsia="zh-CN"/>
        </w:rPr>
        <w:t xml:space="preserve">98</w:t>
      </w:r>
      <w:r>
        <w:rPr>
          <w:rFonts w:hint="eastAsia" w:ascii="宋体" w:hAnsi="宋体" w:eastAsia="宋体"/>
          <w:szCs w:val="32"/>
        </w:rPr>
        <w:t xml:space="preserve">.</w:t>
      </w:r>
      <w:r>
        <w:rPr>
          <w:rFonts w:hint="eastAsia" w:ascii="宋体" w:hAnsi="宋体" w:eastAsia="宋体"/>
          <w:szCs w:val="32"/>
          <w:lang w:val="en-US" w:eastAsia="zh-CN"/>
        </w:rPr>
        <w:t xml:space="preserve">3</w:t>
      </w:r>
      <w:r>
        <w:rPr>
          <w:rFonts w:hint="eastAsia" w:ascii="宋体" w:hAnsi="宋体" w:eastAsia="宋体"/>
          <w:szCs w:val="32"/>
        </w:rPr>
        <w:t xml:space="preserve">3%。</w:t>
      </w:r>
      <w:r>
        <w:rPr>
          <w:rFonts w:ascii="宋体" w:hAnsi="宋体" w:eastAsia="宋体"/>
          <w:szCs w:val="32"/>
          <w:lang w:val="en-US" w:eastAsia="zh-CN"/>
        </w:rPr>
      </w:r>
      <w:r>
        <w:rPr>
          <w:rFonts w:ascii="宋体" w:hAnsi="宋体" w:eastAsia="宋体"/>
          <w:szCs w:val="32"/>
          <w:lang w:val="en-US" w:eastAsia="zh-CN"/>
        </w:rPr>
      </w:r>
    </w:p>
    <w:p>
      <w:pPr>
        <w:pStyle w:val="680"/>
        <w:pBdr/>
        <w:spacing w:line="620" w:lineRule="exact"/>
        <w:ind w:firstLine="640"/>
        <w:outlineLvl w:val="0"/>
        <w:rPr>
          <w:rFonts w:ascii="宋体" w:hAnsi="宋体" w:eastAsia="宋体"/>
          <w:bCs/>
          <w:szCs w:val="32"/>
        </w:rPr>
      </w:pPr>
      <w:r>
        <w:rPr>
          <w:rFonts w:ascii="宋体" w:hAnsi="宋体" w:eastAsia="宋体"/>
          <w:bCs/>
          <w:szCs w:val="32"/>
        </w:rPr>
        <w:t xml:space="preserve">（二）绩效目标完成情况分析</w:t>
      </w:r>
      <w:r>
        <w:rPr>
          <w:rFonts w:ascii="宋体" w:hAnsi="宋体" w:eastAsia="宋体"/>
          <w:bCs/>
          <w:szCs w:val="32"/>
        </w:rPr>
      </w:r>
      <w:r>
        <w:rPr>
          <w:rFonts w:ascii="宋体" w:hAnsi="宋体" w:eastAsia="宋体"/>
          <w:bCs/>
          <w:szCs w:val="32"/>
        </w:rPr>
      </w:r>
    </w:p>
    <w:p>
      <w:pPr>
        <w:pStyle w:val="680"/>
        <w:pBdr/>
        <w:spacing w:line="620" w:lineRule="exact"/>
        <w:ind w:firstLine="640"/>
        <w:rPr>
          <w:rFonts w:hint="eastAsia" w:ascii="宋体" w:hAnsi="宋体" w:eastAsia="宋体"/>
          <w:szCs w:val="32"/>
        </w:rPr>
      </w:pPr>
      <w:r>
        <w:rPr>
          <w:rFonts w:ascii="宋体" w:hAnsi="宋体" w:eastAsia="宋体"/>
          <w:szCs w:val="32"/>
        </w:rPr>
        <w:t xml:space="preserve">1.基本支出产出指标完成情况分析。</w:t>
      </w:r>
      <w:r>
        <w:rPr>
          <w:rFonts w:hint="eastAsia" w:ascii="宋体" w:hAnsi="宋体" w:eastAsia="宋体"/>
          <w:szCs w:val="32"/>
        </w:rPr>
      </w:r>
      <w:r>
        <w:rPr>
          <w:rFonts w:hint="eastAsia" w:ascii="宋体" w:hAnsi="宋体" w:eastAsia="宋体"/>
          <w:szCs w:val="32"/>
        </w:rPr>
      </w:r>
    </w:p>
    <w:p>
      <w:pPr>
        <w:pStyle w:val="680"/>
        <w:pBdr/>
        <w:spacing w:line="620" w:lineRule="exact"/>
        <w:ind w:firstLine="640"/>
        <w:rPr>
          <w:rFonts w:ascii="宋体" w:hAnsi="宋体" w:eastAsia="宋体"/>
          <w:szCs w:val="32"/>
        </w:rPr>
      </w:pPr>
      <w:r>
        <w:rPr>
          <w:rFonts w:hint="eastAsia" w:ascii="宋体" w:hAnsi="宋体" w:eastAsia="宋体"/>
          <w:szCs w:val="32"/>
        </w:rPr>
        <w:t xml:space="preserve">数量指标上，单位实有人数没有超过编制人数，按要求完成培训学员人数。质量指标上，保障人员经费，合理合规使用公用经费。进度指标上，及时完成支付，</w:t>
      </w:r>
      <w:r>
        <w:rPr>
          <w:rFonts w:hint="eastAsia" w:ascii="宋体" w:hAnsi="宋体" w:eastAsia="宋体"/>
          <w:szCs w:val="32"/>
          <w:lang w:val="en-US" w:eastAsia="zh-CN"/>
        </w:rPr>
        <w:t xml:space="preserve">但审计整改内容没有全部落实到位，扣4分。</w:t>
      </w:r>
      <w:r>
        <w:rPr>
          <w:rFonts w:hint="eastAsia" w:ascii="宋体" w:hAnsi="宋体" w:eastAsia="宋体"/>
          <w:szCs w:val="32"/>
        </w:rPr>
        <w:t xml:space="preserve">成本指标上，预算成本控制，没有超出预算。</w:t>
      </w:r>
      <w:r>
        <w:rPr>
          <w:rFonts w:ascii="宋体" w:hAnsi="宋体" w:eastAsia="宋体"/>
          <w:szCs w:val="32"/>
        </w:rPr>
      </w:r>
      <w:r>
        <w:rPr>
          <w:rFonts w:ascii="宋体" w:hAnsi="宋体" w:eastAsia="宋体"/>
          <w:szCs w:val="32"/>
        </w:rPr>
      </w:r>
    </w:p>
    <w:p>
      <w:pPr>
        <w:pStyle w:val="680"/>
        <w:pBdr/>
        <w:spacing w:line="620" w:lineRule="exact"/>
        <w:ind w:firstLine="640"/>
        <w:rPr>
          <w:rFonts w:hint="eastAsia" w:ascii="宋体" w:hAnsi="宋体" w:eastAsia="宋体"/>
          <w:szCs w:val="32"/>
        </w:rPr>
      </w:pPr>
      <w:r>
        <w:rPr>
          <w:rFonts w:ascii="宋体" w:hAnsi="宋体" w:eastAsia="宋体"/>
          <w:szCs w:val="32"/>
        </w:rPr>
        <w:t xml:space="preserve">2.基本支出效益指标完成情况分析。</w:t>
      </w:r>
      <w:r>
        <w:rPr>
          <w:rFonts w:hint="eastAsia" w:ascii="宋体" w:hAnsi="宋体" w:eastAsia="宋体"/>
          <w:szCs w:val="32"/>
        </w:rPr>
      </w:r>
      <w:r>
        <w:rPr>
          <w:rFonts w:hint="eastAsia" w:ascii="宋体" w:hAnsi="宋体" w:eastAsia="宋体"/>
          <w:szCs w:val="32"/>
        </w:rPr>
      </w:r>
    </w:p>
    <w:p>
      <w:pPr>
        <w:pStyle w:val="680"/>
        <w:pBdr/>
        <w:spacing w:line="620" w:lineRule="exact"/>
        <w:ind w:firstLine="640"/>
        <w:rPr>
          <w:rFonts w:hint="eastAsia" w:ascii="宋体" w:hAnsi="宋体" w:eastAsia="宋体"/>
          <w:szCs w:val="32"/>
          <w:lang w:val="en-US" w:eastAsia="zh-CN"/>
        </w:rPr>
      </w:pPr>
      <w:r>
        <w:rPr>
          <w:rFonts w:hint="eastAsia" w:ascii="宋体" w:hAnsi="宋体" w:eastAsia="宋体"/>
          <w:szCs w:val="32"/>
        </w:rPr>
        <w:t xml:space="preserve">服务对象满意度指标，教职工满意度为</w:t>
      </w:r>
      <w:r>
        <w:rPr>
          <w:rFonts w:ascii="宋体" w:hAnsi="宋体" w:eastAsia="宋体"/>
          <w:szCs w:val="32"/>
        </w:rPr>
        <w:t xml:space="preserve">73,52%</w:t>
      </w:r>
      <w:r>
        <w:rPr>
          <w:rFonts w:hint="eastAsia" w:ascii="宋体" w:hAnsi="宋体" w:eastAsia="宋体"/>
          <w:szCs w:val="32"/>
        </w:rPr>
        <w:t xml:space="preserve">，</w:t>
      </w:r>
      <w:r>
        <w:rPr>
          <w:rFonts w:hint="eastAsia" w:ascii="宋体" w:hAnsi="宋体" w:eastAsia="宋体"/>
          <w:szCs w:val="32"/>
          <w:lang w:val="en-US" w:eastAsia="zh-CN"/>
        </w:rPr>
        <w:t xml:space="preserve">低于</w:t>
      </w:r>
      <w:r>
        <w:rPr>
          <w:rFonts w:ascii="宋体" w:hAnsi="宋体" w:eastAsia="宋体"/>
          <w:szCs w:val="32"/>
        </w:rPr>
        <w:t xml:space="preserve">年初</w:t>
      </w:r>
      <w:r>
        <w:rPr>
          <w:rFonts w:hint="eastAsia" w:ascii="宋体" w:hAnsi="宋体" w:eastAsia="宋体"/>
          <w:szCs w:val="32"/>
        </w:rPr>
        <w:t xml:space="preserve">大于等于95%的目标</w:t>
      </w:r>
      <w:r>
        <w:rPr>
          <w:rFonts w:hint="eastAsia" w:ascii="宋体" w:hAnsi="宋体" w:eastAsia="宋体"/>
          <w:szCs w:val="32"/>
          <w:lang w:eastAsia="zh-CN"/>
        </w:rPr>
        <w:t xml:space="preserve">，</w:t>
      </w:r>
      <w:r>
        <w:rPr>
          <w:rFonts w:hint="eastAsia" w:ascii="宋体" w:hAnsi="宋体" w:eastAsia="宋体"/>
          <w:szCs w:val="32"/>
          <w:lang w:val="en-US" w:eastAsia="zh-CN"/>
        </w:rPr>
        <w:t xml:space="preserve">扣2.11分。</w:t>
      </w:r>
      <w:r>
        <w:rPr>
          <w:rFonts w:hint="eastAsia" w:ascii="宋体" w:hAnsi="宋体" w:eastAsia="宋体"/>
          <w:szCs w:val="32"/>
          <w:lang w:val="en-US" w:eastAsia="zh-CN"/>
        </w:rPr>
      </w:r>
      <w:r>
        <w:rPr>
          <w:rFonts w:hint="eastAsia" w:ascii="宋体" w:hAnsi="宋体" w:eastAsia="宋体"/>
          <w:szCs w:val="32"/>
          <w:lang w:val="en-US" w:eastAsia="zh-CN"/>
        </w:rPr>
      </w:r>
    </w:p>
    <w:p>
      <w:pPr>
        <w:pStyle w:val="680"/>
        <w:numPr>
          <w:ilvl w:val="0"/>
          <w:numId w:val="2"/>
        </w:numPr>
        <w:pBdr/>
        <w:spacing w:line="620" w:lineRule="exact"/>
        <w:ind w:firstLine="640"/>
        <w:rPr>
          <w:rFonts w:ascii="宋体" w:hAnsi="宋体" w:eastAsia="宋体"/>
          <w:szCs w:val="32"/>
        </w:rPr>
      </w:pPr>
      <w:r>
        <w:rPr>
          <w:rFonts w:hint="eastAsia" w:ascii="宋体" w:hAnsi="宋体" w:eastAsia="宋体"/>
          <w:szCs w:val="32"/>
          <w:lang w:val="en-US" w:eastAsia="zh-CN"/>
        </w:rPr>
        <w:t xml:space="preserve">项目支出</w:t>
      </w:r>
      <w:r>
        <w:rPr>
          <w:rFonts w:ascii="宋体" w:hAnsi="宋体" w:eastAsia="宋体"/>
          <w:szCs w:val="32"/>
        </w:rPr>
        <w:t xml:space="preserve">产出指标完成情况分析。</w:t>
      </w:r>
      <w:r>
        <w:rPr>
          <w:rFonts w:ascii="宋体" w:hAnsi="宋体" w:eastAsia="宋体"/>
          <w:szCs w:val="32"/>
        </w:rPr>
      </w:r>
      <w:r>
        <w:rPr>
          <w:rFonts w:ascii="宋体" w:hAnsi="宋体" w:eastAsia="宋体"/>
          <w:szCs w:val="32"/>
        </w:rPr>
      </w:r>
    </w:p>
    <w:p>
      <w:pPr>
        <w:pStyle w:val="680"/>
        <w:keepNext w:val="false"/>
        <w:keepLines w:val="false"/>
        <w:pageBreakBefore w:val="false"/>
        <w:widowControl w:val="false"/>
        <w:numPr>
          <w:ilvl w:val="0"/>
          <w:numId w:val="0"/>
        </w:numPr>
        <w:pBdr/>
        <w:spacing w:after="0" w:before="0" w:line="620" w:lineRule="exact"/>
        <w:ind w:right="0" w:firstLine="640" w:left="0"/>
        <w:jc w:val="both"/>
        <w:outlineLvl w:val="9"/>
        <w:rPr>
          <w:rFonts w:ascii="宋体" w:hAnsi="宋体" w:eastAsia="宋体"/>
          <w:szCs w:val="32"/>
        </w:rPr>
      </w:pPr>
      <w:r>
        <w:rPr>
          <w:rFonts w:ascii="宋体" w:hAnsi="宋体" w:eastAsia="宋体"/>
          <w:szCs w:val="32"/>
        </w:rPr>
        <w:t xml:space="preserve">数量指标</w:t>
      </w:r>
      <w:r>
        <w:rPr>
          <w:rFonts w:hint="eastAsia" w:ascii="宋体" w:hAnsi="宋体" w:eastAsia="宋体"/>
          <w:szCs w:val="32"/>
          <w:lang w:val="en-US" w:eastAsia="zh-CN"/>
        </w:rPr>
        <w:t xml:space="preserve">上，完成计划培训学员人数。质量指标上，硬软件建设能满足学员使用，但“智能化工程”这块故障比较多，尚未完全验收。进度指标上，按教学规划有序开展，保证经费科学有效使用，效率最优化。成本指标上，</w:t>
      </w:r>
      <w:r>
        <w:rPr>
          <w:rFonts w:hint="eastAsia" w:ascii="宋体" w:hAnsi="宋体" w:eastAsia="宋体"/>
          <w:szCs w:val="32"/>
        </w:rPr>
        <w:t xml:space="preserve">预算成本控制，没有超出预算。</w:t>
      </w:r>
      <w:r>
        <w:rPr>
          <w:rFonts w:ascii="宋体" w:hAnsi="宋体" w:eastAsia="宋体"/>
          <w:szCs w:val="32"/>
        </w:rPr>
      </w:r>
      <w:r>
        <w:rPr>
          <w:rFonts w:ascii="宋体" w:hAnsi="宋体" w:eastAsia="宋体"/>
          <w:szCs w:val="32"/>
        </w:rPr>
      </w:r>
    </w:p>
    <w:p>
      <w:pPr>
        <w:pStyle w:val="680"/>
        <w:numPr>
          <w:ilvl w:val="0"/>
          <w:numId w:val="2"/>
        </w:numPr>
        <w:pBdr/>
        <w:spacing w:line="620" w:lineRule="exact"/>
        <w:ind w:firstLine="640"/>
        <w:rPr>
          <w:rFonts w:hint="eastAsia" w:ascii="宋体" w:hAnsi="宋体" w:eastAsia="宋体"/>
          <w:szCs w:val="32"/>
          <w:lang w:val="en-US" w:eastAsia="zh-CN"/>
        </w:rPr>
      </w:pPr>
      <w:r>
        <w:rPr>
          <w:rFonts w:hint="eastAsia" w:ascii="宋体" w:hAnsi="宋体" w:eastAsia="宋体"/>
          <w:szCs w:val="32"/>
          <w:lang w:val="en-US" w:eastAsia="zh-CN"/>
        </w:rPr>
        <w:t xml:space="preserve">项目支出效益指标完成情况分析。</w:t>
      </w:r>
      <w:r>
        <w:rPr>
          <w:rFonts w:hint="eastAsia" w:ascii="宋体" w:hAnsi="宋体" w:eastAsia="宋体"/>
          <w:szCs w:val="32"/>
          <w:lang w:val="en-US" w:eastAsia="zh-CN"/>
        </w:rPr>
      </w:r>
      <w:r>
        <w:rPr>
          <w:rFonts w:hint="eastAsia" w:ascii="宋体" w:hAnsi="宋体" w:eastAsia="宋体"/>
          <w:szCs w:val="32"/>
          <w:lang w:val="en-US" w:eastAsia="zh-CN"/>
        </w:rPr>
      </w:r>
    </w:p>
    <w:p>
      <w:pPr>
        <w:pStyle w:val="680"/>
        <w:keepNext w:val="false"/>
        <w:keepLines w:val="false"/>
        <w:pageBreakBefore w:val="false"/>
        <w:widowControl w:val="false"/>
        <w:numPr>
          <w:ilvl w:val="0"/>
          <w:numId w:val="0"/>
        </w:numPr>
        <w:pBdr/>
        <w:spacing w:after="0" w:before="0" w:line="620" w:lineRule="exact"/>
        <w:ind w:right="0" w:firstLine="640" w:left="0"/>
        <w:jc w:val="both"/>
        <w:outlineLvl w:val="9"/>
        <w:rPr>
          <w:rFonts w:hint="eastAsia" w:ascii="宋体" w:hAnsi="宋体" w:eastAsia="宋体"/>
          <w:szCs w:val="32"/>
          <w:lang w:val="en-US" w:eastAsia="zh-CN"/>
        </w:rPr>
      </w:pPr>
      <w:r>
        <w:rPr>
          <w:rFonts w:hint="eastAsia" w:ascii="宋体" w:hAnsi="宋体" w:eastAsia="宋体"/>
          <w:szCs w:val="32"/>
          <w:lang w:val="en-US" w:eastAsia="zh-CN"/>
        </w:rPr>
        <w:t xml:space="preserve">服务对象满意度指标上，学员满意度96.08%，大于年初设定比例</w:t>
      </w:r>
      <w:r>
        <w:rPr>
          <w:rFonts w:hint="eastAsia" w:ascii="宋体" w:hAnsi="宋体" w:eastAsia="宋体"/>
          <w:szCs w:val="32"/>
          <w:lang w:val="en-US" w:eastAsia="zh-CN"/>
        </w:rPr>
      </w:r>
      <w:r>
        <w:rPr>
          <w:rFonts w:hint="eastAsia" w:ascii="宋体" w:hAnsi="宋体" w:eastAsia="宋体"/>
          <w:szCs w:val="32"/>
          <w:lang w:val="en-US" w:eastAsia="zh-CN"/>
        </w:rPr>
      </w:r>
    </w:p>
    <w:p>
      <w:pPr>
        <w:pStyle w:val="680"/>
        <w:pBdr/>
        <w:spacing w:line="620" w:lineRule="exact"/>
        <w:ind w:firstLine="640"/>
        <w:rPr>
          <w:rFonts w:ascii="宋体" w:hAnsi="宋体" w:eastAsia="宋体"/>
          <w:szCs w:val="32"/>
        </w:rPr>
      </w:pPr>
      <w:r>
        <w:rPr>
          <w:rFonts w:ascii="宋体" w:hAnsi="宋体" w:eastAsia="宋体"/>
          <w:szCs w:val="32"/>
        </w:rPr>
        <w:t xml:space="preserve">四、绩效自评结果拟应用情况</w:t>
      </w:r>
      <w:r>
        <w:rPr>
          <w:rFonts w:ascii="宋体" w:hAnsi="宋体" w:eastAsia="宋体"/>
          <w:szCs w:val="32"/>
        </w:rPr>
      </w:r>
      <w:r>
        <w:rPr>
          <w:rFonts w:ascii="宋体" w:hAnsi="宋体" w:eastAsia="宋体"/>
          <w:szCs w:val="32"/>
        </w:rPr>
      </w:r>
    </w:p>
    <w:p>
      <w:pPr>
        <w:pStyle w:val="680"/>
        <w:pBdr/>
        <w:spacing w:line="620" w:lineRule="exact"/>
        <w:ind w:firstLine="640"/>
        <w:rPr>
          <w:rFonts w:hint="eastAsia" w:ascii="宋体" w:hAnsi="宋体" w:eastAsia="宋体"/>
          <w:szCs w:val="32"/>
        </w:rPr>
      </w:pPr>
      <w:r>
        <w:rPr>
          <w:rFonts w:ascii="宋体" w:hAnsi="宋体" w:eastAsia="宋体"/>
          <w:szCs w:val="32"/>
        </w:rPr>
        <w:t xml:space="preserve">（一）下一步改进措施。</w:t>
      </w:r>
      <w:r>
        <w:rPr>
          <w:rFonts w:hint="eastAsia" w:ascii="宋体" w:hAnsi="宋体" w:eastAsia="宋体"/>
          <w:szCs w:val="32"/>
        </w:rPr>
      </w:r>
      <w:r>
        <w:rPr>
          <w:rFonts w:hint="eastAsia" w:ascii="宋体" w:hAnsi="宋体" w:eastAsia="宋体"/>
          <w:szCs w:val="32"/>
        </w:rPr>
      </w:r>
    </w:p>
    <w:p>
      <w:pPr>
        <w:pStyle w:val="680"/>
        <w:pBdr/>
        <w:spacing w:line="620" w:lineRule="exact"/>
        <w:ind w:firstLine="640"/>
        <w:rPr>
          <w:rFonts w:ascii="宋体" w:hAnsi="宋体" w:eastAsia="宋体"/>
          <w:szCs w:val="32"/>
        </w:rPr>
      </w:pPr>
      <w:r>
        <w:rPr>
          <w:rFonts w:hint="eastAsia" w:ascii="宋体" w:hAnsi="宋体" w:eastAsia="宋体"/>
          <w:szCs w:val="32"/>
        </w:rPr>
        <w:t xml:space="preserve">加强预算执行过程监管，</w:t>
      </w:r>
      <w:r>
        <w:rPr>
          <w:rFonts w:hint="eastAsia" w:ascii="宋体" w:hAnsi="宋体" w:eastAsia="宋体"/>
          <w:szCs w:val="32"/>
          <w:lang w:val="en-US" w:eastAsia="zh-CN"/>
        </w:rPr>
        <w:t xml:space="preserve">建立健全制度</w:t>
      </w:r>
      <w:r>
        <w:rPr>
          <w:rFonts w:hint="eastAsia" w:ascii="宋体" w:hAnsi="宋体" w:eastAsia="宋体"/>
          <w:szCs w:val="32"/>
        </w:rPr>
        <w:t xml:space="preserve">，并逐步完善绩效评价体系，科学合理制定绩效考核指标。</w:t>
      </w:r>
      <w:r>
        <w:rPr>
          <w:rFonts w:ascii="宋体" w:hAnsi="宋体" w:eastAsia="宋体"/>
          <w:szCs w:val="32"/>
        </w:rPr>
      </w:r>
      <w:r>
        <w:rPr>
          <w:rFonts w:ascii="宋体" w:hAnsi="宋体" w:eastAsia="宋体"/>
          <w:szCs w:val="32"/>
        </w:rPr>
      </w:r>
    </w:p>
    <w:p>
      <w:pPr>
        <w:pStyle w:val="680"/>
        <w:pBdr/>
        <w:spacing w:line="620" w:lineRule="exact"/>
        <w:ind w:firstLine="640"/>
        <w:rPr>
          <w:rFonts w:hint="eastAsia" w:ascii="宋体" w:hAnsi="宋体" w:eastAsia="宋体"/>
          <w:szCs w:val="32"/>
        </w:rPr>
      </w:pPr>
      <w:r>
        <w:rPr>
          <w:rFonts w:ascii="宋体" w:hAnsi="宋体" w:eastAsia="宋体"/>
          <w:szCs w:val="32"/>
        </w:rPr>
        <w:t xml:space="preserve">（二）拟与预算安排相结合情况。</w:t>
      </w:r>
      <w:r>
        <w:rPr>
          <w:rFonts w:hint="eastAsia" w:ascii="宋体" w:hAnsi="宋体" w:eastAsia="宋体"/>
          <w:szCs w:val="32"/>
        </w:rPr>
      </w:r>
      <w:r>
        <w:rPr>
          <w:rFonts w:hint="eastAsia" w:ascii="宋体" w:hAnsi="宋体" w:eastAsia="宋体"/>
          <w:szCs w:val="32"/>
        </w:rPr>
      </w:r>
    </w:p>
    <w:p>
      <w:pPr>
        <w:pStyle w:val="680"/>
        <w:pBdr/>
        <w:spacing w:line="620" w:lineRule="exact"/>
        <w:ind w:firstLine="640"/>
        <w:rPr>
          <w:rFonts w:ascii="宋体" w:hAnsi="宋体" w:eastAsia="宋体"/>
          <w:szCs w:val="32"/>
        </w:rPr>
      </w:pPr>
      <w:r>
        <w:rPr>
          <w:rFonts w:hint="eastAsia" w:ascii="宋体" w:hAnsi="宋体" w:eastAsia="宋体"/>
          <w:szCs w:val="32"/>
        </w:rPr>
        <w:t xml:space="preserve">参考执行数合理做下一年度预算。</w:t>
      </w:r>
      <w:r>
        <w:rPr>
          <w:rFonts w:ascii="宋体" w:hAnsi="宋体" w:eastAsia="宋体"/>
          <w:szCs w:val="32"/>
        </w:rPr>
      </w:r>
      <w:r>
        <w:rPr>
          <w:rFonts w:ascii="宋体" w:hAnsi="宋体" w:eastAsia="宋体"/>
          <w:szCs w:val="32"/>
        </w:rPr>
      </w:r>
    </w:p>
    <w:p>
      <w:pPr>
        <w:pStyle w:val="680"/>
        <w:pBdr/>
        <w:spacing w:line="620" w:lineRule="exact"/>
        <w:ind w:firstLine="640"/>
        <w:rPr>
          <w:rFonts w:hint="eastAsia" w:ascii="宋体" w:hAnsi="宋体" w:eastAsia="宋体"/>
          <w:szCs w:val="32"/>
        </w:rPr>
      </w:pPr>
      <w:r>
        <w:rPr>
          <w:rFonts w:ascii="宋体" w:hAnsi="宋体" w:eastAsia="宋体"/>
          <w:szCs w:val="32"/>
        </w:rPr>
        <w:t xml:space="preserve">（三）拟公开情况。</w:t>
      </w:r>
      <w:r>
        <w:rPr>
          <w:rFonts w:hint="eastAsia" w:ascii="宋体" w:hAnsi="宋体" w:eastAsia="宋体"/>
          <w:szCs w:val="32"/>
        </w:rPr>
      </w:r>
      <w:r>
        <w:rPr>
          <w:rFonts w:hint="eastAsia" w:ascii="宋体" w:hAnsi="宋体" w:eastAsia="宋体"/>
          <w:szCs w:val="32"/>
        </w:rPr>
      </w:r>
    </w:p>
    <w:p>
      <w:pPr>
        <w:pStyle w:val="680"/>
        <w:pBdr/>
        <w:spacing w:line="620" w:lineRule="exact"/>
        <w:ind w:firstLine="640"/>
        <w:rPr>
          <w:rFonts w:ascii="宋体" w:hAnsi="宋体" w:eastAsia="宋体"/>
          <w:szCs w:val="32"/>
        </w:rPr>
      </w:pPr>
      <w:r>
        <w:rPr>
          <w:rFonts w:hint="eastAsia" w:ascii="宋体" w:hAnsi="宋体" w:eastAsia="宋体"/>
          <w:szCs w:val="32"/>
        </w:rPr>
        <w:t xml:space="preserve">随州市人民政府网站公开。</w:t>
      </w:r>
      <w:r>
        <w:rPr>
          <w:rFonts w:ascii="宋体" w:hAnsi="宋体" w:eastAsia="宋体"/>
          <w:szCs w:val="32"/>
        </w:rPr>
      </w:r>
      <w:r>
        <w:rPr>
          <w:rFonts w:ascii="宋体" w:hAnsi="宋体" w:eastAsia="宋体"/>
          <w:szCs w:val="32"/>
        </w:rPr>
      </w:r>
    </w:p>
    <w:p>
      <w:pPr>
        <w:pStyle w:val="680"/>
        <w:pBdr/>
        <w:spacing w:line="620" w:lineRule="exact"/>
        <w:ind w:firstLine="640"/>
        <w:rPr>
          <w:rFonts w:ascii="宋体" w:hAnsi="宋体" w:eastAsia="宋体"/>
          <w:szCs w:val="32"/>
        </w:rPr>
      </w:pPr>
      <w:r>
        <w:rPr>
          <w:rFonts w:ascii="宋体" w:hAnsi="宋体" w:eastAsia="宋体"/>
          <w:szCs w:val="32"/>
        </w:rPr>
        <w:t xml:space="preserve">五、</w:t>
      </w:r>
      <w:r>
        <w:rPr>
          <w:rFonts w:ascii="宋体" w:hAnsi="宋体" w:eastAsia="宋体"/>
          <w:szCs w:val="32"/>
        </w:rPr>
        <w:t xml:space="preserve">201</w:t>
      </w:r>
      <w:r>
        <w:rPr>
          <w:rFonts w:hint="eastAsia" w:ascii="宋体" w:hAnsi="宋体" w:eastAsia="宋体"/>
          <w:szCs w:val="32"/>
          <w:lang w:val="en-US" w:eastAsia="zh-CN"/>
        </w:rPr>
        <w:t xml:space="preserve">9</w:t>
      </w:r>
      <w:r>
        <w:rPr>
          <w:rFonts w:ascii="宋体" w:hAnsi="宋体" w:eastAsia="宋体"/>
          <w:szCs w:val="32"/>
        </w:rPr>
        <w:t xml:space="preserve">年度</w:t>
      </w:r>
      <w:r>
        <w:rPr>
          <w:rFonts w:hint="eastAsia" w:ascii="宋体" w:hAnsi="宋体" w:eastAsia="宋体"/>
          <w:szCs w:val="32"/>
        </w:rPr>
        <w:t xml:space="preserve">市委党校</w:t>
      </w:r>
      <w:r>
        <w:rPr>
          <w:rFonts w:ascii="宋体" w:hAnsi="宋体" w:eastAsia="宋体"/>
          <w:szCs w:val="32"/>
        </w:rPr>
        <w:t xml:space="preserve">整体支出绩效自评表（附后）</w:t>
      </w:r>
      <w:r>
        <w:rPr>
          <w:rFonts w:ascii="宋体" w:hAnsi="宋体" w:eastAsia="宋体"/>
          <w:szCs w:val="32"/>
        </w:rPr>
      </w:r>
      <w:r>
        <w:rPr>
          <w:rFonts w:ascii="宋体" w:hAnsi="宋体" w:eastAsia="宋体"/>
          <w:szCs w:val="32"/>
        </w:rPr>
      </w:r>
    </w:p>
    <w:p>
      <w:pPr>
        <w:pStyle w:val="680"/>
        <w:pBdr/>
        <w:spacing w:line="620" w:lineRule="exact"/>
        <w:ind w:firstLine="640"/>
        <w:rPr>
          <w:rFonts w:hint="eastAsia" w:ascii="宋体" w:hAnsi="宋体" w:eastAsia="宋体"/>
          <w:szCs w:val="32"/>
        </w:rPr>
      </w:pPr>
      <w:r>
        <w:rPr>
          <w:rFonts w:hint="eastAsia" w:ascii="宋体" w:hAnsi="宋体" w:eastAsia="宋体"/>
          <w:szCs w:val="32"/>
        </w:rPr>
      </w:r>
      <w:r>
        <w:rPr>
          <w:rFonts w:hint="eastAsia" w:ascii="宋体" w:hAnsi="宋体" w:eastAsia="宋体"/>
          <w:szCs w:val="32"/>
        </w:rPr>
      </w:r>
    </w:p>
    <w:p>
      <w:pPr>
        <w:pStyle w:val="680"/>
        <w:pBdr/>
        <w:spacing w:line="620" w:lineRule="exact"/>
        <w:ind w:firstLine="640"/>
        <w:jc w:val="right"/>
        <w:rPr>
          <w:rFonts w:hint="eastAsia" w:ascii="宋体" w:hAnsi="宋体" w:eastAsia="宋体"/>
          <w:szCs w:val="32"/>
        </w:rPr>
      </w:pPr>
      <w:r>
        <w:rPr>
          <w:rFonts w:hint="eastAsia" w:ascii="宋体" w:hAnsi="宋体" w:eastAsia="宋体"/>
          <w:szCs w:val="32"/>
        </w:rPr>
        <w:t xml:space="preserve">中共随州市委党校</w:t>
      </w:r>
      <w:r>
        <w:rPr>
          <w:rFonts w:hint="eastAsia" w:ascii="宋体" w:hAnsi="宋体" w:eastAsia="宋体"/>
          <w:szCs w:val="32"/>
        </w:rPr>
      </w:r>
      <w:r>
        <w:rPr>
          <w:rFonts w:hint="eastAsia" w:ascii="宋体" w:hAnsi="宋体" w:eastAsia="宋体"/>
          <w:szCs w:val="32"/>
        </w:rPr>
      </w:r>
    </w:p>
    <w:p>
      <w:pPr>
        <w:pStyle w:val="680"/>
        <w:pBdr/>
        <w:spacing w:line="620" w:lineRule="exact"/>
        <w:ind w:firstLine="640"/>
        <w:jc w:val="right"/>
        <w:rPr>
          <w:rFonts w:hint="eastAsia" w:ascii="宋体" w:hAnsi="宋体" w:eastAsia="宋体"/>
          <w:szCs w:val="32"/>
        </w:rPr>
      </w:pPr>
      <w:r>
        <w:rPr>
          <w:rFonts w:hint="eastAsia" w:ascii="宋体" w:hAnsi="宋体" w:eastAsia="宋体"/>
          <w:szCs w:val="32"/>
        </w:rPr>
        <w:t xml:space="preserve">20</w:t>
      </w:r>
      <w:r>
        <w:rPr>
          <w:rFonts w:hint="eastAsia" w:ascii="宋体" w:hAnsi="宋体" w:eastAsia="宋体"/>
          <w:szCs w:val="32"/>
          <w:lang w:val="en-US" w:eastAsia="zh-CN"/>
        </w:rPr>
        <w:t xml:space="preserve">20</w:t>
      </w:r>
      <w:r>
        <w:rPr>
          <w:rFonts w:hint="eastAsia" w:ascii="宋体" w:hAnsi="宋体" w:eastAsia="宋体"/>
          <w:szCs w:val="32"/>
        </w:rPr>
        <w:t xml:space="preserve">年</w:t>
      </w:r>
      <w:r>
        <w:rPr>
          <w:rFonts w:hint="eastAsia" w:ascii="宋体" w:hAnsi="宋体" w:eastAsia="宋体"/>
          <w:szCs w:val="32"/>
          <w:lang w:val="en-US" w:eastAsia="zh-CN"/>
        </w:rPr>
        <w:t xml:space="preserve">7</w:t>
      </w:r>
      <w:r>
        <w:rPr>
          <w:rFonts w:hint="eastAsia" w:ascii="宋体" w:hAnsi="宋体" w:eastAsia="宋体"/>
          <w:szCs w:val="32"/>
        </w:rPr>
        <w:t xml:space="preserve">月</w:t>
      </w:r>
      <w:r>
        <w:rPr>
          <w:rFonts w:hint="eastAsia" w:ascii="宋体" w:hAnsi="宋体" w:eastAsia="宋体"/>
          <w:szCs w:val="32"/>
          <w:lang w:val="en-US" w:eastAsia="zh-CN"/>
        </w:rPr>
        <w:t xml:space="preserve">20</w:t>
      </w:r>
      <w:r>
        <w:rPr>
          <w:rFonts w:hint="eastAsia" w:ascii="宋体" w:hAnsi="宋体" w:eastAsia="宋体"/>
          <w:szCs w:val="32"/>
        </w:rPr>
        <w:t xml:space="preserve">日</w:t>
      </w:r>
      <w:r>
        <w:rPr>
          <w:rFonts w:hint="eastAsia" w:ascii="宋体" w:hAnsi="宋体" w:eastAsia="宋体"/>
          <w:szCs w:val="32"/>
        </w:rPr>
      </w:r>
    </w:p>
    <w:sectPr>
      <w:headerReference w:type="default" r:id="rId9"/>
      <w:headerReference w:type="even" r:id="rId10"/>
      <w:footerReference w:type="default" r:id="rId11"/>
      <w:footerReference w:type="even" r:id="rId12"/>
      <w:footnotePr/>
      <w:endnotePr/>
      <w:type w:val="nextPage"/>
      <w:pgSz w:h="16838" w:orient="landscape" w:w="11906"/>
      <w:pgMar w:top="851" w:right="1418" w:bottom="851" w:left="1418" w:header="851" w:footer="1134"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Wingdings">
    <w:panose1 w:val="05000000000000000000"/>
  </w:font>
  <w:font w:name="仿宋_GB2312">
    <w:panose1 w:val="02010609060101010101"/>
  </w:font>
  <w:font w:name="Arial">
    <w:panose1 w:val="020B0604020202020204"/>
  </w:font>
  <w:font w:name="Calibri">
    <w:panose1 w:val="020F0502020204030204"/>
  </w:font>
  <w:font w:name="等线">
    <w:panose1 w:val="02010600030101010101"/>
  </w:font>
  <w:font w:name="宋体">
    <w:panose1 w:val="02010600030101010101"/>
  </w:font>
  <w:font w:name="Courier New">
    <w:panose1 w:val="020703090202050204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85"/>
      <w:framePr w:hAnchor="margin" w:vAnchor="text" w:wrap="around" w:xAlign="outside" w:y="1"/>
      <w:pBdr/>
      <w:tabs>
        <w:tab w:val="center" w:leader="none" w:pos="4153"/>
        <w:tab w:val="right" w:leader="none" w:pos="8306"/>
      </w:tabs>
      <w:spacing/>
      <w:ind/>
      <w:rPr>
        <w:rStyle w:val="690"/>
        <w:rFonts w:hint="eastAsia"/>
        <w:sz w:val="28"/>
        <w:szCs w:val="28"/>
      </w:rPr>
    </w:pPr>
    <w:r>
      <w:rPr>
        <w:rStyle w:val="690"/>
        <w:rFonts w:hint="eastAsia"/>
        <w:sz w:val="28"/>
        <w:szCs w:val="28"/>
      </w:rPr>
      <w:t xml:space="preserve">—</w:t>
    </w:r>
    <w:r>
      <w:rPr>
        <w:sz w:val="28"/>
        <w:szCs w:val="28"/>
      </w:rPr>
      <w:fldChar w:fldCharType="begin"/>
    </w:r>
    <w:r>
      <w:rPr>
        <w:rStyle w:val="690"/>
        <w:sz w:val="28"/>
        <w:szCs w:val="28"/>
      </w:rPr>
      <w:instrText xml:space="preserve"> PAGE </w:instrText>
    </w:r>
    <w:r>
      <w:rPr>
        <w:sz w:val="28"/>
        <w:szCs w:val="28"/>
      </w:rPr>
      <w:fldChar w:fldCharType="separate"/>
    </w:r>
    <w:r>
      <w:rPr>
        <w:rStyle w:val="690"/>
        <w:sz w:val="28"/>
        <w:szCs w:val="28"/>
      </w:rPr>
      <w:t xml:space="preserve">1</w:t>
    </w:r>
    <w:r>
      <w:rPr>
        <w:sz w:val="28"/>
        <w:szCs w:val="28"/>
      </w:rPr>
      <w:fldChar w:fldCharType="end"/>
    </w:r>
    <w:r>
      <w:rPr>
        <w:rStyle w:val="690"/>
        <w:rFonts w:hint="eastAsia"/>
        <w:sz w:val="28"/>
        <w:szCs w:val="28"/>
      </w:rPr>
      <w:t xml:space="preserve">—</w:t>
    </w:r>
    <w:r>
      <w:rPr>
        <w:rStyle w:val="690"/>
        <w:rFonts w:hint="eastAsia"/>
        <w:sz w:val="28"/>
        <w:szCs w:val="28"/>
      </w:rPr>
    </w:r>
    <w:r>
      <w:rPr>
        <w:rStyle w:val="690"/>
        <w:rFonts w:hint="eastAsia"/>
        <w:sz w:val="28"/>
        <w:szCs w:val="28"/>
      </w:rPr>
    </w:r>
  </w:p>
  <w:p>
    <w:pPr>
      <w:pStyle w:val="685"/>
      <w:pBdr/>
      <w:tabs>
        <w:tab w:val="center" w:leader="none" w:pos="4153"/>
        <w:tab w:val="right" w:leader="none" w:pos="8306"/>
      </w:tabs>
      <w:spacing/>
      <w:ind w:right="360" w:firstLine="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85"/>
      <w:framePr w:hAnchor="margin" w:vAnchor="text" w:wrap="around" w:xAlign="outside" w:y="1"/>
      <w:pBdr/>
      <w:tabs>
        <w:tab w:val="center" w:leader="none" w:pos="4153"/>
        <w:tab w:val="right" w:leader="none" w:pos="8306"/>
      </w:tabs>
      <w:spacing/>
      <w:ind/>
      <w:rPr>
        <w:rStyle w:val="690"/>
      </w:rPr>
    </w:pPr>
    <w:r>
      <w:fldChar w:fldCharType="begin"/>
    </w:r>
    <w:r>
      <w:rPr>
        <w:rStyle w:val="690"/>
      </w:rPr>
      <w:instrText xml:space="preserve">PAGE  </w:instrText>
    </w:r>
    <w:r>
      <w:fldChar w:fldCharType="separate"/>
    </w:r>
    <w:r>
      <w:rPr>
        <w:rStyle w:val="690"/>
      </w:rPr>
      <w:t xml:space="preserve">4</w:t>
    </w:r>
    <w:r>
      <w:fldChar w:fldCharType="end"/>
    </w:r>
    <w:r>
      <w:rPr>
        <w:rStyle w:val="690"/>
      </w:rPr>
    </w:r>
    <w:r>
      <w:rPr>
        <w:rStyle w:val="690"/>
      </w:rPr>
    </w:r>
  </w:p>
  <w:p>
    <w:pPr>
      <w:pStyle w:val="685"/>
      <w:pBdr/>
      <w:tabs>
        <w:tab w:val="center" w:leader="none" w:pos="4153"/>
        <w:tab w:val="right" w:leader="none" w:pos="8306"/>
      </w:tabs>
      <w:spacing/>
      <w:ind w:right="360" w:firstLine="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87"/>
      <w:pBdr>
        <w:bottom w:val="none" w:color="000000" w:sz="0" w:space="0"/>
      </w:pBdr>
      <w:tabs>
        <w:tab w:val="center" w:leader="none" w:pos="4153"/>
        <w:tab w:val="right" w:leader="none" w:pos="8306"/>
      </w:tabs>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87"/>
      <w:pBdr>
        <w:bottom w:val="none" w:color="000000" w:sz="0" w:space="0"/>
      </w:pBdr>
      <w:tabs>
        <w:tab w:val="center" w:leader="none" w:pos="4153"/>
        <w:tab w:val="right" w:leader="none" w:pos="8306"/>
      </w:tabs>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japaneseCounting"/>
      <w:pPr>
        <w:pBdr/>
        <w:spacing/>
        <w:ind w:hanging="720" w:left="1360"/>
      </w:pPr>
      <w:rPr/>
      <w:start w:val="1"/>
      <w:suff w:val="space"/>
    </w:lvl>
    <w:lvl w:ilvl="1">
      <w:isLgl w:val="false"/>
      <w:lvlJc w:val="left"/>
      <w:lvlText w:val="%2)"/>
      <w:numFmt w:val="lowerLetter"/>
      <w:pPr>
        <w:pBdr/>
        <w:spacing/>
        <w:ind w:hanging="420" w:left="1480"/>
      </w:pPr>
      <w:rPr/>
      <w:start w:val="1"/>
      <w:suff w:val="space"/>
    </w:lvl>
    <w:lvl w:ilvl="2">
      <w:isLgl w:val="false"/>
      <w:lvlJc w:val="right"/>
      <w:lvlText w:val="%3."/>
      <w:numFmt w:val="lowerRoman"/>
      <w:pPr>
        <w:pBdr/>
        <w:spacing/>
        <w:ind w:hanging="420" w:left="1900"/>
      </w:pPr>
      <w:rPr/>
      <w:start w:val="1"/>
      <w:suff w:val="space"/>
    </w:lvl>
    <w:lvl w:ilvl="3">
      <w:isLgl w:val="false"/>
      <w:lvlJc w:val="left"/>
      <w:lvlText w:val="%4."/>
      <w:numFmt w:val="decimal"/>
      <w:pPr>
        <w:pBdr/>
        <w:spacing/>
        <w:ind w:hanging="420" w:left="2320"/>
      </w:pPr>
      <w:rPr/>
      <w:start w:val="1"/>
      <w:suff w:val="space"/>
    </w:lvl>
    <w:lvl w:ilvl="4">
      <w:isLgl w:val="false"/>
      <w:lvlJc w:val="left"/>
      <w:lvlText w:val="%5)"/>
      <w:numFmt w:val="lowerLetter"/>
      <w:pPr>
        <w:pBdr/>
        <w:spacing/>
        <w:ind w:hanging="420" w:left="2740"/>
      </w:pPr>
      <w:rPr/>
      <w:start w:val="1"/>
      <w:suff w:val="space"/>
    </w:lvl>
    <w:lvl w:ilvl="5">
      <w:isLgl w:val="false"/>
      <w:lvlJc w:val="right"/>
      <w:lvlText w:val="%6."/>
      <w:numFmt w:val="lowerRoman"/>
      <w:pPr>
        <w:pBdr/>
        <w:spacing/>
        <w:ind w:hanging="420" w:left="3160"/>
      </w:pPr>
      <w:rPr/>
      <w:start w:val="1"/>
      <w:suff w:val="space"/>
    </w:lvl>
    <w:lvl w:ilvl="6">
      <w:isLgl w:val="false"/>
      <w:lvlJc w:val="left"/>
      <w:lvlText w:val="%7."/>
      <w:numFmt w:val="decimal"/>
      <w:pPr>
        <w:pBdr/>
        <w:spacing/>
        <w:ind w:hanging="420" w:left="3580"/>
      </w:pPr>
      <w:rPr/>
      <w:start w:val="1"/>
      <w:suff w:val="space"/>
    </w:lvl>
    <w:lvl w:ilvl="7">
      <w:isLgl w:val="false"/>
      <w:lvlJc w:val="left"/>
      <w:lvlText w:val="%8)"/>
      <w:numFmt w:val="lowerLetter"/>
      <w:pPr>
        <w:pBdr/>
        <w:spacing/>
        <w:ind w:hanging="420" w:left="4000"/>
      </w:pPr>
      <w:rPr/>
      <w:start w:val="1"/>
      <w:suff w:val="space"/>
    </w:lvl>
    <w:lvl w:ilvl="8">
      <w:isLgl w:val="false"/>
      <w:lvlJc w:val="right"/>
      <w:lvlText w:val="%9."/>
      <w:numFmt w:val="lowerRoman"/>
      <w:pPr>
        <w:pBdr/>
        <w:spacing/>
        <w:ind w:hanging="420" w:left="4420"/>
      </w:pPr>
      <w:rPr/>
      <w:start w:val="1"/>
      <w:suff w:val="space"/>
    </w:lvl>
  </w:abstractNum>
  <w:abstractNum w:abstractNumId="1">
    <w:lvl w:ilvl="0">
      <w:isLgl w:val="false"/>
      <w:lvlJc w:val="left"/>
      <w:lvlText w:val="%1."/>
      <w:numFmt w:val="decimal"/>
      <w:pPr>
        <w:pBdr/>
        <w:spacing/>
        <w:ind/>
      </w:pPr>
      <w:rPr/>
      <w:start w:val="3"/>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80"/>
    <w:next w:val="680"/>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80"/>
    <w:next w:val="680"/>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80"/>
    <w:next w:val="680"/>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80"/>
    <w:next w:val="680"/>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80"/>
    <w:next w:val="680"/>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80"/>
    <w:next w:val="680"/>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80"/>
    <w:next w:val="680"/>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80"/>
    <w:next w:val="680"/>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80"/>
    <w:next w:val="680"/>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80"/>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80"/>
    <w:next w:val="680"/>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80"/>
    <w:next w:val="680"/>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80"/>
    <w:next w:val="68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80"/>
    <w:next w:val="68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80"/>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80"/>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80"/>
    <w:next w:val="680"/>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8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8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80"/>
    <w:next w:val="680"/>
    <w:uiPriority w:val="39"/>
    <w:unhideWhenUsed/>
    <w:pPr>
      <w:pBdr/>
      <w:spacing w:after="57"/>
      <w:ind w:right="0" w:firstLine="0" w:left="0"/>
    </w:pPr>
  </w:style>
  <w:style w:type="paragraph" w:styleId="182">
    <w:name w:val="toc 2"/>
    <w:basedOn w:val="680"/>
    <w:next w:val="680"/>
    <w:uiPriority w:val="39"/>
    <w:unhideWhenUsed/>
    <w:pPr>
      <w:pBdr/>
      <w:spacing w:after="57"/>
      <w:ind w:right="0" w:firstLine="0" w:left="283"/>
    </w:pPr>
  </w:style>
  <w:style w:type="paragraph" w:styleId="183">
    <w:name w:val="toc 3"/>
    <w:basedOn w:val="680"/>
    <w:next w:val="680"/>
    <w:uiPriority w:val="39"/>
    <w:unhideWhenUsed/>
    <w:pPr>
      <w:pBdr/>
      <w:spacing w:after="57"/>
      <w:ind w:right="0" w:firstLine="0" w:left="567"/>
    </w:pPr>
  </w:style>
  <w:style w:type="paragraph" w:styleId="184">
    <w:name w:val="toc 4"/>
    <w:basedOn w:val="680"/>
    <w:next w:val="680"/>
    <w:uiPriority w:val="39"/>
    <w:unhideWhenUsed/>
    <w:pPr>
      <w:pBdr/>
      <w:spacing w:after="57"/>
      <w:ind w:right="0" w:firstLine="0" w:left="850"/>
    </w:pPr>
  </w:style>
  <w:style w:type="paragraph" w:styleId="185">
    <w:name w:val="toc 5"/>
    <w:basedOn w:val="680"/>
    <w:next w:val="680"/>
    <w:uiPriority w:val="39"/>
    <w:unhideWhenUsed/>
    <w:pPr>
      <w:pBdr/>
      <w:spacing w:after="57"/>
      <w:ind w:right="0" w:firstLine="0" w:left="1134"/>
    </w:pPr>
  </w:style>
  <w:style w:type="paragraph" w:styleId="186">
    <w:name w:val="toc 6"/>
    <w:basedOn w:val="680"/>
    <w:next w:val="680"/>
    <w:uiPriority w:val="39"/>
    <w:unhideWhenUsed/>
    <w:pPr>
      <w:pBdr/>
      <w:spacing w:after="57"/>
      <w:ind w:right="0" w:firstLine="0" w:left="1417"/>
    </w:pPr>
  </w:style>
  <w:style w:type="paragraph" w:styleId="187">
    <w:name w:val="toc 7"/>
    <w:basedOn w:val="680"/>
    <w:next w:val="680"/>
    <w:uiPriority w:val="39"/>
    <w:unhideWhenUsed/>
    <w:pPr>
      <w:pBdr/>
      <w:spacing w:after="57"/>
      <w:ind w:right="0" w:firstLine="0" w:left="1701"/>
    </w:pPr>
  </w:style>
  <w:style w:type="paragraph" w:styleId="188">
    <w:name w:val="toc 8"/>
    <w:basedOn w:val="680"/>
    <w:next w:val="680"/>
    <w:uiPriority w:val="39"/>
    <w:unhideWhenUsed/>
    <w:pPr>
      <w:pBdr/>
      <w:spacing w:after="57"/>
      <w:ind w:right="0" w:firstLine="0" w:left="1984"/>
    </w:pPr>
  </w:style>
  <w:style w:type="paragraph" w:styleId="189">
    <w:name w:val="toc 9"/>
    <w:basedOn w:val="680"/>
    <w:next w:val="68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80"/>
    <w:next w:val="680"/>
    <w:uiPriority w:val="99"/>
    <w:unhideWhenUsed/>
    <w:pPr>
      <w:pBdr/>
      <w:spacing w:after="0" w:afterAutospacing="0"/>
      <w:ind/>
    </w:pPr>
  </w:style>
  <w:style w:type="paragraph" w:styleId="680" w:default="1">
    <w:name w:val="Normal"/>
    <w:next w:val="680"/>
    <w:link w:val="680"/>
    <w:pPr>
      <w:widowControl w:val="false"/>
      <w:pBdr/>
      <w:spacing/>
      <w:ind/>
      <w:jc w:val="both"/>
    </w:pPr>
    <w:rPr>
      <w:rFonts w:eastAsia="仿宋_GB2312"/>
      <w:sz w:val="32"/>
      <w:szCs w:val="24"/>
      <w:lang w:val="en-US" w:eastAsia="zh-CN" w:bidi="ar-SA"/>
    </w:rPr>
  </w:style>
  <w:style w:type="character" w:styleId="681">
    <w:name w:val="默认段落字体"/>
    <w:next w:val="681"/>
    <w:link w:val="680"/>
    <w:pPr>
      <w:pBdr/>
      <w:spacing/>
      <w:ind/>
    </w:pPr>
  </w:style>
  <w:style w:type="table" w:styleId="682">
    <w:name w:val="普通表格"/>
    <w:next w:val="682"/>
    <w:link w:val="680"/>
    <w:semiHidden/>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83">
    <w:name w:val="日期"/>
    <w:basedOn w:val="680"/>
    <w:next w:val="680"/>
    <w:link w:val="680"/>
    <w:pPr>
      <w:pBdr/>
      <w:spacing/>
      <w:ind w:left="100"/>
    </w:pPr>
  </w:style>
  <w:style w:type="paragraph" w:styleId="684">
    <w:name w:val="批注框文本"/>
    <w:basedOn w:val="680"/>
    <w:next w:val="684"/>
    <w:link w:val="680"/>
    <w:pPr>
      <w:pBdr/>
      <w:spacing/>
      <w:ind/>
    </w:pPr>
    <w:rPr>
      <w:sz w:val="18"/>
      <w:szCs w:val="18"/>
    </w:rPr>
  </w:style>
  <w:style w:type="paragraph" w:styleId="685">
    <w:name w:val="页脚"/>
    <w:basedOn w:val="680"/>
    <w:next w:val="685"/>
    <w:link w:val="686"/>
    <w:pPr>
      <w:pBdr/>
      <w:tabs>
        <w:tab w:val="center" w:leader="none" w:pos="4153"/>
        <w:tab w:val="right" w:leader="none" w:pos="8306"/>
      </w:tabs>
      <w:spacing/>
      <w:ind/>
      <w:jc w:val="left"/>
    </w:pPr>
    <w:rPr>
      <w:sz w:val="18"/>
      <w:szCs w:val="18"/>
      <w:lang w:bidi="ar-SA"/>
    </w:rPr>
  </w:style>
  <w:style w:type="character" w:styleId="686">
    <w:name w:val="页脚 Char Char"/>
    <w:next w:val="686"/>
    <w:link w:val="685"/>
    <w:pPr>
      <w:pBdr/>
      <w:spacing/>
      <w:ind/>
    </w:pPr>
    <w:rPr>
      <w:sz w:val="18"/>
      <w:szCs w:val="18"/>
      <w:lang w:bidi="ar-SA"/>
    </w:rPr>
  </w:style>
  <w:style w:type="paragraph" w:styleId="687">
    <w:name w:val="页眉"/>
    <w:basedOn w:val="680"/>
    <w:next w:val="687"/>
    <w:link w:val="688"/>
    <w:pPr>
      <w:pBdr>
        <w:bottom w:val="single" w:color="000000" w:sz="6" w:space="1"/>
      </w:pBdr>
      <w:tabs>
        <w:tab w:val="center" w:leader="none" w:pos="4153"/>
        <w:tab w:val="right" w:leader="none" w:pos="8306"/>
      </w:tabs>
      <w:spacing/>
      <w:ind/>
      <w:jc w:val="center"/>
    </w:pPr>
    <w:rPr>
      <w:sz w:val="18"/>
      <w:szCs w:val="18"/>
      <w:lang w:bidi="ar-SA"/>
    </w:rPr>
  </w:style>
  <w:style w:type="character" w:styleId="688">
    <w:name w:val="页眉 Char Char"/>
    <w:next w:val="688"/>
    <w:link w:val="687"/>
    <w:pPr>
      <w:pBdr/>
      <w:spacing/>
      <w:ind/>
    </w:pPr>
    <w:rPr>
      <w:sz w:val="18"/>
      <w:szCs w:val="18"/>
      <w:lang w:bidi="ar-SA"/>
    </w:rPr>
  </w:style>
  <w:style w:type="paragraph" w:styleId="689">
    <w:name w:val="普通(网站)"/>
    <w:basedOn w:val="680"/>
    <w:next w:val="689"/>
    <w:link w:val="680"/>
    <w:pPr>
      <w:pBdr/>
      <w:spacing w:after="100" w:afterAutospacing="1" w:before="100" w:beforeAutospacing="1"/>
      <w:ind/>
      <w:jc w:val="left"/>
    </w:pPr>
    <w:rPr>
      <w:rFonts w:ascii="Calibri" w:hAnsi="Calibri"/>
      <w:sz w:val="24"/>
    </w:rPr>
  </w:style>
  <w:style w:type="character" w:styleId="690">
    <w:name w:val="页码"/>
    <w:basedOn w:val="681"/>
    <w:next w:val="690"/>
    <w:link w:val="680"/>
    <w:pPr>
      <w:pBdr/>
      <w:spacing/>
      <w:ind/>
    </w:pPr>
  </w:style>
  <w:style w:type="character" w:styleId="963" w:default="1">
    <w:name w:val="Default Paragraph Font"/>
    <w:uiPriority w:val="1"/>
    <w:semiHidden/>
    <w:unhideWhenUsed/>
    <w:pPr>
      <w:pBdr/>
      <w:spacing/>
      <w:ind/>
    </w:pPr>
  </w:style>
  <w:style w:type="numbering" w:styleId="964" w:default="1">
    <w:name w:val="No List"/>
    <w:uiPriority w:val="99"/>
    <w:semiHidden/>
    <w:unhideWhenUsed/>
    <w:pPr>
      <w:pBdr/>
      <w:spacing/>
      <w:ind/>
    </w:pPr>
  </w:style>
  <w:style w:type="table" w:styleId="965"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Hewlett-Pack</Company>
  <DocSecurity>0</DocSecurity>
  <Manager/>
  <ScaleCrop>false</ScaleCrop>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省财政厅关于开展2</dc:title>
  <dc:creator>打字室/办公室</dc:creator>
  <cp:lastModifiedBy>匿名</cp:lastModifiedBy>
  <cp:revision>2</cp:revision>
  <dcterms:created xsi:type="dcterms:W3CDTF">2019-05-27T08:04:00Z</dcterms:created>
  <dcterms:modified xsi:type="dcterms:W3CDTF">2026-03-13T08:40:13Z</dcterms:modified>
</cp:coreProperties>
</file>