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7616517">
      <w:pPr>
        <w:spacing w:line="600" w:lineRule="exact"/>
        <w:ind w:firstLine="643"/>
        <w:jc w:val="center"/>
        <w:rPr>
          <w:rFonts w:hint="eastAsia" w:ascii="仿宋_GB2312" w:hAnsi="仿宋_GB2312" w:eastAsia="仿宋_GB2312" w:cs="仿宋_GB2312"/>
          <w:b/>
          <w:sz w:val="32"/>
          <w:szCs w:val="32"/>
        </w:rPr>
      </w:pPr>
      <w:bookmarkStart w:id="0" w:name="_Toc92404267"/>
    </w:p>
    <w:p w14:paraId="0A06CE1F">
      <w:pPr>
        <w:spacing w:line="600" w:lineRule="exact"/>
        <w:ind w:firstLine="643"/>
        <w:jc w:val="center"/>
        <w:rPr>
          <w:rFonts w:hint="eastAsia" w:ascii="仿宋_GB2312" w:hAnsi="仿宋_GB2312" w:eastAsia="仿宋_GB2312" w:cs="仿宋_GB2312"/>
          <w:b/>
          <w:sz w:val="32"/>
          <w:szCs w:val="32"/>
        </w:rPr>
      </w:pPr>
    </w:p>
    <w:p w14:paraId="4C6C4DDA">
      <w:pPr>
        <w:spacing w:line="600" w:lineRule="exact"/>
        <w:ind w:firstLine="643"/>
        <w:jc w:val="center"/>
        <w:rPr>
          <w:rFonts w:hint="eastAsia" w:ascii="仿宋_GB2312" w:hAnsi="仿宋_GB2312" w:eastAsia="仿宋_GB2312" w:cs="仿宋_GB2312"/>
          <w:b/>
          <w:sz w:val="32"/>
          <w:szCs w:val="32"/>
        </w:rPr>
      </w:pPr>
    </w:p>
    <w:p w14:paraId="687ECD96">
      <w:pPr>
        <w:spacing w:line="600" w:lineRule="exact"/>
        <w:ind w:firstLine="640"/>
        <w:rPr>
          <w:rFonts w:hint="eastAsia" w:ascii="仿宋_GB2312" w:hAnsi="仿宋_GB2312" w:eastAsia="仿宋_GB2312" w:cs="仿宋_GB2312"/>
          <w:sz w:val="32"/>
          <w:szCs w:val="32"/>
        </w:rPr>
      </w:pPr>
    </w:p>
    <w:p w14:paraId="47D200D3">
      <w:pPr>
        <w:spacing w:line="360" w:lineRule="auto"/>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随州市国土空间生态修复规划</w:t>
      </w:r>
    </w:p>
    <w:p w14:paraId="5887E9C2">
      <w:pPr>
        <w:spacing w:line="360" w:lineRule="auto"/>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（2021-2035年）</w:t>
      </w:r>
    </w:p>
    <w:p w14:paraId="2AAFAD21">
      <w:pPr>
        <w:spacing w:line="600" w:lineRule="exact"/>
        <w:ind w:firstLine="643"/>
        <w:jc w:val="center"/>
        <w:rPr>
          <w:rFonts w:hint="eastAsia" w:ascii="仿宋_GB2312" w:hAnsi="仿宋_GB2312" w:eastAsia="仿宋_GB2312" w:cs="仿宋_GB2312"/>
          <w:b/>
          <w:sz w:val="32"/>
          <w:szCs w:val="32"/>
        </w:rPr>
      </w:pPr>
    </w:p>
    <w:p w14:paraId="16BC5BA1">
      <w:pPr>
        <w:spacing w:line="600" w:lineRule="exact"/>
        <w:ind w:firstLine="643"/>
        <w:jc w:val="center"/>
        <w:rPr>
          <w:rFonts w:hint="eastAsia" w:ascii="仿宋_GB2312" w:hAnsi="仿宋_GB2312" w:eastAsia="仿宋_GB2312" w:cs="仿宋_GB2312"/>
          <w:b/>
          <w:sz w:val="32"/>
          <w:szCs w:val="32"/>
        </w:rPr>
      </w:pPr>
    </w:p>
    <w:p w14:paraId="7B00581A">
      <w:pPr>
        <w:spacing w:line="600" w:lineRule="exact"/>
        <w:ind w:firstLine="643"/>
        <w:jc w:val="center"/>
        <w:rPr>
          <w:rFonts w:hint="eastAsia" w:ascii="仿宋_GB2312" w:hAnsi="仿宋_GB2312" w:eastAsia="仿宋_GB2312" w:cs="仿宋_GB2312"/>
          <w:b/>
          <w:sz w:val="32"/>
          <w:szCs w:val="32"/>
        </w:rPr>
      </w:pPr>
    </w:p>
    <w:p w14:paraId="69D2C97E">
      <w:pPr>
        <w:spacing w:line="360" w:lineRule="auto"/>
        <w:jc w:val="center"/>
        <w:rPr>
          <w:rFonts w:hint="eastAsia" w:ascii="方正小标宋简体" w:hAnsi="方正小标宋简体" w:eastAsia="方正小标宋简体" w:cs="方正小标宋简体"/>
          <w:bCs/>
          <w:sz w:val="52"/>
          <w:szCs w:val="52"/>
        </w:rPr>
      </w:pPr>
    </w:p>
    <w:p w14:paraId="22CD0969">
      <w:pPr>
        <w:spacing w:line="600" w:lineRule="exact"/>
        <w:ind w:firstLine="643"/>
        <w:jc w:val="center"/>
        <w:rPr>
          <w:rFonts w:hint="eastAsia" w:ascii="仿宋_GB2312" w:hAnsi="仿宋_GB2312" w:eastAsia="仿宋_GB2312" w:cs="仿宋_GB2312"/>
          <w:b/>
          <w:sz w:val="32"/>
          <w:szCs w:val="32"/>
        </w:rPr>
      </w:pPr>
    </w:p>
    <w:p w14:paraId="5EE2E435">
      <w:pPr>
        <w:spacing w:line="600" w:lineRule="exact"/>
        <w:ind w:firstLine="640"/>
        <w:rPr>
          <w:rFonts w:hint="eastAsia" w:ascii="仿宋_GB2312" w:hAnsi="仿宋_GB2312" w:eastAsia="仿宋_GB2312" w:cs="仿宋_GB2312"/>
          <w:sz w:val="32"/>
          <w:szCs w:val="32"/>
        </w:rPr>
      </w:pPr>
    </w:p>
    <w:p w14:paraId="4FA0037E">
      <w:pPr>
        <w:spacing w:line="600" w:lineRule="exact"/>
        <w:ind w:left="1260" w:firstLine="643"/>
        <w:rPr>
          <w:rFonts w:hint="eastAsia" w:ascii="仿宋_GB2312" w:hAnsi="仿宋_GB2312" w:eastAsia="仿宋_GB2312" w:cs="仿宋_GB2312"/>
          <w:b/>
          <w:sz w:val="32"/>
          <w:szCs w:val="32"/>
        </w:rPr>
      </w:pPr>
    </w:p>
    <w:p w14:paraId="2DABDEE1">
      <w:pPr>
        <w:spacing w:line="600" w:lineRule="exact"/>
        <w:ind w:left="1260" w:firstLine="643"/>
        <w:rPr>
          <w:rFonts w:hint="eastAsia" w:ascii="仿宋_GB2312" w:hAnsi="仿宋_GB2312" w:eastAsia="仿宋_GB2312" w:cs="仿宋_GB2312"/>
          <w:b/>
          <w:sz w:val="32"/>
          <w:szCs w:val="32"/>
        </w:rPr>
      </w:pPr>
    </w:p>
    <w:p w14:paraId="2A502CAA">
      <w:pPr>
        <w:spacing w:line="600" w:lineRule="exact"/>
        <w:ind w:left="1260" w:firstLine="643"/>
        <w:rPr>
          <w:rFonts w:hint="eastAsia" w:ascii="仿宋_GB2312" w:hAnsi="仿宋_GB2312" w:eastAsia="仿宋_GB2312" w:cs="仿宋_GB2312"/>
          <w:b/>
          <w:sz w:val="32"/>
          <w:szCs w:val="32"/>
        </w:rPr>
      </w:pPr>
    </w:p>
    <w:p w14:paraId="2D41052B">
      <w:pPr>
        <w:spacing w:line="600" w:lineRule="exact"/>
        <w:ind w:left="1260" w:firstLine="643"/>
        <w:rPr>
          <w:rFonts w:hint="eastAsia" w:ascii="仿宋_GB2312" w:hAnsi="仿宋_GB2312" w:eastAsia="仿宋_GB2312" w:cs="仿宋_GB2312"/>
          <w:b/>
          <w:sz w:val="32"/>
          <w:szCs w:val="32"/>
        </w:rPr>
      </w:pPr>
    </w:p>
    <w:p w14:paraId="1C03EE10">
      <w:pPr>
        <w:spacing w:line="600" w:lineRule="exact"/>
        <w:ind w:left="1260" w:firstLine="643"/>
        <w:rPr>
          <w:rFonts w:hint="eastAsia" w:ascii="仿宋_GB2312" w:hAnsi="仿宋_GB2312" w:eastAsia="仿宋_GB2312" w:cs="仿宋_GB2312"/>
          <w:b/>
          <w:sz w:val="32"/>
          <w:szCs w:val="32"/>
        </w:rPr>
      </w:pPr>
    </w:p>
    <w:p w14:paraId="2F58979A">
      <w:pPr>
        <w:spacing w:line="600" w:lineRule="exact"/>
        <w:jc w:val="center"/>
        <w:rPr>
          <w:rFonts w:hint="eastAsia" w:ascii="楷体" w:hAnsi="楷体" w:eastAsia="楷体" w:cs="楷体"/>
          <w:b/>
          <w:sz w:val="32"/>
          <w:szCs w:val="32"/>
        </w:rPr>
      </w:pPr>
      <w:r>
        <w:rPr>
          <w:rFonts w:hint="eastAsia" w:ascii="楷体" w:hAnsi="楷体" w:eastAsia="楷体" w:cs="楷体"/>
          <w:b/>
          <w:sz w:val="32"/>
          <w:szCs w:val="32"/>
        </w:rPr>
        <w:t>随州市人民政府</w:t>
      </w:r>
    </w:p>
    <w:p w14:paraId="31F4214A">
      <w:pPr>
        <w:widowControl/>
        <w:spacing w:line="600" w:lineRule="exact"/>
        <w:jc w:val="center"/>
        <w:rPr>
          <w:rFonts w:hint="eastAsia" w:ascii="楷体" w:hAnsi="楷体" w:eastAsia="楷体" w:cs="楷体"/>
          <w:b/>
          <w:sz w:val="32"/>
          <w:szCs w:val="32"/>
        </w:rPr>
      </w:pPr>
      <w:r>
        <w:rPr>
          <w:rFonts w:hint="eastAsia" w:ascii="楷体" w:hAnsi="楷体" w:eastAsia="楷体" w:cs="楷体"/>
          <w:b/>
          <w:sz w:val="32"/>
          <w:szCs w:val="32"/>
        </w:rPr>
        <w:t>二〇二二年十</w:t>
      </w:r>
      <w:r>
        <w:rPr>
          <w:rFonts w:hint="eastAsia" w:ascii="楷体" w:hAnsi="楷体" w:eastAsia="楷体" w:cs="楷体"/>
          <w:b/>
          <w:sz w:val="32"/>
          <w:szCs w:val="32"/>
          <w:lang w:val="en-US" w:eastAsia="zh-CN"/>
        </w:rPr>
        <w:t>二</w:t>
      </w:r>
      <w:r>
        <w:rPr>
          <w:rFonts w:hint="eastAsia" w:ascii="楷体" w:hAnsi="楷体" w:eastAsia="楷体" w:cs="楷体"/>
          <w:b/>
          <w:sz w:val="32"/>
          <w:szCs w:val="32"/>
        </w:rPr>
        <w:t>月</w:t>
      </w:r>
    </w:p>
    <w:p w14:paraId="56791E26">
      <w:pPr>
        <w:widowControl/>
        <w:spacing w:line="600" w:lineRule="exact"/>
        <w:ind w:firstLine="2249"/>
        <w:rPr>
          <w:rFonts w:ascii="仿宋_GB2312" w:hAnsi="仿宋_GB2312" w:eastAsia="仿宋_GB2312" w:cs="仿宋_GB2312"/>
          <w:b/>
          <w:sz w:val="32"/>
          <w:szCs w:val="32"/>
        </w:rPr>
        <w:sectPr>
          <w:type w:val="continuous"/>
          <w:pgSz w:w="11906" w:h="16838" w:orient="landscape"/>
          <w:pgMar w:top="1440" w:right="1800" w:bottom="1440" w:left="1800" w:header="851" w:footer="992" w:gutter="0"/>
          <w:pgNumType w:start="1"/>
          <w:cols w:space="1701" w:num="1"/>
        </w:sectPr>
      </w:pPr>
    </w:p>
    <w:p w14:paraId="47A9349D">
      <w:pPr>
        <w:pStyle w:val="233"/>
        <w:spacing w:before="0" w:line="600" w:lineRule="exact"/>
        <w:ind w:firstLine="643"/>
        <w:jc w:val="center"/>
        <w:rPr>
          <w:rFonts w:hint="eastAsia" w:ascii="仿宋_GB2312" w:hAnsi="仿宋_GB2312" w:eastAsia="仿宋_GB2312" w:cs="仿宋_GB2312"/>
          <w:b w:val="0"/>
          <w:bCs w:val="0"/>
          <w:color w:val="000000"/>
          <w:lang w:bidi="ar"/>
        </w:rPr>
      </w:pPr>
      <w:bookmarkStart w:id="1" w:name="_Toc29451"/>
      <w:bookmarkStart w:id="2" w:name="_Toc20414"/>
      <w:bookmarkStart w:id="3" w:name="_Toc26355"/>
      <w:r>
        <w:rPr>
          <w:rFonts w:hint="eastAsia" w:ascii="仿宋_GB2312" w:hAnsi="仿宋_GB2312" w:eastAsia="仿宋_GB2312" w:cs="仿宋_GB2312"/>
          <w:b w:val="0"/>
          <w:bCs w:val="0"/>
          <w:color w:val="000000"/>
          <w:lang w:bidi="ar"/>
        </w:rPr>
        <w:t>目录</w:t>
      </w:r>
      <w:bookmarkEnd w:id="0"/>
      <w:bookmarkEnd w:id="1"/>
      <w:bookmarkEnd w:id="2"/>
    </w:p>
    <w:p w14:paraId="4A62F886">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color w:val="000000"/>
          <w:sz w:val="28"/>
          <w:szCs w:val="28"/>
          <w:lang w:bidi="ar"/>
        </w:rPr>
        <w:instrText xml:space="preserve"> TOC \o "1-2" \h \z \u </w:instrText>
      </w:r>
      <w:r>
        <w:rPr>
          <w:rFonts w:hint="eastAsia" w:ascii="仿宋_GB2312" w:hAnsi="仿宋_GB2312" w:eastAsia="仿宋_GB2312" w:cs="仿宋_GB2312"/>
          <w:color w:val="000000"/>
          <w:sz w:val="28"/>
          <w:szCs w:val="28"/>
          <w:lang w:bidi="ar"/>
        </w:rPr>
        <w:fldChar w:fldCharType="separate"/>
      </w: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_Toc16418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前 言</w:t>
      </w:r>
      <w:r>
        <w:rPr>
          <w:sz w:val="28"/>
          <w:szCs w:val="28"/>
        </w:rPr>
        <w:tab/>
      </w:r>
      <w:r>
        <w:rPr>
          <w:sz w:val="28"/>
          <w:szCs w:val="28"/>
        </w:rPr>
        <w:fldChar w:fldCharType="begin"/>
      </w:r>
      <w:r>
        <w:rPr>
          <w:sz w:val="28"/>
          <w:szCs w:val="28"/>
        </w:rPr>
        <w:instrText xml:space="preserve"> PAGEREF _Toc16418 \h </w:instrText>
      </w:r>
      <w:r>
        <w:rPr>
          <w:sz w:val="28"/>
          <w:szCs w:val="28"/>
        </w:rPr>
        <w:fldChar w:fldCharType="separate"/>
      </w:r>
      <w:r>
        <w:rPr>
          <w:sz w:val="28"/>
          <w:szCs w:val="28"/>
        </w:rPr>
        <w:t>1</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0A3BCD63">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_Toc23819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第一章 项目背景</w:t>
      </w:r>
      <w:r>
        <w:rPr>
          <w:sz w:val="28"/>
          <w:szCs w:val="28"/>
        </w:rPr>
        <w:tab/>
      </w:r>
      <w:r>
        <w:rPr>
          <w:sz w:val="28"/>
          <w:szCs w:val="28"/>
        </w:rPr>
        <w:fldChar w:fldCharType="begin"/>
      </w:r>
      <w:r>
        <w:rPr>
          <w:sz w:val="28"/>
          <w:szCs w:val="28"/>
        </w:rPr>
        <w:instrText xml:space="preserve"> PAGEREF _Toc23819 \h </w:instrText>
      </w:r>
      <w:r>
        <w:rPr>
          <w:sz w:val="28"/>
          <w:szCs w:val="28"/>
        </w:rPr>
        <w:fldChar w:fldCharType="separate"/>
      </w:r>
      <w:r>
        <w:rPr>
          <w:sz w:val="28"/>
          <w:szCs w:val="28"/>
        </w:rPr>
        <w:t>2</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20AAFB1C">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_Toc417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1.1 工作背景</w:t>
      </w:r>
      <w:r>
        <w:rPr>
          <w:sz w:val="28"/>
          <w:szCs w:val="28"/>
        </w:rPr>
        <w:tab/>
      </w:r>
      <w:r>
        <w:rPr>
          <w:sz w:val="28"/>
          <w:szCs w:val="28"/>
        </w:rPr>
        <w:fldChar w:fldCharType="begin"/>
      </w:r>
      <w:r>
        <w:rPr>
          <w:sz w:val="28"/>
          <w:szCs w:val="28"/>
        </w:rPr>
        <w:instrText xml:space="preserve"> PAGEREF _Toc417 \h </w:instrText>
      </w:r>
      <w:r>
        <w:rPr>
          <w:sz w:val="28"/>
          <w:szCs w:val="28"/>
        </w:rPr>
        <w:fldChar w:fldCharType="separate"/>
      </w:r>
      <w:r>
        <w:rPr>
          <w:sz w:val="28"/>
          <w:szCs w:val="28"/>
        </w:rPr>
        <w:t>2</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29A6D00C">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_Toc993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1.2 工作内容</w:t>
      </w:r>
      <w:r>
        <w:rPr>
          <w:sz w:val="28"/>
          <w:szCs w:val="28"/>
        </w:rPr>
        <w:tab/>
      </w:r>
      <w:r>
        <w:rPr>
          <w:sz w:val="28"/>
          <w:szCs w:val="28"/>
        </w:rPr>
        <w:fldChar w:fldCharType="begin"/>
      </w:r>
      <w:r>
        <w:rPr>
          <w:sz w:val="28"/>
          <w:szCs w:val="28"/>
        </w:rPr>
        <w:instrText xml:space="preserve"> PAGEREF _Toc993 \h </w:instrText>
      </w:r>
      <w:r>
        <w:rPr>
          <w:sz w:val="28"/>
          <w:szCs w:val="28"/>
        </w:rPr>
        <w:fldChar w:fldCharType="separate"/>
      </w:r>
      <w:r>
        <w:rPr>
          <w:sz w:val="28"/>
          <w:szCs w:val="28"/>
        </w:rPr>
        <w:t>3</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0FA2F2FA">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_Toc18254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1.3 编制依据</w:t>
      </w:r>
      <w:r>
        <w:rPr>
          <w:sz w:val="28"/>
          <w:szCs w:val="28"/>
        </w:rPr>
        <w:tab/>
      </w:r>
      <w:r>
        <w:rPr>
          <w:sz w:val="28"/>
          <w:szCs w:val="28"/>
        </w:rPr>
        <w:fldChar w:fldCharType="begin"/>
      </w:r>
      <w:r>
        <w:rPr>
          <w:sz w:val="28"/>
          <w:szCs w:val="28"/>
        </w:rPr>
        <w:instrText xml:space="preserve"> PAGEREF _Toc18254 \h </w:instrText>
      </w:r>
      <w:r>
        <w:rPr>
          <w:sz w:val="28"/>
          <w:szCs w:val="28"/>
        </w:rPr>
        <w:fldChar w:fldCharType="separate"/>
      </w:r>
      <w:r>
        <w:rPr>
          <w:sz w:val="28"/>
          <w:szCs w:val="28"/>
        </w:rPr>
        <w:t>4</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6FBF36D3">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_Toc4077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 xml:space="preserve"> 规划范围</w:t>
      </w:r>
      <w:r>
        <w:rPr>
          <w:sz w:val="28"/>
          <w:szCs w:val="28"/>
        </w:rPr>
        <w:tab/>
      </w:r>
      <w:r>
        <w:rPr>
          <w:sz w:val="28"/>
          <w:szCs w:val="28"/>
        </w:rPr>
        <w:fldChar w:fldCharType="begin"/>
      </w:r>
      <w:r>
        <w:rPr>
          <w:sz w:val="28"/>
          <w:szCs w:val="28"/>
        </w:rPr>
        <w:instrText xml:space="preserve"> PAGEREF _Toc4077 \h </w:instrText>
      </w:r>
      <w:r>
        <w:rPr>
          <w:sz w:val="28"/>
          <w:szCs w:val="28"/>
        </w:rPr>
        <w:fldChar w:fldCharType="separate"/>
      </w:r>
      <w:r>
        <w:rPr>
          <w:sz w:val="28"/>
          <w:szCs w:val="28"/>
        </w:rPr>
        <w:t>6</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0FDF9559">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_Toc26890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 xml:space="preserve"> 规划期限</w:t>
      </w:r>
      <w:r>
        <w:rPr>
          <w:sz w:val="28"/>
          <w:szCs w:val="28"/>
        </w:rPr>
        <w:tab/>
      </w:r>
      <w:r>
        <w:rPr>
          <w:sz w:val="28"/>
          <w:szCs w:val="28"/>
        </w:rPr>
        <w:fldChar w:fldCharType="begin"/>
      </w:r>
      <w:r>
        <w:rPr>
          <w:sz w:val="28"/>
          <w:szCs w:val="28"/>
        </w:rPr>
        <w:instrText xml:space="preserve"> PAGEREF _Toc26890 \h </w:instrText>
      </w:r>
      <w:r>
        <w:rPr>
          <w:sz w:val="28"/>
          <w:szCs w:val="28"/>
        </w:rPr>
        <w:fldChar w:fldCharType="separate"/>
      </w:r>
      <w:r>
        <w:rPr>
          <w:sz w:val="28"/>
          <w:szCs w:val="28"/>
        </w:rPr>
        <w:t>6</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5CC790D9">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_Toc16820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lang w:val="en-US" w:eastAsia="zh-CN"/>
        </w:rPr>
        <w:t>第</w:t>
      </w:r>
      <w:r>
        <w:rPr>
          <w:rFonts w:hint="eastAsia" w:ascii="仿宋_GB2312" w:hAnsi="仿宋_GB2312" w:eastAsia="仿宋_GB2312" w:cs="仿宋_GB2312"/>
          <w:bCs/>
          <w:sz w:val="28"/>
          <w:szCs w:val="28"/>
        </w:rPr>
        <w:t>二章 现状与本底</w:t>
      </w:r>
      <w:r>
        <w:rPr>
          <w:sz w:val="28"/>
          <w:szCs w:val="28"/>
        </w:rPr>
        <w:tab/>
      </w:r>
      <w:r>
        <w:rPr>
          <w:sz w:val="28"/>
          <w:szCs w:val="28"/>
        </w:rPr>
        <w:fldChar w:fldCharType="begin"/>
      </w:r>
      <w:r>
        <w:rPr>
          <w:sz w:val="28"/>
          <w:szCs w:val="28"/>
        </w:rPr>
        <w:instrText xml:space="preserve"> PAGEREF _Toc16820 \h </w:instrText>
      </w:r>
      <w:r>
        <w:rPr>
          <w:sz w:val="28"/>
          <w:szCs w:val="28"/>
        </w:rPr>
        <w:fldChar w:fldCharType="separate"/>
      </w:r>
      <w:r>
        <w:rPr>
          <w:sz w:val="28"/>
          <w:szCs w:val="28"/>
        </w:rPr>
        <w:t>6</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56EF12B0">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_Toc21734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2.1 社会经济与生态现状</w:t>
      </w:r>
      <w:r>
        <w:rPr>
          <w:sz w:val="28"/>
          <w:szCs w:val="28"/>
        </w:rPr>
        <w:tab/>
      </w:r>
      <w:r>
        <w:rPr>
          <w:sz w:val="28"/>
          <w:szCs w:val="28"/>
        </w:rPr>
        <w:fldChar w:fldCharType="begin"/>
      </w:r>
      <w:r>
        <w:rPr>
          <w:sz w:val="28"/>
          <w:szCs w:val="28"/>
        </w:rPr>
        <w:instrText xml:space="preserve"> PAGEREF _Toc21734 \h </w:instrText>
      </w:r>
      <w:r>
        <w:rPr>
          <w:sz w:val="28"/>
          <w:szCs w:val="28"/>
        </w:rPr>
        <w:fldChar w:fldCharType="separate"/>
      </w:r>
      <w:r>
        <w:rPr>
          <w:sz w:val="28"/>
          <w:szCs w:val="28"/>
        </w:rPr>
        <w:t>6</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43C8F215">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_Toc10292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2.2 生态修复工作成效</w:t>
      </w:r>
      <w:r>
        <w:rPr>
          <w:sz w:val="28"/>
          <w:szCs w:val="28"/>
        </w:rPr>
        <w:tab/>
      </w:r>
      <w:r>
        <w:rPr>
          <w:sz w:val="28"/>
          <w:szCs w:val="28"/>
        </w:rPr>
        <w:fldChar w:fldCharType="begin"/>
      </w:r>
      <w:r>
        <w:rPr>
          <w:sz w:val="28"/>
          <w:szCs w:val="28"/>
        </w:rPr>
        <w:instrText xml:space="preserve"> PAGEREF _Toc10292 \h </w:instrText>
      </w:r>
      <w:r>
        <w:rPr>
          <w:sz w:val="28"/>
          <w:szCs w:val="28"/>
        </w:rPr>
        <w:fldChar w:fldCharType="separate"/>
      </w:r>
      <w:r>
        <w:rPr>
          <w:sz w:val="28"/>
          <w:szCs w:val="28"/>
        </w:rPr>
        <w:t>6</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073DF94D">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_Toc6731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第三章 主要生态问题</w:t>
      </w:r>
      <w:r>
        <w:rPr>
          <w:sz w:val="28"/>
          <w:szCs w:val="28"/>
        </w:rPr>
        <w:tab/>
      </w:r>
      <w:r>
        <w:rPr>
          <w:sz w:val="28"/>
          <w:szCs w:val="28"/>
        </w:rPr>
        <w:fldChar w:fldCharType="begin"/>
      </w:r>
      <w:r>
        <w:rPr>
          <w:sz w:val="28"/>
          <w:szCs w:val="28"/>
        </w:rPr>
        <w:instrText xml:space="preserve"> PAGEREF _Toc6731 \h </w:instrText>
      </w:r>
      <w:r>
        <w:rPr>
          <w:sz w:val="28"/>
          <w:szCs w:val="28"/>
        </w:rPr>
        <w:fldChar w:fldCharType="separate"/>
      </w:r>
      <w:r>
        <w:rPr>
          <w:sz w:val="28"/>
          <w:szCs w:val="28"/>
        </w:rPr>
        <w:t>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2D18CC3E">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_Toc2035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3.1 生态空间问题</w:t>
      </w:r>
      <w:r>
        <w:rPr>
          <w:sz w:val="28"/>
          <w:szCs w:val="28"/>
        </w:rPr>
        <w:tab/>
      </w:r>
      <w:r>
        <w:rPr>
          <w:sz w:val="28"/>
          <w:szCs w:val="28"/>
        </w:rPr>
        <w:fldChar w:fldCharType="begin"/>
      </w:r>
      <w:r>
        <w:rPr>
          <w:sz w:val="28"/>
          <w:szCs w:val="28"/>
        </w:rPr>
        <w:instrText xml:space="preserve"> PAGEREF _Toc2035 \h </w:instrText>
      </w:r>
      <w:r>
        <w:rPr>
          <w:sz w:val="28"/>
          <w:szCs w:val="28"/>
        </w:rPr>
        <w:fldChar w:fldCharType="separate"/>
      </w:r>
      <w:r>
        <w:rPr>
          <w:sz w:val="28"/>
          <w:szCs w:val="28"/>
        </w:rPr>
        <w:t>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55D0B233">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_Toc7013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3.2 农业空间生态问题</w:t>
      </w:r>
      <w:r>
        <w:rPr>
          <w:sz w:val="28"/>
          <w:szCs w:val="28"/>
        </w:rPr>
        <w:tab/>
      </w:r>
      <w:r>
        <w:rPr>
          <w:sz w:val="28"/>
          <w:szCs w:val="28"/>
        </w:rPr>
        <w:fldChar w:fldCharType="begin"/>
      </w:r>
      <w:r>
        <w:rPr>
          <w:sz w:val="28"/>
          <w:szCs w:val="28"/>
        </w:rPr>
        <w:instrText xml:space="preserve"> PAGEREF _Toc7013 \h </w:instrText>
      </w:r>
      <w:r>
        <w:rPr>
          <w:sz w:val="28"/>
          <w:szCs w:val="28"/>
        </w:rPr>
        <w:fldChar w:fldCharType="separate"/>
      </w:r>
      <w:r>
        <w:rPr>
          <w:sz w:val="28"/>
          <w:szCs w:val="28"/>
        </w:rPr>
        <w:t>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725F9AD4">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_Toc4927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3.3 城镇空间生态问题</w:t>
      </w:r>
      <w:r>
        <w:rPr>
          <w:sz w:val="28"/>
          <w:szCs w:val="28"/>
        </w:rPr>
        <w:tab/>
      </w:r>
      <w:r>
        <w:rPr>
          <w:sz w:val="28"/>
          <w:szCs w:val="28"/>
        </w:rPr>
        <w:fldChar w:fldCharType="begin"/>
      </w:r>
      <w:r>
        <w:rPr>
          <w:sz w:val="28"/>
          <w:szCs w:val="28"/>
        </w:rPr>
        <w:instrText xml:space="preserve"> PAGEREF _Toc4927 \h </w:instrText>
      </w:r>
      <w:r>
        <w:rPr>
          <w:sz w:val="28"/>
          <w:szCs w:val="28"/>
        </w:rPr>
        <w:fldChar w:fldCharType="separate"/>
      </w:r>
      <w:r>
        <w:rPr>
          <w:sz w:val="28"/>
          <w:szCs w:val="28"/>
        </w:rPr>
        <w:t>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588C377C">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_Toc32468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第四章 总体思路</w:t>
      </w:r>
      <w:r>
        <w:rPr>
          <w:sz w:val="28"/>
          <w:szCs w:val="28"/>
        </w:rPr>
        <w:tab/>
      </w:r>
      <w:r>
        <w:rPr>
          <w:sz w:val="28"/>
          <w:szCs w:val="28"/>
        </w:rPr>
        <w:fldChar w:fldCharType="begin"/>
      </w:r>
      <w:r>
        <w:rPr>
          <w:sz w:val="28"/>
          <w:szCs w:val="28"/>
        </w:rPr>
        <w:instrText xml:space="preserve"> PAGEREF _Toc32468 \h </w:instrText>
      </w:r>
      <w:r>
        <w:rPr>
          <w:sz w:val="28"/>
          <w:szCs w:val="28"/>
        </w:rPr>
        <w:fldChar w:fldCharType="separate"/>
      </w:r>
      <w:r>
        <w:rPr>
          <w:sz w:val="28"/>
          <w:szCs w:val="28"/>
        </w:rPr>
        <w:t>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176867A5">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_Toc17816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4.1 指导思想</w:t>
      </w:r>
      <w:r>
        <w:rPr>
          <w:sz w:val="28"/>
          <w:szCs w:val="28"/>
        </w:rPr>
        <w:tab/>
      </w:r>
      <w:r>
        <w:rPr>
          <w:sz w:val="28"/>
          <w:szCs w:val="28"/>
        </w:rPr>
        <w:fldChar w:fldCharType="begin"/>
      </w:r>
      <w:r>
        <w:rPr>
          <w:sz w:val="28"/>
          <w:szCs w:val="28"/>
        </w:rPr>
        <w:instrText xml:space="preserve"> PAGEREF _Toc17816 \h </w:instrText>
      </w:r>
      <w:r>
        <w:rPr>
          <w:sz w:val="28"/>
          <w:szCs w:val="28"/>
        </w:rPr>
        <w:fldChar w:fldCharType="separate"/>
      </w:r>
      <w:r>
        <w:rPr>
          <w:sz w:val="28"/>
          <w:szCs w:val="28"/>
        </w:rPr>
        <w:t>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0CD42A54">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_Toc3058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4.2 基本原则</w:t>
      </w:r>
      <w:r>
        <w:rPr>
          <w:sz w:val="28"/>
          <w:szCs w:val="28"/>
        </w:rPr>
        <w:tab/>
      </w:r>
      <w:r>
        <w:rPr>
          <w:sz w:val="28"/>
          <w:szCs w:val="28"/>
        </w:rPr>
        <w:fldChar w:fldCharType="begin"/>
      </w:r>
      <w:r>
        <w:rPr>
          <w:sz w:val="28"/>
          <w:szCs w:val="28"/>
        </w:rPr>
        <w:instrText xml:space="preserve"> PAGEREF _Toc3058 \h </w:instrText>
      </w:r>
      <w:r>
        <w:rPr>
          <w:sz w:val="28"/>
          <w:szCs w:val="28"/>
        </w:rPr>
        <w:fldChar w:fldCharType="separate"/>
      </w:r>
      <w:r>
        <w:rPr>
          <w:sz w:val="28"/>
          <w:szCs w:val="28"/>
        </w:rPr>
        <w:t>8</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086D990A">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_Toc872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4.3 规划目标</w:t>
      </w:r>
      <w:r>
        <w:rPr>
          <w:sz w:val="28"/>
          <w:szCs w:val="28"/>
        </w:rPr>
        <w:tab/>
      </w:r>
      <w:r>
        <w:rPr>
          <w:sz w:val="28"/>
          <w:szCs w:val="28"/>
        </w:rPr>
        <w:fldChar w:fldCharType="begin"/>
      </w:r>
      <w:r>
        <w:rPr>
          <w:sz w:val="28"/>
          <w:szCs w:val="28"/>
        </w:rPr>
        <w:instrText xml:space="preserve"> PAGEREF _Toc872 \h </w:instrText>
      </w:r>
      <w:r>
        <w:rPr>
          <w:sz w:val="28"/>
          <w:szCs w:val="28"/>
        </w:rPr>
        <w:fldChar w:fldCharType="separate"/>
      </w:r>
      <w:r>
        <w:rPr>
          <w:sz w:val="28"/>
          <w:szCs w:val="28"/>
        </w:rPr>
        <w:t>8</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5273FB6F">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_Toc11816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4.4 主要指标</w:t>
      </w:r>
      <w:r>
        <w:rPr>
          <w:sz w:val="28"/>
          <w:szCs w:val="28"/>
        </w:rPr>
        <w:tab/>
      </w:r>
      <w:r>
        <w:rPr>
          <w:sz w:val="28"/>
          <w:szCs w:val="28"/>
        </w:rPr>
        <w:fldChar w:fldCharType="begin"/>
      </w:r>
      <w:r>
        <w:rPr>
          <w:sz w:val="28"/>
          <w:szCs w:val="28"/>
        </w:rPr>
        <w:instrText xml:space="preserve"> PAGEREF _Toc11816 \h </w:instrText>
      </w:r>
      <w:r>
        <w:rPr>
          <w:sz w:val="28"/>
          <w:szCs w:val="28"/>
        </w:rPr>
        <w:fldChar w:fldCharType="separate"/>
      </w:r>
      <w:r>
        <w:rPr>
          <w:sz w:val="28"/>
          <w:szCs w:val="28"/>
        </w:rPr>
        <w:t>10</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4BEAD680">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_Toc26735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第五章 生态修复布局与分区</w:t>
      </w:r>
      <w:r>
        <w:rPr>
          <w:sz w:val="28"/>
          <w:szCs w:val="28"/>
        </w:rPr>
        <w:tab/>
      </w:r>
      <w:r>
        <w:rPr>
          <w:sz w:val="28"/>
          <w:szCs w:val="28"/>
        </w:rPr>
        <w:fldChar w:fldCharType="begin"/>
      </w:r>
      <w:r>
        <w:rPr>
          <w:sz w:val="28"/>
          <w:szCs w:val="28"/>
        </w:rPr>
        <w:instrText xml:space="preserve"> PAGEREF _Toc26735 \h </w:instrText>
      </w:r>
      <w:r>
        <w:rPr>
          <w:sz w:val="28"/>
          <w:szCs w:val="28"/>
        </w:rPr>
        <w:fldChar w:fldCharType="separate"/>
      </w:r>
      <w:r>
        <w:rPr>
          <w:sz w:val="28"/>
          <w:szCs w:val="28"/>
        </w:rPr>
        <w:t>11</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48091459">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_Toc53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5.1 构建生态修复总体布局</w:t>
      </w:r>
      <w:r>
        <w:rPr>
          <w:sz w:val="28"/>
          <w:szCs w:val="28"/>
        </w:rPr>
        <w:tab/>
      </w:r>
      <w:r>
        <w:rPr>
          <w:sz w:val="28"/>
          <w:szCs w:val="28"/>
        </w:rPr>
        <w:fldChar w:fldCharType="begin"/>
      </w:r>
      <w:r>
        <w:rPr>
          <w:sz w:val="28"/>
          <w:szCs w:val="28"/>
        </w:rPr>
        <w:instrText xml:space="preserve"> PAGEREF _Toc53 \h </w:instrText>
      </w:r>
      <w:r>
        <w:rPr>
          <w:sz w:val="28"/>
          <w:szCs w:val="28"/>
        </w:rPr>
        <w:fldChar w:fldCharType="separate"/>
      </w:r>
      <w:r>
        <w:rPr>
          <w:sz w:val="28"/>
          <w:szCs w:val="28"/>
        </w:rPr>
        <w:t>11</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4E08E47A">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_Toc17033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5.2 划定生态修复分区</w:t>
      </w:r>
      <w:r>
        <w:rPr>
          <w:sz w:val="28"/>
          <w:szCs w:val="28"/>
        </w:rPr>
        <w:tab/>
      </w:r>
      <w:r>
        <w:rPr>
          <w:sz w:val="28"/>
          <w:szCs w:val="28"/>
        </w:rPr>
        <w:fldChar w:fldCharType="begin"/>
      </w:r>
      <w:r>
        <w:rPr>
          <w:sz w:val="28"/>
          <w:szCs w:val="28"/>
        </w:rPr>
        <w:instrText xml:space="preserve"> PAGEREF _Toc17033 \h </w:instrText>
      </w:r>
      <w:r>
        <w:rPr>
          <w:sz w:val="28"/>
          <w:szCs w:val="28"/>
        </w:rPr>
        <w:fldChar w:fldCharType="separate"/>
      </w:r>
      <w:r>
        <w:rPr>
          <w:sz w:val="28"/>
          <w:szCs w:val="28"/>
        </w:rPr>
        <w:t>12</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5BF75DD6">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_Toc1610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第六章 矿山生态修复</w:t>
      </w:r>
      <w:r>
        <w:rPr>
          <w:sz w:val="28"/>
          <w:szCs w:val="28"/>
        </w:rPr>
        <w:tab/>
      </w:r>
      <w:r>
        <w:rPr>
          <w:sz w:val="28"/>
          <w:szCs w:val="28"/>
        </w:rPr>
        <w:fldChar w:fldCharType="begin"/>
      </w:r>
      <w:r>
        <w:rPr>
          <w:sz w:val="28"/>
          <w:szCs w:val="28"/>
        </w:rPr>
        <w:instrText xml:space="preserve"> PAGEREF _Toc1610 \h </w:instrText>
      </w:r>
      <w:r>
        <w:rPr>
          <w:sz w:val="28"/>
          <w:szCs w:val="28"/>
        </w:rPr>
        <w:fldChar w:fldCharType="separate"/>
      </w:r>
      <w:r>
        <w:rPr>
          <w:sz w:val="28"/>
          <w:szCs w:val="28"/>
        </w:rPr>
        <w:t>14</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6F23D2AD">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_Toc25535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6.1 吴山-万和矿山修复工程</w:t>
      </w:r>
      <w:r>
        <w:rPr>
          <w:sz w:val="28"/>
          <w:szCs w:val="28"/>
        </w:rPr>
        <w:tab/>
      </w:r>
      <w:r>
        <w:rPr>
          <w:sz w:val="28"/>
          <w:szCs w:val="28"/>
        </w:rPr>
        <w:fldChar w:fldCharType="begin"/>
      </w:r>
      <w:r>
        <w:rPr>
          <w:sz w:val="28"/>
          <w:szCs w:val="28"/>
        </w:rPr>
        <w:instrText xml:space="preserve"> PAGEREF _Toc25535 \h </w:instrText>
      </w:r>
      <w:r>
        <w:rPr>
          <w:sz w:val="28"/>
          <w:szCs w:val="28"/>
        </w:rPr>
        <w:fldChar w:fldCharType="separate"/>
      </w:r>
      <w:r>
        <w:rPr>
          <w:sz w:val="28"/>
          <w:szCs w:val="28"/>
        </w:rPr>
        <w:t>14</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22A65F27">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_Toc13929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6.2 殷店-吴店矿山修复工程</w:t>
      </w:r>
      <w:r>
        <w:rPr>
          <w:sz w:val="28"/>
          <w:szCs w:val="28"/>
        </w:rPr>
        <w:tab/>
      </w:r>
      <w:r>
        <w:rPr>
          <w:sz w:val="28"/>
          <w:szCs w:val="28"/>
        </w:rPr>
        <w:fldChar w:fldCharType="begin"/>
      </w:r>
      <w:r>
        <w:rPr>
          <w:sz w:val="28"/>
          <w:szCs w:val="28"/>
        </w:rPr>
        <w:instrText xml:space="preserve"> PAGEREF _Toc13929 \h </w:instrText>
      </w:r>
      <w:r>
        <w:rPr>
          <w:sz w:val="28"/>
          <w:szCs w:val="28"/>
        </w:rPr>
        <w:fldChar w:fldCharType="separate"/>
      </w:r>
      <w:r>
        <w:rPr>
          <w:sz w:val="28"/>
          <w:szCs w:val="28"/>
        </w:rPr>
        <w:t>15</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223F95B0">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_Toc3519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6.3 淮河镇矿山修复工程</w:t>
      </w:r>
      <w:r>
        <w:rPr>
          <w:sz w:val="28"/>
          <w:szCs w:val="28"/>
        </w:rPr>
        <w:tab/>
      </w:r>
      <w:r>
        <w:rPr>
          <w:sz w:val="28"/>
          <w:szCs w:val="28"/>
        </w:rPr>
        <w:fldChar w:fldCharType="begin"/>
      </w:r>
      <w:r>
        <w:rPr>
          <w:sz w:val="28"/>
          <w:szCs w:val="28"/>
        </w:rPr>
        <w:instrText xml:space="preserve"> PAGEREF _Toc3519 \h </w:instrText>
      </w:r>
      <w:r>
        <w:rPr>
          <w:sz w:val="28"/>
          <w:szCs w:val="28"/>
        </w:rPr>
        <w:fldChar w:fldCharType="separate"/>
      </w:r>
      <w:r>
        <w:rPr>
          <w:sz w:val="28"/>
          <w:szCs w:val="28"/>
        </w:rPr>
        <w:t>15</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13B9A7A9">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_Toc10353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6.4 洛阳-均川、柳林矿山修复工程</w:t>
      </w:r>
      <w:r>
        <w:rPr>
          <w:sz w:val="28"/>
          <w:szCs w:val="28"/>
        </w:rPr>
        <w:tab/>
      </w:r>
      <w:r>
        <w:rPr>
          <w:sz w:val="28"/>
          <w:szCs w:val="28"/>
        </w:rPr>
        <w:fldChar w:fldCharType="begin"/>
      </w:r>
      <w:r>
        <w:rPr>
          <w:sz w:val="28"/>
          <w:szCs w:val="28"/>
        </w:rPr>
        <w:instrText xml:space="preserve"> PAGEREF _Toc10353 \h </w:instrText>
      </w:r>
      <w:r>
        <w:rPr>
          <w:sz w:val="28"/>
          <w:szCs w:val="28"/>
        </w:rPr>
        <w:fldChar w:fldCharType="separate"/>
      </w:r>
      <w:r>
        <w:rPr>
          <w:sz w:val="28"/>
          <w:szCs w:val="28"/>
        </w:rPr>
        <w:t>16</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53468F68">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_Toc2604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6.5 广水矿山修复工程</w:t>
      </w:r>
      <w:r>
        <w:rPr>
          <w:sz w:val="28"/>
          <w:szCs w:val="28"/>
        </w:rPr>
        <w:tab/>
      </w:r>
      <w:r>
        <w:rPr>
          <w:sz w:val="28"/>
          <w:szCs w:val="28"/>
        </w:rPr>
        <w:fldChar w:fldCharType="begin"/>
      </w:r>
      <w:r>
        <w:rPr>
          <w:sz w:val="28"/>
          <w:szCs w:val="28"/>
        </w:rPr>
        <w:instrText xml:space="preserve"> PAGEREF _Toc2604 \h </w:instrText>
      </w:r>
      <w:r>
        <w:rPr>
          <w:sz w:val="28"/>
          <w:szCs w:val="28"/>
        </w:rPr>
        <w:fldChar w:fldCharType="separate"/>
      </w:r>
      <w:r>
        <w:rPr>
          <w:sz w:val="28"/>
          <w:szCs w:val="28"/>
        </w:rPr>
        <w:t>17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4B03A36A">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_Toc21426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第七章 特色生态廊道建设</w:t>
      </w:r>
      <w:r>
        <w:rPr>
          <w:sz w:val="28"/>
          <w:szCs w:val="28"/>
        </w:rPr>
        <w:tab/>
      </w:r>
      <w:r>
        <w:rPr>
          <w:sz w:val="28"/>
          <w:szCs w:val="28"/>
        </w:rPr>
        <w:fldChar w:fldCharType="begin"/>
      </w:r>
      <w:r>
        <w:rPr>
          <w:sz w:val="28"/>
          <w:szCs w:val="28"/>
        </w:rPr>
        <w:instrText xml:space="preserve"> PAGEREF _Toc21426 \h </w:instrText>
      </w:r>
      <w:r>
        <w:rPr>
          <w:sz w:val="28"/>
          <w:szCs w:val="28"/>
        </w:rPr>
        <w:fldChar w:fldCharType="separate"/>
      </w:r>
      <w:r>
        <w:rPr>
          <w:sz w:val="28"/>
          <w:szCs w:val="28"/>
        </w:rPr>
        <w:t>17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0A8FA1C6">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_Toc24173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7.1 重要生态斑块生态网络建设</w:t>
      </w:r>
      <w:r>
        <w:rPr>
          <w:sz w:val="28"/>
          <w:szCs w:val="28"/>
        </w:rPr>
        <w:tab/>
      </w:r>
      <w:r>
        <w:rPr>
          <w:sz w:val="28"/>
          <w:szCs w:val="28"/>
        </w:rPr>
        <w:fldChar w:fldCharType="begin"/>
      </w:r>
      <w:r>
        <w:rPr>
          <w:sz w:val="28"/>
          <w:szCs w:val="28"/>
        </w:rPr>
        <w:instrText xml:space="preserve"> PAGEREF _Toc24173 \h </w:instrText>
      </w:r>
      <w:r>
        <w:rPr>
          <w:sz w:val="28"/>
          <w:szCs w:val="28"/>
        </w:rPr>
        <w:fldChar w:fldCharType="separate"/>
      </w:r>
      <w:r>
        <w:rPr>
          <w:sz w:val="28"/>
          <w:szCs w:val="28"/>
        </w:rPr>
        <w:t>18</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652E7701">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_Toc11779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7.2 加强骨干廊道与曾随文化走廊建设</w:t>
      </w:r>
      <w:r>
        <w:rPr>
          <w:sz w:val="28"/>
          <w:szCs w:val="28"/>
        </w:rPr>
        <w:tab/>
      </w:r>
      <w:r>
        <w:rPr>
          <w:sz w:val="28"/>
          <w:szCs w:val="28"/>
        </w:rPr>
        <w:fldChar w:fldCharType="begin"/>
      </w:r>
      <w:r>
        <w:rPr>
          <w:sz w:val="28"/>
          <w:szCs w:val="28"/>
        </w:rPr>
        <w:instrText xml:space="preserve"> PAGEREF _Toc11779 \h </w:instrText>
      </w:r>
      <w:r>
        <w:rPr>
          <w:sz w:val="28"/>
          <w:szCs w:val="28"/>
        </w:rPr>
        <w:fldChar w:fldCharType="separate"/>
      </w:r>
      <w:r>
        <w:rPr>
          <w:sz w:val="28"/>
          <w:szCs w:val="28"/>
        </w:rPr>
        <w:t>19</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213A28D1">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_Toc16092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7.3 主要水库生态廊道建设</w:t>
      </w:r>
      <w:r>
        <w:rPr>
          <w:sz w:val="28"/>
          <w:szCs w:val="28"/>
        </w:rPr>
        <w:tab/>
      </w:r>
      <w:r>
        <w:rPr>
          <w:sz w:val="28"/>
          <w:szCs w:val="28"/>
        </w:rPr>
        <w:fldChar w:fldCharType="begin"/>
      </w:r>
      <w:r>
        <w:rPr>
          <w:sz w:val="28"/>
          <w:szCs w:val="28"/>
        </w:rPr>
        <w:instrText xml:space="preserve"> PAGEREF _Toc16092 \h </w:instrText>
      </w:r>
      <w:r>
        <w:rPr>
          <w:sz w:val="28"/>
          <w:szCs w:val="28"/>
        </w:rPr>
        <w:fldChar w:fldCharType="separate"/>
      </w:r>
      <w:r>
        <w:rPr>
          <w:sz w:val="28"/>
          <w:szCs w:val="28"/>
        </w:rPr>
        <w:t>23</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6C84B627">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_Toc24753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第八章 主要任务与重点区域</w:t>
      </w:r>
      <w:r>
        <w:rPr>
          <w:sz w:val="28"/>
          <w:szCs w:val="28"/>
        </w:rPr>
        <w:tab/>
      </w:r>
      <w:r>
        <w:rPr>
          <w:sz w:val="28"/>
          <w:szCs w:val="28"/>
        </w:rPr>
        <w:fldChar w:fldCharType="begin"/>
      </w:r>
      <w:r>
        <w:rPr>
          <w:sz w:val="28"/>
          <w:szCs w:val="28"/>
        </w:rPr>
        <w:instrText xml:space="preserve"> PAGEREF _Toc24753 \h </w:instrText>
      </w:r>
      <w:r>
        <w:rPr>
          <w:sz w:val="28"/>
          <w:szCs w:val="28"/>
        </w:rPr>
        <w:fldChar w:fldCharType="separate"/>
      </w:r>
      <w:r>
        <w:rPr>
          <w:sz w:val="28"/>
          <w:szCs w:val="28"/>
        </w:rPr>
        <w:t>24</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3C8172F9">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_Toc17540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8.1 主要任务</w:t>
      </w:r>
      <w:r>
        <w:rPr>
          <w:sz w:val="28"/>
          <w:szCs w:val="28"/>
        </w:rPr>
        <w:tab/>
      </w:r>
      <w:r>
        <w:rPr>
          <w:sz w:val="28"/>
          <w:szCs w:val="28"/>
        </w:rPr>
        <w:fldChar w:fldCharType="begin"/>
      </w:r>
      <w:r>
        <w:rPr>
          <w:sz w:val="28"/>
          <w:szCs w:val="28"/>
        </w:rPr>
        <w:instrText xml:space="preserve"> PAGEREF _Toc17540 \h </w:instrText>
      </w:r>
      <w:r>
        <w:rPr>
          <w:sz w:val="28"/>
          <w:szCs w:val="28"/>
        </w:rPr>
        <w:fldChar w:fldCharType="separate"/>
      </w:r>
      <w:r>
        <w:rPr>
          <w:sz w:val="28"/>
          <w:szCs w:val="28"/>
        </w:rPr>
        <w:t>24</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0BA1E091">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_Toc10689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8.2 重点区域</w:t>
      </w:r>
      <w:r>
        <w:rPr>
          <w:sz w:val="28"/>
          <w:szCs w:val="28"/>
        </w:rPr>
        <w:tab/>
      </w:r>
      <w:r>
        <w:rPr>
          <w:sz w:val="28"/>
          <w:szCs w:val="28"/>
        </w:rPr>
        <w:fldChar w:fldCharType="begin"/>
      </w:r>
      <w:r>
        <w:rPr>
          <w:sz w:val="28"/>
          <w:szCs w:val="28"/>
        </w:rPr>
        <w:instrText xml:space="preserve"> PAGEREF _Toc10689 \h </w:instrText>
      </w:r>
      <w:r>
        <w:rPr>
          <w:sz w:val="28"/>
          <w:szCs w:val="28"/>
        </w:rPr>
        <w:fldChar w:fldCharType="separate"/>
      </w:r>
      <w:r>
        <w:rPr>
          <w:sz w:val="28"/>
          <w:szCs w:val="28"/>
        </w:rPr>
        <w:t>34</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6570542B">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_Toc16857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第九章 重点工程</w:t>
      </w:r>
      <w:r>
        <w:rPr>
          <w:sz w:val="28"/>
          <w:szCs w:val="28"/>
        </w:rPr>
        <w:tab/>
      </w:r>
      <w:r>
        <w:rPr>
          <w:sz w:val="28"/>
          <w:szCs w:val="28"/>
        </w:rPr>
        <w:fldChar w:fldCharType="begin"/>
      </w:r>
      <w:r>
        <w:rPr>
          <w:sz w:val="28"/>
          <w:szCs w:val="28"/>
        </w:rPr>
        <w:instrText xml:space="preserve"> PAGEREF _Toc16857 \h </w:instrText>
      </w:r>
      <w:r>
        <w:rPr>
          <w:sz w:val="28"/>
          <w:szCs w:val="28"/>
        </w:rPr>
        <w:fldChar w:fldCharType="separate"/>
      </w:r>
      <w:r>
        <w:rPr>
          <w:sz w:val="28"/>
          <w:szCs w:val="28"/>
        </w:rPr>
        <w:t>37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67FD1924">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_Toc29782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9.</w:t>
      </w:r>
      <w:r>
        <w:rPr>
          <w:rFonts w:ascii="仿宋_GB2312" w:hAnsi="仿宋_GB2312" w:eastAsia="仿宋_GB2312" w:cs="仿宋_GB2312"/>
          <w:bCs/>
          <w:sz w:val="28"/>
          <w:szCs w:val="28"/>
        </w:rPr>
        <w:t>1</w:t>
      </w:r>
      <w:r>
        <w:rPr>
          <w:rFonts w:hint="eastAsia" w:ascii="仿宋_GB2312" w:hAnsi="仿宋_GB2312" w:eastAsia="仿宋_GB2312" w:cs="仿宋_GB2312"/>
          <w:bCs/>
          <w:sz w:val="28"/>
          <w:szCs w:val="28"/>
        </w:rPr>
        <w:t xml:space="preserve"> 桐柏山-大别山水土保持和生物多样性保护修复区重点工程</w:t>
      </w:r>
      <w:r>
        <w:rPr>
          <w:sz w:val="28"/>
          <w:szCs w:val="28"/>
        </w:rPr>
        <w:tab/>
      </w:r>
      <w:r>
        <w:rPr>
          <w:sz w:val="28"/>
          <w:szCs w:val="28"/>
        </w:rPr>
        <w:fldChar w:fldCharType="begin"/>
      </w:r>
      <w:r>
        <w:rPr>
          <w:sz w:val="28"/>
          <w:szCs w:val="28"/>
        </w:rPr>
        <w:instrText xml:space="preserve"> PAGEREF _Toc29782 \h </w:instrText>
      </w:r>
      <w:r>
        <w:rPr>
          <w:sz w:val="28"/>
          <w:szCs w:val="28"/>
        </w:rPr>
        <w:fldChar w:fldCharType="separate"/>
      </w:r>
      <w:r>
        <w:rPr>
          <w:sz w:val="28"/>
          <w:szCs w:val="28"/>
        </w:rPr>
        <w:t>37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7E6C009C">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_Toc13826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9.</w:t>
      </w:r>
      <w:r>
        <w:rPr>
          <w:rFonts w:ascii="仿宋_GB2312" w:hAnsi="仿宋_GB2312" w:eastAsia="仿宋_GB2312" w:cs="仿宋_GB2312"/>
          <w:bCs/>
          <w:sz w:val="28"/>
          <w:szCs w:val="28"/>
        </w:rPr>
        <w:t>2</w:t>
      </w:r>
      <w:r>
        <w:rPr>
          <w:rFonts w:hint="eastAsia" w:ascii="仿宋_GB2312" w:hAnsi="仿宋_GB2312" w:eastAsia="仿宋_GB2312" w:cs="仿宋_GB2312"/>
          <w:bCs/>
          <w:sz w:val="28"/>
          <w:szCs w:val="28"/>
        </w:rPr>
        <w:t xml:space="preserve"> 随东北淮河区水土保持和湿地保护修复区重点工程</w:t>
      </w:r>
      <w:r>
        <w:rPr>
          <w:sz w:val="28"/>
          <w:szCs w:val="28"/>
        </w:rPr>
        <w:tab/>
      </w:r>
      <w:r>
        <w:rPr>
          <w:sz w:val="28"/>
          <w:szCs w:val="28"/>
        </w:rPr>
        <w:fldChar w:fldCharType="begin"/>
      </w:r>
      <w:r>
        <w:rPr>
          <w:sz w:val="28"/>
          <w:szCs w:val="28"/>
        </w:rPr>
        <w:instrText xml:space="preserve"> PAGEREF _Toc13826 \h </w:instrText>
      </w:r>
      <w:r>
        <w:rPr>
          <w:sz w:val="28"/>
          <w:szCs w:val="28"/>
        </w:rPr>
        <w:fldChar w:fldCharType="separate"/>
      </w:r>
      <w:r>
        <w:rPr>
          <w:sz w:val="28"/>
          <w:szCs w:val="28"/>
        </w:rPr>
        <w:t>43</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435AD9F9">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_Toc18751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9.</w:t>
      </w:r>
      <w:r>
        <w:rPr>
          <w:rFonts w:ascii="仿宋_GB2312" w:hAnsi="仿宋_GB2312" w:eastAsia="仿宋_GB2312" w:cs="仿宋_GB2312"/>
          <w:bCs/>
          <w:sz w:val="28"/>
          <w:szCs w:val="28"/>
        </w:rPr>
        <w:t>3</w:t>
      </w:r>
      <w:r>
        <w:rPr>
          <w:rFonts w:hint="eastAsia" w:ascii="仿宋_GB2312" w:hAnsi="仿宋_GB2312" w:eastAsia="仿宋_GB2312" w:cs="仿宋_GB2312"/>
          <w:bCs/>
          <w:sz w:val="28"/>
          <w:szCs w:val="28"/>
        </w:rPr>
        <w:t xml:space="preserve"> 府河-大洪山水土保持和生物多样性保护修复区重点工程</w:t>
      </w:r>
      <w:r>
        <w:rPr>
          <w:sz w:val="28"/>
          <w:szCs w:val="28"/>
        </w:rPr>
        <w:tab/>
      </w:r>
      <w:r>
        <w:rPr>
          <w:sz w:val="28"/>
          <w:szCs w:val="28"/>
        </w:rPr>
        <w:fldChar w:fldCharType="begin"/>
      </w:r>
      <w:r>
        <w:rPr>
          <w:sz w:val="28"/>
          <w:szCs w:val="28"/>
        </w:rPr>
        <w:instrText xml:space="preserve"> PAGEREF _Toc18751 \h </w:instrText>
      </w:r>
      <w:r>
        <w:rPr>
          <w:sz w:val="28"/>
          <w:szCs w:val="28"/>
        </w:rPr>
        <w:fldChar w:fldCharType="separate"/>
      </w:r>
      <w:r>
        <w:rPr>
          <w:sz w:val="28"/>
          <w:szCs w:val="28"/>
        </w:rPr>
        <w:t>44</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6DAE0C11">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_Toc7094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9.</w:t>
      </w:r>
      <w:r>
        <w:rPr>
          <w:rFonts w:ascii="仿宋_GB2312" w:hAnsi="仿宋_GB2312" w:eastAsia="仿宋_GB2312" w:cs="仿宋_GB2312"/>
          <w:bCs/>
          <w:sz w:val="28"/>
          <w:szCs w:val="28"/>
        </w:rPr>
        <w:t>4</w:t>
      </w:r>
      <w:r>
        <w:rPr>
          <w:rFonts w:hint="eastAsia" w:ascii="仿宋_GB2312" w:hAnsi="仿宋_GB2312" w:eastAsia="仿宋_GB2312" w:cs="仿宋_GB2312"/>
          <w:bCs/>
          <w:sz w:val="28"/>
          <w:szCs w:val="28"/>
        </w:rPr>
        <w:t xml:space="preserve"> 徐家河水库农林提升与水生态修复区重点工程</w:t>
      </w:r>
      <w:r>
        <w:rPr>
          <w:sz w:val="28"/>
          <w:szCs w:val="28"/>
        </w:rPr>
        <w:tab/>
      </w:r>
      <w:r>
        <w:rPr>
          <w:sz w:val="28"/>
          <w:szCs w:val="28"/>
        </w:rPr>
        <w:fldChar w:fldCharType="begin"/>
      </w:r>
      <w:r>
        <w:rPr>
          <w:sz w:val="28"/>
          <w:szCs w:val="28"/>
        </w:rPr>
        <w:instrText xml:space="preserve"> PAGEREF _Toc7094 \h </w:instrText>
      </w:r>
      <w:r>
        <w:rPr>
          <w:sz w:val="28"/>
          <w:szCs w:val="28"/>
        </w:rPr>
        <w:fldChar w:fldCharType="separate"/>
      </w:r>
      <w:r>
        <w:rPr>
          <w:sz w:val="28"/>
          <w:szCs w:val="28"/>
        </w:rPr>
        <w:t>50</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7228B1DE">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_Toc246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9.</w:t>
      </w:r>
      <w:r>
        <w:rPr>
          <w:rFonts w:ascii="仿宋_GB2312" w:hAnsi="仿宋_GB2312" w:eastAsia="仿宋_GB2312" w:cs="仿宋_GB2312"/>
          <w:bCs/>
          <w:sz w:val="28"/>
          <w:szCs w:val="28"/>
        </w:rPr>
        <w:t>5</w:t>
      </w:r>
      <w:r>
        <w:rPr>
          <w:rFonts w:hint="eastAsia" w:ascii="仿宋_GB2312" w:hAnsi="仿宋_GB2312" w:eastAsia="仿宋_GB2312" w:cs="仿宋_GB2312"/>
          <w:bCs/>
          <w:sz w:val="28"/>
          <w:szCs w:val="28"/>
        </w:rPr>
        <w:t xml:space="preserve"> 农村人居环境提升和农业生态保护修复区重点工程</w:t>
      </w:r>
      <w:r>
        <w:rPr>
          <w:sz w:val="28"/>
          <w:szCs w:val="28"/>
        </w:rPr>
        <w:tab/>
      </w:r>
      <w:r>
        <w:rPr>
          <w:sz w:val="28"/>
          <w:szCs w:val="28"/>
        </w:rPr>
        <w:fldChar w:fldCharType="begin"/>
      </w:r>
      <w:r>
        <w:rPr>
          <w:sz w:val="28"/>
          <w:szCs w:val="28"/>
        </w:rPr>
        <w:instrText xml:space="preserve"> PAGEREF _Toc246 \h </w:instrText>
      </w:r>
      <w:r>
        <w:rPr>
          <w:sz w:val="28"/>
          <w:szCs w:val="28"/>
        </w:rPr>
        <w:fldChar w:fldCharType="separate"/>
      </w:r>
      <w:r>
        <w:rPr>
          <w:sz w:val="28"/>
          <w:szCs w:val="28"/>
        </w:rPr>
        <w:t>53</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7AF17EA7">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_Toc30649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9.</w:t>
      </w:r>
      <w:r>
        <w:rPr>
          <w:rFonts w:ascii="仿宋_GB2312" w:hAnsi="仿宋_GB2312" w:eastAsia="仿宋_GB2312" w:cs="仿宋_GB2312"/>
          <w:bCs/>
          <w:sz w:val="28"/>
          <w:szCs w:val="28"/>
        </w:rPr>
        <w:t xml:space="preserve">6 </w:t>
      </w:r>
      <w:r>
        <w:rPr>
          <w:rFonts w:hint="eastAsia" w:ascii="仿宋_GB2312" w:hAnsi="仿宋_GB2312" w:eastAsia="仿宋_GB2312" w:cs="仿宋_GB2312"/>
          <w:bCs/>
          <w:sz w:val="28"/>
          <w:szCs w:val="28"/>
        </w:rPr>
        <w:t>城镇生态修复区重点工程</w:t>
      </w:r>
      <w:r>
        <w:rPr>
          <w:sz w:val="28"/>
          <w:szCs w:val="28"/>
        </w:rPr>
        <w:tab/>
      </w:r>
      <w:r>
        <w:rPr>
          <w:sz w:val="28"/>
          <w:szCs w:val="28"/>
        </w:rPr>
        <w:fldChar w:fldCharType="begin"/>
      </w:r>
      <w:r>
        <w:rPr>
          <w:sz w:val="28"/>
          <w:szCs w:val="28"/>
        </w:rPr>
        <w:instrText xml:space="preserve"> PAGEREF _Toc30649 \h </w:instrText>
      </w:r>
      <w:r>
        <w:rPr>
          <w:sz w:val="28"/>
          <w:szCs w:val="28"/>
        </w:rPr>
        <w:fldChar w:fldCharType="separate"/>
      </w:r>
      <w:r>
        <w:rPr>
          <w:sz w:val="28"/>
          <w:szCs w:val="28"/>
        </w:rPr>
        <w:t>61</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5D6CC7A3">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_Toc10904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9</w:t>
      </w:r>
      <w:r>
        <w:rPr>
          <w:rFonts w:ascii="仿宋_GB2312" w:hAnsi="仿宋_GB2312" w:eastAsia="仿宋_GB2312" w:cs="仿宋_GB2312"/>
          <w:bCs/>
          <w:sz w:val="28"/>
          <w:szCs w:val="28"/>
        </w:rPr>
        <w:t xml:space="preserve">.7 </w:t>
      </w:r>
      <w:r>
        <w:rPr>
          <w:rFonts w:hint="eastAsia" w:ascii="仿宋_GB2312" w:hAnsi="仿宋_GB2312" w:eastAsia="仿宋_GB2312" w:cs="仿宋_GB2312"/>
          <w:bCs/>
          <w:sz w:val="28"/>
          <w:szCs w:val="28"/>
        </w:rPr>
        <w:t>生态保护和修复支撑重点工程</w:t>
      </w:r>
      <w:r>
        <w:rPr>
          <w:sz w:val="28"/>
          <w:szCs w:val="28"/>
        </w:rPr>
        <w:tab/>
      </w:r>
      <w:r>
        <w:rPr>
          <w:sz w:val="28"/>
          <w:szCs w:val="28"/>
        </w:rPr>
        <w:fldChar w:fldCharType="begin"/>
      </w:r>
      <w:r>
        <w:rPr>
          <w:sz w:val="28"/>
          <w:szCs w:val="28"/>
        </w:rPr>
        <w:instrText xml:space="preserve"> PAGEREF _Toc10904 \h </w:instrText>
      </w:r>
      <w:r>
        <w:rPr>
          <w:sz w:val="28"/>
          <w:szCs w:val="28"/>
        </w:rPr>
        <w:fldChar w:fldCharType="separate"/>
      </w:r>
      <w:r>
        <w:rPr>
          <w:sz w:val="28"/>
          <w:szCs w:val="28"/>
        </w:rPr>
        <w:t>68</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1BE35152">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_Toc27766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bCs/>
          <w:sz w:val="28"/>
          <w:szCs w:val="28"/>
        </w:rPr>
        <w:t>9</w:t>
      </w:r>
      <w:r>
        <w:rPr>
          <w:rFonts w:ascii="仿宋_GB2312" w:hAnsi="仿宋_GB2312" w:eastAsia="仿宋_GB2312" w:cs="仿宋_GB2312"/>
          <w:bCs/>
          <w:sz w:val="28"/>
          <w:szCs w:val="28"/>
        </w:rPr>
        <w:t xml:space="preserve">.8 </w:t>
      </w:r>
      <w:r>
        <w:rPr>
          <w:rFonts w:hint="eastAsia" w:ascii="仿宋_GB2312" w:hAnsi="仿宋_GB2312" w:eastAsia="仿宋_GB2312" w:cs="仿宋_GB2312"/>
          <w:bCs/>
          <w:sz w:val="28"/>
          <w:szCs w:val="28"/>
        </w:rPr>
        <w:t>投资估算与实施安排</w:t>
      </w:r>
      <w:r>
        <w:rPr>
          <w:sz w:val="28"/>
          <w:szCs w:val="28"/>
        </w:rPr>
        <w:tab/>
      </w:r>
      <w:r>
        <w:rPr>
          <w:sz w:val="28"/>
          <w:szCs w:val="28"/>
        </w:rPr>
        <w:fldChar w:fldCharType="begin"/>
      </w:r>
      <w:r>
        <w:rPr>
          <w:sz w:val="28"/>
          <w:szCs w:val="28"/>
        </w:rPr>
        <w:instrText xml:space="preserve"> PAGEREF _Toc27766 \h </w:instrText>
      </w:r>
      <w:r>
        <w:rPr>
          <w:sz w:val="28"/>
          <w:szCs w:val="28"/>
        </w:rPr>
        <w:fldChar w:fldCharType="separate"/>
      </w:r>
      <w:r>
        <w:rPr>
          <w:sz w:val="28"/>
          <w:szCs w:val="28"/>
        </w:rPr>
        <w:t>69</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285ECA6D">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_Toc30622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第十章 规划实施效益</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69</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08B3EB04">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_Toc850 </w:instrText>
      </w:r>
      <w:r>
        <w:rPr>
          <w:rFonts w:hint="eastAsia" w:ascii="仿宋_GB2312" w:hAnsi="仿宋_GB2312" w:eastAsia="仿宋_GB2312" w:cs="仿宋_GB2312"/>
          <w:sz w:val="28"/>
          <w:szCs w:val="28"/>
          <w:lang w:bidi="ar"/>
        </w:rPr>
        <w:fldChar w:fldCharType="separate"/>
      </w:r>
      <w:r>
        <w:rPr>
          <w:rFonts w:ascii="仿宋_GB2312" w:hAnsi="仿宋_GB2312" w:eastAsia="仿宋_GB2312" w:cs="仿宋_GB2312"/>
          <w:sz w:val="28"/>
          <w:szCs w:val="28"/>
        </w:rPr>
        <w:t>10</w:t>
      </w:r>
      <w:r>
        <w:rPr>
          <w:rFonts w:hint="eastAsia" w:ascii="仿宋_GB2312" w:hAnsi="仿宋_GB2312" w:eastAsia="仿宋_GB2312" w:cs="仿宋_GB2312"/>
          <w:sz w:val="28"/>
          <w:szCs w:val="28"/>
        </w:rPr>
        <w:t>.1 生态效益</w:t>
      </w:r>
      <w:r>
        <w:rPr>
          <w:sz w:val="28"/>
          <w:szCs w:val="28"/>
        </w:rPr>
        <w:tab/>
      </w:r>
      <w:r>
        <w:rPr>
          <w:sz w:val="28"/>
          <w:szCs w:val="28"/>
        </w:rPr>
        <w:fldChar w:fldCharType="begin"/>
      </w:r>
      <w:r>
        <w:rPr>
          <w:sz w:val="28"/>
          <w:szCs w:val="28"/>
        </w:rPr>
        <w:instrText xml:space="preserve"> PAGEREF _Toc850 \h </w:instrText>
      </w:r>
      <w:r>
        <w:rPr>
          <w:sz w:val="28"/>
          <w:szCs w:val="28"/>
        </w:rPr>
        <w:fldChar w:fldCharType="separate"/>
      </w:r>
      <w:r>
        <w:rPr>
          <w:sz w:val="28"/>
          <w:szCs w:val="28"/>
        </w:rPr>
        <w:t>69</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0A293EF1">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_Toc14943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w:t>
      </w:r>
      <w:r>
        <w:rPr>
          <w:rFonts w:ascii="仿宋_GB2312" w:hAnsi="仿宋_GB2312" w:eastAsia="仿宋_GB2312" w:cs="仿宋_GB2312"/>
          <w:sz w:val="28"/>
          <w:szCs w:val="28"/>
        </w:rPr>
        <w:t>0</w:t>
      </w:r>
      <w:r>
        <w:rPr>
          <w:rFonts w:hint="eastAsia" w:ascii="仿宋_GB2312" w:hAnsi="仿宋_GB2312" w:eastAsia="仿宋_GB2312" w:cs="仿宋_GB2312"/>
          <w:sz w:val="28"/>
          <w:szCs w:val="28"/>
        </w:rPr>
        <w:t>.2 经济效益</w:t>
      </w:r>
      <w:r>
        <w:rPr>
          <w:sz w:val="28"/>
          <w:szCs w:val="28"/>
        </w:rPr>
        <w:tab/>
      </w:r>
      <w:r>
        <w:rPr>
          <w:sz w:val="28"/>
          <w:szCs w:val="28"/>
        </w:rPr>
        <w:fldChar w:fldCharType="begin"/>
      </w:r>
      <w:r>
        <w:rPr>
          <w:sz w:val="28"/>
          <w:szCs w:val="28"/>
        </w:rPr>
        <w:instrText xml:space="preserve"> PAGEREF _Toc14943 \h </w:instrText>
      </w:r>
      <w:r>
        <w:rPr>
          <w:sz w:val="28"/>
          <w:szCs w:val="28"/>
        </w:rPr>
        <w:fldChar w:fldCharType="separate"/>
      </w:r>
      <w:r>
        <w:rPr>
          <w:sz w:val="28"/>
          <w:szCs w:val="28"/>
        </w:rPr>
        <w:t>70</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40CB5054">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_Toc8617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w:t>
      </w:r>
      <w:r>
        <w:rPr>
          <w:rFonts w:ascii="仿宋_GB2312" w:hAnsi="仿宋_GB2312" w:eastAsia="仿宋_GB2312" w:cs="仿宋_GB2312"/>
          <w:sz w:val="28"/>
          <w:szCs w:val="28"/>
        </w:rPr>
        <w:t>0</w:t>
      </w:r>
      <w:r>
        <w:rPr>
          <w:rFonts w:hint="eastAsia" w:ascii="仿宋_GB2312" w:hAnsi="仿宋_GB2312" w:eastAsia="仿宋_GB2312" w:cs="仿宋_GB2312"/>
          <w:sz w:val="28"/>
          <w:szCs w:val="28"/>
        </w:rPr>
        <w:t>.3 社会效益</w:t>
      </w:r>
      <w:r>
        <w:rPr>
          <w:sz w:val="28"/>
          <w:szCs w:val="28"/>
        </w:rPr>
        <w:tab/>
      </w:r>
      <w:r>
        <w:rPr>
          <w:sz w:val="28"/>
          <w:szCs w:val="28"/>
        </w:rPr>
        <w:fldChar w:fldCharType="begin"/>
      </w:r>
      <w:r>
        <w:rPr>
          <w:sz w:val="28"/>
          <w:szCs w:val="28"/>
        </w:rPr>
        <w:instrText xml:space="preserve"> PAGEREF _Toc8617 \h </w:instrText>
      </w:r>
      <w:r>
        <w:rPr>
          <w:sz w:val="28"/>
          <w:szCs w:val="28"/>
        </w:rPr>
        <w:fldChar w:fldCharType="separate"/>
      </w:r>
      <w:r>
        <w:rPr>
          <w:sz w:val="28"/>
          <w:szCs w:val="28"/>
        </w:rPr>
        <w:t>71</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3ED2CC40">
      <w:pPr>
        <w:pStyle w:val="213"/>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_Toc13734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第十一章 保障机制</w:t>
      </w:r>
      <w:r>
        <w:rPr>
          <w:sz w:val="28"/>
          <w:szCs w:val="28"/>
        </w:rPr>
        <w:tab/>
      </w:r>
      <w:r>
        <w:rPr>
          <w:sz w:val="28"/>
          <w:szCs w:val="28"/>
        </w:rPr>
        <w:fldChar w:fldCharType="begin"/>
      </w:r>
      <w:r>
        <w:rPr>
          <w:sz w:val="28"/>
          <w:szCs w:val="28"/>
        </w:rPr>
        <w:instrText xml:space="preserve"> PAGEREF _Toc13734 \h </w:instrText>
      </w:r>
      <w:r>
        <w:rPr>
          <w:sz w:val="28"/>
          <w:szCs w:val="28"/>
        </w:rPr>
        <w:fldChar w:fldCharType="separate"/>
      </w:r>
      <w:r>
        <w:rPr>
          <w:sz w:val="28"/>
          <w:szCs w:val="28"/>
        </w:rPr>
        <w:t>72</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7478EAC4">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_Toc3729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.1 加强组织领导</w:t>
      </w:r>
      <w:r>
        <w:rPr>
          <w:sz w:val="28"/>
          <w:szCs w:val="28"/>
        </w:rPr>
        <w:tab/>
      </w:r>
      <w:r>
        <w:rPr>
          <w:sz w:val="28"/>
          <w:szCs w:val="28"/>
        </w:rPr>
        <w:fldChar w:fldCharType="begin"/>
      </w:r>
      <w:r>
        <w:rPr>
          <w:sz w:val="28"/>
          <w:szCs w:val="28"/>
        </w:rPr>
        <w:instrText xml:space="preserve"> PAGEREF _Toc3729 \h </w:instrText>
      </w:r>
      <w:r>
        <w:rPr>
          <w:sz w:val="28"/>
          <w:szCs w:val="28"/>
        </w:rPr>
        <w:fldChar w:fldCharType="separate"/>
      </w:r>
      <w:r>
        <w:rPr>
          <w:sz w:val="28"/>
          <w:szCs w:val="28"/>
        </w:rPr>
        <w:t>72</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19C00C0E">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_Toc11737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.2 创新政策体系</w:t>
      </w:r>
      <w:r>
        <w:rPr>
          <w:sz w:val="28"/>
          <w:szCs w:val="28"/>
        </w:rPr>
        <w:tab/>
      </w:r>
      <w:r>
        <w:rPr>
          <w:sz w:val="28"/>
          <w:szCs w:val="28"/>
        </w:rPr>
        <w:fldChar w:fldCharType="begin"/>
      </w:r>
      <w:r>
        <w:rPr>
          <w:sz w:val="28"/>
          <w:szCs w:val="28"/>
        </w:rPr>
        <w:instrText xml:space="preserve"> PAGEREF _Toc11737 \h </w:instrText>
      </w:r>
      <w:r>
        <w:rPr>
          <w:sz w:val="28"/>
          <w:szCs w:val="28"/>
        </w:rPr>
        <w:fldChar w:fldCharType="separate"/>
      </w:r>
      <w:r>
        <w:rPr>
          <w:sz w:val="28"/>
          <w:szCs w:val="28"/>
        </w:rPr>
        <w:t>73</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5E7F0184">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_Toc22488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.3 加强科技支撑</w:t>
      </w:r>
      <w:r>
        <w:rPr>
          <w:sz w:val="28"/>
          <w:szCs w:val="28"/>
        </w:rPr>
        <w:tab/>
      </w:r>
      <w:r>
        <w:rPr>
          <w:sz w:val="28"/>
          <w:szCs w:val="28"/>
        </w:rPr>
        <w:fldChar w:fldCharType="begin"/>
      </w:r>
      <w:r>
        <w:rPr>
          <w:sz w:val="28"/>
          <w:szCs w:val="28"/>
        </w:rPr>
        <w:instrText xml:space="preserve"> PAGEREF _Toc22488 \h </w:instrText>
      </w:r>
      <w:r>
        <w:rPr>
          <w:sz w:val="28"/>
          <w:szCs w:val="28"/>
        </w:rPr>
        <w:fldChar w:fldCharType="separate"/>
      </w:r>
      <w:r>
        <w:rPr>
          <w:sz w:val="28"/>
          <w:szCs w:val="28"/>
        </w:rPr>
        <w:t>74</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3CE6A1CB">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_Toc28809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.4 强化监督评估</w:t>
      </w:r>
      <w:r>
        <w:rPr>
          <w:sz w:val="28"/>
          <w:szCs w:val="28"/>
        </w:rPr>
        <w:tab/>
      </w:r>
      <w:r>
        <w:rPr>
          <w:sz w:val="28"/>
          <w:szCs w:val="28"/>
        </w:rPr>
        <w:fldChar w:fldCharType="begin"/>
      </w:r>
      <w:r>
        <w:rPr>
          <w:sz w:val="28"/>
          <w:szCs w:val="28"/>
        </w:rPr>
        <w:instrText xml:space="preserve"> PAGEREF _Toc28809 \h </w:instrText>
      </w:r>
      <w:r>
        <w:rPr>
          <w:sz w:val="28"/>
          <w:szCs w:val="28"/>
        </w:rPr>
        <w:fldChar w:fldCharType="separate"/>
      </w:r>
      <w:r>
        <w:rPr>
          <w:sz w:val="28"/>
          <w:szCs w:val="28"/>
        </w:rPr>
        <w:t>75</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443848FA">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_Toc6107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.5 鼓励公众参与</w:t>
      </w:r>
      <w:r>
        <w:rPr>
          <w:sz w:val="28"/>
          <w:szCs w:val="28"/>
        </w:rPr>
        <w:tab/>
      </w:r>
      <w:r>
        <w:rPr>
          <w:sz w:val="28"/>
          <w:szCs w:val="28"/>
        </w:rPr>
        <w:fldChar w:fldCharType="begin"/>
      </w:r>
      <w:r>
        <w:rPr>
          <w:sz w:val="28"/>
          <w:szCs w:val="28"/>
        </w:rPr>
        <w:instrText xml:space="preserve"> PAGEREF _Toc6107 \h </w:instrText>
      </w:r>
      <w:r>
        <w:rPr>
          <w:sz w:val="28"/>
          <w:szCs w:val="28"/>
        </w:rPr>
        <w:fldChar w:fldCharType="separate"/>
      </w:r>
      <w:r>
        <w:rPr>
          <w:sz w:val="28"/>
          <w:szCs w:val="28"/>
        </w:rPr>
        <w:t>76</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699A52E2">
      <w:pPr>
        <w:pStyle w:val="216"/>
        <w:tabs>
          <w:tab w:val="right" w:leader="dot" w:pos="8306"/>
        </w:tabs>
        <w:rPr>
          <w:sz w:val="28"/>
          <w:szCs w:val="28"/>
        </w:rPr>
      </w:pPr>
      <w:r>
        <w:rPr>
          <w:rFonts w:hint="eastAsia" w:ascii="仿宋_GB2312" w:hAnsi="仿宋_GB2312" w:eastAsia="仿宋_GB2312" w:cs="仿宋_GB2312"/>
          <w:color w:val="000000"/>
          <w:sz w:val="28"/>
          <w:szCs w:val="28"/>
          <w:lang w:bidi="ar"/>
        </w:rPr>
        <w:fldChar w:fldCharType="begin"/>
      </w:r>
      <w:r>
        <w:rPr>
          <w:rFonts w:hint="eastAsia" w:ascii="仿宋_GB2312" w:hAnsi="仿宋_GB2312" w:eastAsia="仿宋_GB2312" w:cs="仿宋_GB2312"/>
          <w:sz w:val="28"/>
          <w:szCs w:val="28"/>
          <w:lang w:bidi="ar"/>
        </w:rPr>
        <w:instrText xml:space="preserve"> HYPERLINK \l _Toc28009 </w:instrText>
      </w:r>
      <w:r>
        <w:rPr>
          <w:rFonts w:hint="eastAsia" w:ascii="仿宋_GB2312" w:hAnsi="仿宋_GB2312" w:eastAsia="仿宋_GB2312" w:cs="仿宋_GB2312"/>
          <w:sz w:val="28"/>
          <w:szCs w:val="28"/>
          <w:lang w:bidi="ar"/>
        </w:rPr>
        <w:fldChar w:fldCharType="separate"/>
      </w:r>
      <w:r>
        <w:rPr>
          <w:rFonts w:hint="eastAsia" w:ascii="仿宋_GB2312" w:hAnsi="仿宋_GB2312" w:eastAsia="仿宋_GB2312" w:cs="仿宋_GB2312"/>
          <w:sz w:val="28"/>
          <w:szCs w:val="28"/>
        </w:rPr>
        <w:t>1</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.6 拓宽融资渠道</w:t>
      </w:r>
      <w:r>
        <w:rPr>
          <w:sz w:val="28"/>
          <w:szCs w:val="28"/>
        </w:rPr>
        <w:tab/>
      </w:r>
      <w:r>
        <w:rPr>
          <w:sz w:val="28"/>
          <w:szCs w:val="28"/>
        </w:rPr>
        <w:fldChar w:fldCharType="begin"/>
      </w:r>
      <w:r>
        <w:rPr>
          <w:sz w:val="28"/>
          <w:szCs w:val="28"/>
        </w:rPr>
        <w:instrText xml:space="preserve"> PAGEREF _Toc28009 \h </w:instrText>
      </w:r>
      <w:r>
        <w:rPr>
          <w:sz w:val="28"/>
          <w:szCs w:val="28"/>
        </w:rPr>
        <w:fldChar w:fldCharType="separate"/>
      </w:r>
      <w:r>
        <w:rPr>
          <w:sz w:val="28"/>
          <w:szCs w:val="28"/>
        </w:rPr>
        <w:t>77</w:t>
      </w:r>
      <w:r>
        <w:rPr>
          <w:sz w:val="28"/>
          <w:szCs w:val="28"/>
        </w:rPr>
        <w:fldChar w:fldCharType="end"/>
      </w:r>
      <w:r>
        <w:rPr>
          <w:rFonts w:hint="eastAsia" w:ascii="仿宋_GB2312" w:hAnsi="仿宋_GB2312" w:eastAsia="仿宋_GB2312" w:cs="仿宋_GB2312"/>
          <w:color w:val="000000"/>
          <w:sz w:val="28"/>
          <w:szCs w:val="28"/>
          <w:lang w:bidi="ar"/>
        </w:rPr>
        <w:fldChar w:fldCharType="end"/>
      </w:r>
    </w:p>
    <w:p w14:paraId="10C58650">
      <w:pPr>
        <w:pStyle w:val="213"/>
        <w:tabs>
          <w:tab w:val="right" w:leader="dot" w:pos="8296"/>
        </w:tabs>
        <w:spacing w:line="600" w:lineRule="exact"/>
        <w:jc w:val="center"/>
        <w:rPr>
          <w:rFonts w:hint="eastAsia" w:ascii="仿宋_GB2312" w:hAnsi="仿宋_GB2312" w:eastAsia="仿宋_GB2312" w:cs="仿宋_GB2312"/>
          <w:sz w:val="28"/>
          <w:szCs w:val="28"/>
        </w:rPr>
        <w:sectPr>
          <w:footerReference r:id="rId3" w:type="default"/>
          <w:pgSz w:w="11906" w:h="16838" w:orient="landscape"/>
          <w:pgMar w:top="1440" w:right="1800" w:bottom="1440" w:left="1800" w:header="851" w:footer="992" w:gutter="0"/>
          <w:pgNumType w:start="1"/>
          <w:cols w:space="1701" w:num="1"/>
        </w:sectPr>
      </w:pPr>
      <w:r>
        <w:rPr>
          <w:rFonts w:hint="eastAsia" w:ascii="仿宋_GB2312" w:hAnsi="仿宋_GB2312" w:eastAsia="仿宋_GB2312" w:cs="仿宋_GB2312"/>
          <w:color w:val="000000"/>
          <w:sz w:val="28"/>
          <w:szCs w:val="28"/>
          <w:lang w:bidi="ar"/>
        </w:rPr>
        <w:fldChar w:fldCharType="end"/>
      </w:r>
    </w:p>
    <w:p w14:paraId="074D7C3B">
      <w:pPr>
        <w:pStyle w:val="213"/>
        <w:tabs>
          <w:tab w:val="right" w:leader="dot" w:pos="8296"/>
        </w:tabs>
        <w:spacing w:line="600" w:lineRule="exact"/>
        <w:rPr>
          <w:rFonts w:hint="eastAsia" w:ascii="仿宋_GB2312" w:hAnsi="仿宋_GB2312" w:eastAsia="仿宋_GB2312" w:cs="仿宋_GB2312"/>
          <w:sz w:val="28"/>
          <w:szCs w:val="28"/>
        </w:rPr>
        <w:sectPr>
          <w:footerReference r:id="rId4" w:type="default"/>
          <w:type w:val="continuous"/>
          <w:pgSz w:w="11906" w:h="16838" w:orient="landscape"/>
          <w:pgMar w:top="1814" w:right="1531" w:bottom="1531" w:left="1531" w:header="851" w:footer="992" w:gutter="0"/>
          <w:pgNumType w:start="1"/>
          <w:cols w:space="1701" w:num="1"/>
        </w:sectPr>
      </w:pPr>
    </w:p>
    <w:p w14:paraId="73695049">
      <w:pPr>
        <w:pStyle w:val="184"/>
        <w:spacing w:before="0" w:after="0" w:line="580" w:lineRule="exact"/>
        <w:jc w:val="center"/>
        <w:rPr>
          <w:rFonts w:hint="eastAsia" w:ascii="仿宋_GB2312" w:hAnsi="仿宋_GB2312" w:eastAsia="仿宋_GB2312" w:cs="仿宋_GB2312"/>
          <w:sz w:val="32"/>
          <w:szCs w:val="32"/>
        </w:rPr>
      </w:pPr>
      <w:bookmarkStart w:id="4" w:name="_Toc105076006"/>
      <w:bookmarkStart w:id="5" w:name="_Toc16418"/>
      <w:r>
        <w:rPr>
          <w:rFonts w:hint="eastAsia" w:ascii="仿宋_GB2312" w:hAnsi="仿宋_GB2312" w:eastAsia="仿宋_GB2312" w:cs="仿宋_GB2312"/>
          <w:sz w:val="32"/>
          <w:szCs w:val="32"/>
        </w:rPr>
        <w:t>前 言</w:t>
      </w:r>
      <w:bookmarkEnd w:id="3"/>
      <w:bookmarkEnd w:id="4"/>
    </w:p>
    <w:p w14:paraId="4CF078EA">
      <w:pPr>
        <w:spacing w:line="580" w:lineRule="exact"/>
        <w:ind w:firstLine="420"/>
        <w:jc w:val="center"/>
        <w:rPr>
          <w:rFonts w:hint="eastAsia"/>
        </w:rPr>
      </w:pPr>
    </w:p>
    <w:p w14:paraId="60C9D1DD">
      <w:pPr>
        <w:widowControl/>
        <w:spacing w:line="580" w:lineRule="exact"/>
        <w:ind w:firstLine="640"/>
        <w:jc w:val="left"/>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生态文明建设是千年大计，事关国家安全和民族未来。国土空间生态修复工作是新时期推进生态文明和美丽中国建设的重大举措，是推进国家治理体系和治理能力现代化的重要议题，是满足人民群众对良好生态环境殷切期盼的重要途径，也是落实国土空间规划的重要抓手。</w:t>
      </w:r>
    </w:p>
    <w:p w14:paraId="555286FC">
      <w:pPr>
        <w:widowControl/>
        <w:spacing w:line="580" w:lineRule="exact"/>
        <w:ind w:firstLine="640"/>
        <w:jc w:val="left"/>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为深入贯彻习近平生态文明思想，统筹和科学推进山水林田湖草沙一体化保护修复，进一步落实国家、省生态修复规划安排，协同完善随州市“十四五”规划和国土空间规划体系架构，提升随州市国土空间生态品质，促进人与自然和谐共生，由市自然资源和规划局牵头，委托湖北大学作为技术支撑单位，会同有关部门，组织编制了《随州市国土空间生态修复规划（2021-2035年）》。</w:t>
      </w:r>
    </w:p>
    <w:p w14:paraId="5E82D030">
      <w:pPr>
        <w:widowControl/>
        <w:spacing w:line="580" w:lineRule="exact"/>
        <w:ind w:firstLine="640"/>
        <w:jc w:val="left"/>
        <w:rPr>
          <w:rFonts w:ascii="仿宋_GB2312" w:hAnsi="仿宋_GB2312" w:eastAsia="仿宋_GB2312" w:cs="仿宋_GB2312"/>
          <w:color w:val="000000"/>
          <w:sz w:val="32"/>
          <w:szCs w:val="32"/>
          <w:lang w:bidi="ar"/>
        </w:rPr>
        <w:sectPr>
          <w:pgSz w:w="11906" w:h="16838" w:orient="landscape"/>
          <w:pgMar w:top="1814" w:right="1531" w:bottom="1531" w:left="1531" w:header="851" w:footer="992" w:gutter="0"/>
          <w:pgNumType w:start="1"/>
          <w:cols w:space="1701" w:num="1"/>
        </w:sectPr>
      </w:pPr>
      <w:r>
        <w:rPr>
          <w:rFonts w:hint="eastAsia" w:ascii="仿宋_GB2312" w:hAnsi="仿宋_GB2312" w:eastAsia="仿宋_GB2312" w:cs="仿宋_GB2312"/>
          <w:color w:val="000000"/>
          <w:sz w:val="32"/>
          <w:szCs w:val="32"/>
          <w:lang w:bidi="ar"/>
        </w:rPr>
        <w:t>规划分析了随州市生态环境现状、存在的主要问题、面临的挑战与机遇；依据国家、省市对生态修复工作的总体要求，明确了国土空间生态修复的指导思想和目标，谋划了国土空间生态修复布局与分区，确定了国土空间生态修复的重点区域、重点任务和重点工程，提出了规划实施的保障措施，将对全市国土空间生态修复工作起到指导和推动作用。</w:t>
      </w:r>
    </w:p>
    <w:p w14:paraId="4DF04832">
      <w:pPr>
        <w:pStyle w:val="184"/>
        <w:spacing w:before="0" w:after="0" w:line="600" w:lineRule="exact"/>
        <w:jc w:val="center"/>
        <w:rPr>
          <w:rFonts w:hint="eastAsia" w:ascii="仿宋_GB2312" w:hAnsi="仿宋_GB2312" w:eastAsia="仿宋_GB2312" w:cs="仿宋_GB2312"/>
          <w:sz w:val="32"/>
          <w:szCs w:val="32"/>
        </w:rPr>
      </w:pPr>
      <w:bookmarkStart w:id="6" w:name="_Toc23819"/>
      <w:r>
        <w:rPr>
          <w:rFonts w:hint="eastAsia" w:ascii="仿宋_GB2312" w:hAnsi="仿宋_GB2312" w:eastAsia="仿宋_GB2312" w:cs="仿宋_GB2312"/>
          <w:sz w:val="32"/>
          <w:szCs w:val="32"/>
        </w:rPr>
        <w:t>第一章 项目背景</w:t>
      </w:r>
      <w:bookmarkEnd w:id="5"/>
      <w:bookmarkEnd w:id="6"/>
    </w:p>
    <w:p w14:paraId="6BD897A8">
      <w:pPr>
        <w:pStyle w:val="185"/>
        <w:spacing w:before="0" w:after="0" w:line="600" w:lineRule="exact"/>
        <w:ind w:firstLine="643"/>
        <w:rPr>
          <w:rFonts w:hint="eastAsia" w:ascii="仿宋_GB2312" w:hAnsi="仿宋_GB2312" w:eastAsia="仿宋_GB2312" w:cs="仿宋_GB2312"/>
        </w:rPr>
      </w:pPr>
      <w:bookmarkStart w:id="7" w:name="_Toc92404268"/>
      <w:bookmarkStart w:id="8" w:name="_Toc417"/>
      <w:r>
        <w:rPr>
          <w:rFonts w:hint="eastAsia" w:ascii="仿宋_GB2312" w:hAnsi="仿宋_GB2312" w:eastAsia="仿宋_GB2312" w:cs="仿宋_GB2312"/>
        </w:rPr>
        <w:t>1.1 工作</w:t>
      </w:r>
      <w:bookmarkEnd w:id="7"/>
      <w:r>
        <w:rPr>
          <w:rFonts w:hint="eastAsia" w:ascii="仿宋_GB2312" w:hAnsi="仿宋_GB2312" w:eastAsia="仿宋_GB2312" w:cs="仿宋_GB2312"/>
        </w:rPr>
        <w:t>背景</w:t>
      </w:r>
      <w:bookmarkEnd w:id="8"/>
    </w:p>
    <w:p w14:paraId="20DB94B4">
      <w:pPr>
        <w:spacing w:line="600" w:lineRule="exact"/>
        <w:ind w:firstLine="640"/>
        <w:rPr>
          <w:rFonts w:hint="eastAsia" w:ascii="仿宋_GB2312" w:hAnsi="仿宋_GB2312" w:eastAsia="仿宋_GB2312" w:cs="仿宋_GB2312"/>
          <w:sz w:val="32"/>
          <w:szCs w:val="32"/>
        </w:rPr>
      </w:pPr>
      <w:bookmarkStart w:id="9" w:name="_Toc92404269"/>
      <w:r>
        <w:rPr>
          <w:rFonts w:hint="eastAsia" w:ascii="仿宋_GB2312" w:hAnsi="仿宋_GB2312" w:eastAsia="仿宋_GB2312" w:cs="仿宋_GB2312"/>
          <w:sz w:val="32"/>
          <w:szCs w:val="32"/>
        </w:rPr>
        <w:t>自生态文明理念纳入国家发展内涵，我国对生态立国的理解和践行便在与时俱进。山水林田湖草沙是相互依存、相互影响的大系统，而生态修复是一个系统工程，需要全方位、全地域、全过程开展。随着生态文明理念的成熟和相关制度的出台，以习近平同志为核心的党中央把生态环境保护工作摆在了更加突出重要的位置，作出了一系列重大部署。迈入“十四五”，生态环境保护进入减污降碳协同治理的新阶段，高质量发展将扎实推进，经济长期向好，生态文明制度改革红利持续释放，全社会生态环境保护合力进一步增强，生态环境保护具有坚实基础。</w:t>
      </w:r>
    </w:p>
    <w:p w14:paraId="60F897B7">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湖北是长江径流里程最长的省份，也是三峡工程库坝区和南水北调中线工程核心水源区，加强长江生态保护的责任重大，推动绿色发展的任务艰巨。省第十二次党代会报告提出：以神农架、大别山、幕阜山以及大洪山等为重点，强化治山理水。湖北省国民经济和社会发展“十四五”规划和二〇三五年远景目标纲要提出，紧扣一体化和高质量发展要求，着力构建“一主引领、两翼驱动、全域协同”的区域发展布局。推动襄十随神城市群由点轴式向扇面式发展，推进城市群内基础设施互联互通、产业发展互促互补、生态环境共保联治、公共服务共建共享、开放合作携手共赢，加快一体化发展；落实汉江生态经济带发展战略，打造全省高质量发展北部列阵，推动生态文明共建，携手打造汉江绿色保护带。襄十随神城市群生态环境共保联治，将有利于增强生态环境治理区域合力，有利于推进跨行政区的生态环境问题治理。</w:t>
      </w:r>
    </w:p>
    <w:p w14:paraId="6E5FCD1C">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随州市第五次党代会提出随州的城市气质，要靠绣花功夫升华，以“神韵随州、一见钟情”点亮城市符号，以“美食四宝”、“生态四宝”、“民俗四宝”展现城市精彩，培育随州城市独特气质。全力创建国家生态文明建设示范市，推动绿色转型、实现绿色崛起，争当美丽湖北的绿色示范，联合推进“襄十随神”城市群生态绿色一体化发展，共同建设鄂北生态绿色一体化发展示范样板区。加快实施鄂北水资源配置二期工程，构建鄂北现代水网；推进汉江、府河流域生态环境修复重大工程，联合打造生态优先示范区、绿色发展先行区。打造“神韵随州、一见钟情”城市形象品质和文旅品牌，让随州魅力精彩绽放，成为人人向往的心灵家园。</w:t>
      </w:r>
    </w:p>
    <w:p w14:paraId="34E53457">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深刻认识“双循环”背景下国家、省市对于生态修复工作的新要求和发展环境面临的新变化，深入推进蓝天、碧水、净土行动，大力推行绿色生产方式和生活方式，建立完善生产生活生态和谐发展的制度体系，创新绿水青山向金山银山的转化之路，显著改善全市生态环境，形成生产发展、生活富裕、生态良好的发展新格局。</w:t>
      </w:r>
    </w:p>
    <w:p w14:paraId="0C656FCC">
      <w:pPr>
        <w:pStyle w:val="185"/>
        <w:spacing w:before="0" w:after="0" w:line="600" w:lineRule="exact"/>
        <w:ind w:firstLine="643"/>
        <w:rPr>
          <w:rFonts w:hint="eastAsia" w:ascii="仿宋_GB2312" w:hAnsi="仿宋_GB2312" w:eastAsia="仿宋_GB2312" w:cs="仿宋_GB2312"/>
        </w:rPr>
      </w:pPr>
      <w:bookmarkStart w:id="10" w:name="_Toc993"/>
      <w:r>
        <w:rPr>
          <w:rFonts w:hint="eastAsia" w:ascii="仿宋_GB2312" w:hAnsi="仿宋_GB2312" w:eastAsia="仿宋_GB2312" w:cs="仿宋_GB2312"/>
        </w:rPr>
        <w:t>1.2 工作内容</w:t>
      </w:r>
      <w:bookmarkEnd w:id="9"/>
      <w:bookmarkEnd w:id="10"/>
    </w:p>
    <w:p w14:paraId="41479E10">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深入贯彻党中央、国务院重大决策部署和省委省政府、市委市政府生态文明建设要求，习近平总书记三次在长江经济带发展座谈会上的系列重要讲话精神，衔接区域发展战略，落实全国重要生态系统保护和修复重大工程总体规划及省级国土空间生态修复规划明确的生态修复任务。基于生态系统演替规律和内在机理，结合气候变化和人类活动影响，识别区域生态问题，预判重大生态风险，谋划市域国土空间生态修复总体布局。明确市域国土空间生态修复目标任务，确定生态修复重点区域、重点工程和重点项目，推进解决生态、农业、城镇空间突出生态问题，严守生态保护红线，筑牢生态安全屏障，提供优质生态产品，助力国土空间格局优化。提出规划实施的保障措施，探索建立健全政府主导、企业和社会各界参与的生态规划实施机制。</w:t>
      </w:r>
    </w:p>
    <w:p w14:paraId="6B186B91">
      <w:pPr>
        <w:pStyle w:val="185"/>
        <w:spacing w:before="0" w:after="0" w:line="600" w:lineRule="exact"/>
        <w:ind w:firstLine="643"/>
        <w:rPr>
          <w:rFonts w:hint="eastAsia" w:ascii="仿宋_GB2312" w:hAnsi="仿宋_GB2312" w:eastAsia="仿宋_GB2312" w:cs="仿宋_GB2312"/>
        </w:rPr>
      </w:pPr>
      <w:bookmarkStart w:id="11" w:name="_Toc117533235"/>
      <w:bookmarkStart w:id="12" w:name="_Toc18254"/>
      <w:r>
        <w:rPr>
          <w:rFonts w:hint="eastAsia" w:ascii="仿宋_GB2312" w:hAnsi="仿宋_GB2312" w:eastAsia="仿宋_GB2312" w:cs="仿宋_GB2312"/>
        </w:rPr>
        <w:t>1.3 编制依据</w:t>
      </w:r>
      <w:bookmarkEnd w:id="11"/>
      <w:bookmarkEnd w:id="12"/>
    </w:p>
    <w:p w14:paraId="46FD5455">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（1）《中共中央国务院关于加快推进生态文明建设的意见》（2015年4月25日）</w:t>
      </w:r>
    </w:p>
    <w:p w14:paraId="71CE2CB2">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（2）《生态文明体制改革总体方案》（2015年9月21日）</w:t>
      </w:r>
    </w:p>
    <w:p w14:paraId="216A8C4D">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（3）《中共中央国务院关于建立国土空间规划体系并监督实施的若干意见》（2019年5月23日）</w:t>
      </w:r>
    </w:p>
    <w:p w14:paraId="1752FEB7">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（4）《山水林田湖草生态保护修复工程指南（试行）》（2020年8月）</w:t>
      </w:r>
    </w:p>
    <w:p w14:paraId="138E6D03">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）《中华人民共和国长江保护法》（2</w:t>
      </w:r>
      <w:r>
        <w:rPr>
          <w:rFonts w:ascii="仿宋_GB2312" w:hAnsi="仿宋_GB2312" w:eastAsia="仿宋_GB2312" w:cs="仿宋_GB2312"/>
          <w:sz w:val="32"/>
          <w:szCs w:val="32"/>
        </w:rPr>
        <w:t>020</w:t>
      </w:r>
      <w:r>
        <w:rPr>
          <w:rFonts w:hint="eastAsia" w:ascii="仿宋_GB2312" w:hAnsi="仿宋_GB2312" w:eastAsia="仿宋_GB2312" w:cs="仿宋_GB2312"/>
          <w:sz w:val="32"/>
          <w:szCs w:val="32"/>
        </w:rPr>
        <w:t>年1</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月）</w:t>
      </w:r>
    </w:p>
    <w:p w14:paraId="61B894A9">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）《自然生态空间用途管制办法（试行）》（国土资发〔2017〕33号）</w:t>
      </w:r>
    </w:p>
    <w:p w14:paraId="7A0A9AF5">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7</w:t>
      </w:r>
      <w:r>
        <w:rPr>
          <w:rFonts w:hint="eastAsia" w:ascii="仿宋_GB2312" w:hAnsi="仿宋_GB2312" w:eastAsia="仿宋_GB2312" w:cs="仿宋_GB2312"/>
          <w:sz w:val="32"/>
          <w:szCs w:val="32"/>
        </w:rPr>
        <w:t>）《全国重要生态系统保护和修复重大工程总体规划（2021-2035年）》（发改农经〔2020〕837号）</w:t>
      </w:r>
    </w:p>
    <w:p w14:paraId="08C6DC16">
      <w:pPr>
        <w:spacing w:line="600" w:lineRule="exact"/>
        <w:ind w:firstLine="640"/>
        <w:rPr>
          <w:rFonts w:ascii="仿宋_GB2312" w:hAnsi="仿宋_GB2312" w:eastAsia="仿宋_GB2312" w:cs="仿宋_GB2312"/>
          <w:sz w:val="32"/>
          <w:szCs w:val="32"/>
        </w:rPr>
      </w:pPr>
      <w:r>
        <w:rPr>
          <w:rFonts w:ascii="仿宋_GB2312" w:hAnsi="仿宋_GB2312" w:eastAsia="仿宋_GB2312" w:cs="仿宋_GB2312"/>
          <w:sz w:val="32"/>
          <w:szCs w:val="32"/>
        </w:rPr>
        <w:t>（8）《国务院办公厅关于鼓励和支持社会资本参与生态保护修复的意见》（国办发〔2021〕40号）</w:t>
      </w:r>
    </w:p>
    <w:p w14:paraId="54F9B244">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9</w:t>
      </w:r>
      <w:r>
        <w:rPr>
          <w:rFonts w:hint="eastAsia" w:ascii="仿宋_GB2312" w:hAnsi="仿宋_GB2312" w:eastAsia="仿宋_GB2312" w:cs="仿宋_GB2312"/>
          <w:sz w:val="32"/>
          <w:szCs w:val="32"/>
        </w:rPr>
        <w:t>）《历史遗留工矿废弃地复垦利用试点管理办法》（国土资规〔2015〕1号）</w:t>
      </w:r>
    </w:p>
    <w:p w14:paraId="255C23BA">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10</w:t>
      </w:r>
      <w:r>
        <w:rPr>
          <w:rFonts w:hint="eastAsia" w:ascii="仿宋_GB2312" w:hAnsi="仿宋_GB2312" w:eastAsia="仿宋_GB2312" w:cs="仿宋_GB2312"/>
          <w:sz w:val="32"/>
          <w:szCs w:val="32"/>
        </w:rPr>
        <w:t>）《关于开展省级国土空间生态修复规划编制工作的通知》（自然资办发〔2020〕45号）</w:t>
      </w:r>
    </w:p>
    <w:p w14:paraId="708D76E7">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11</w:t>
      </w:r>
      <w:r>
        <w:rPr>
          <w:rFonts w:hint="eastAsia" w:ascii="仿宋_GB2312" w:hAnsi="仿宋_GB2312" w:eastAsia="仿宋_GB2312" w:cs="仿宋_GB2312"/>
          <w:sz w:val="32"/>
          <w:szCs w:val="32"/>
        </w:rPr>
        <w:t>）《省自然资源厅办公室关于推进市（州）级国土空间生态修复规划编制工作的通知》（鄂自然资办文〔2021〕10号）</w:t>
      </w:r>
    </w:p>
    <w:p w14:paraId="6170EE46">
      <w:pPr>
        <w:spacing w:line="600" w:lineRule="exact"/>
        <w:ind w:firstLine="640"/>
        <w:rPr>
          <w:rFonts w:ascii="仿宋_GB2312" w:hAnsi="仿宋_GB2312" w:eastAsia="仿宋_GB2312" w:cs="仿宋_GB2312"/>
          <w:sz w:val="32"/>
          <w:szCs w:val="32"/>
        </w:rPr>
      </w:pPr>
      <w:r>
        <w:rPr>
          <w:rFonts w:ascii="仿宋_GB2312" w:hAnsi="仿宋_GB2312" w:eastAsia="仿宋_GB2312" w:cs="仿宋_GB2312"/>
          <w:sz w:val="32"/>
          <w:szCs w:val="32"/>
        </w:rPr>
        <w:t>（12）《省自然资源厅印发关于鼓励和支持社会资本参与生态保护修复若干措施的通知》（鄂自然资函〔2022〕252号）</w:t>
      </w:r>
    </w:p>
    <w:p w14:paraId="3766A7F3">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13</w:t>
      </w:r>
      <w:r>
        <w:rPr>
          <w:rFonts w:hint="eastAsia" w:ascii="仿宋_GB2312" w:hAnsi="仿宋_GB2312" w:eastAsia="仿宋_GB2312" w:cs="仿宋_GB2312"/>
          <w:sz w:val="32"/>
          <w:szCs w:val="32"/>
        </w:rPr>
        <w:t>）湖北省人民政府《关于推进全域国土综合整治的意见》（鄂政发〔2019〕25号）</w:t>
      </w:r>
    </w:p>
    <w:p w14:paraId="0488DB46">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14</w:t>
      </w:r>
      <w:r>
        <w:rPr>
          <w:rFonts w:hint="eastAsia" w:ascii="仿宋_GB2312" w:hAnsi="仿宋_GB2312" w:eastAsia="仿宋_GB2312" w:cs="仿宋_GB2312"/>
          <w:sz w:val="32"/>
          <w:szCs w:val="32"/>
        </w:rPr>
        <w:t>）《湖北省国土空间生态修复规划（2021－2035年）》（2022年1月）</w:t>
      </w:r>
    </w:p>
    <w:p w14:paraId="2D4BF470">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15</w:t>
      </w:r>
      <w:r>
        <w:rPr>
          <w:rFonts w:hint="eastAsia" w:ascii="仿宋_GB2312" w:hAnsi="仿宋_GB2312" w:eastAsia="仿宋_GB2312" w:cs="仿宋_GB2312"/>
          <w:sz w:val="32"/>
          <w:szCs w:val="32"/>
        </w:rPr>
        <w:t>）《湖北省国民经济和社会发展第十四个五年规划和二〇三五年远景目标纲要》（2021年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p>
    <w:p w14:paraId="0408447D">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16</w:t>
      </w:r>
      <w:r>
        <w:rPr>
          <w:rFonts w:hint="eastAsia" w:ascii="仿宋_GB2312" w:hAnsi="仿宋_GB2312" w:eastAsia="仿宋_GB2312" w:cs="仿宋_GB2312"/>
          <w:sz w:val="32"/>
          <w:szCs w:val="32"/>
        </w:rPr>
        <w:t>）《长江经济带生态环境保护规划》（2017年7月）</w:t>
      </w:r>
    </w:p>
    <w:p w14:paraId="0704C321">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17</w:t>
      </w:r>
      <w:r>
        <w:rPr>
          <w:rFonts w:hint="eastAsia" w:ascii="仿宋_GB2312" w:hAnsi="仿宋_GB2312" w:eastAsia="仿宋_GB2312" w:cs="仿宋_GB2312"/>
          <w:sz w:val="32"/>
          <w:szCs w:val="32"/>
        </w:rPr>
        <w:t>）《随州市国民经济和社会发展第十四个五年规划和2035年远景目标纲要》（2021年</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w:t>
      </w:r>
    </w:p>
    <w:p w14:paraId="4E72E6D7">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18</w:t>
      </w:r>
      <w:r>
        <w:rPr>
          <w:rFonts w:hint="eastAsia" w:ascii="仿宋_GB2312" w:hAnsi="仿宋_GB2312" w:eastAsia="仿宋_GB2312" w:cs="仿宋_GB2312"/>
          <w:sz w:val="32"/>
          <w:szCs w:val="32"/>
        </w:rPr>
        <w:t>）《随州市国土空间总体规划（2020-2035年）》阶段成果（在编）</w:t>
      </w:r>
    </w:p>
    <w:p w14:paraId="0CEF2493">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19</w:t>
      </w:r>
      <w:r>
        <w:rPr>
          <w:rFonts w:hint="eastAsia" w:ascii="仿宋_GB2312" w:hAnsi="仿宋_GB2312" w:eastAsia="仿宋_GB2312" w:cs="仿宋_GB2312"/>
          <w:sz w:val="32"/>
          <w:szCs w:val="32"/>
        </w:rPr>
        <w:t>）《随州市矿产资源总体规划（2021-20</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5年）》（20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月）</w:t>
      </w:r>
    </w:p>
    <w:p w14:paraId="1F5FB04D">
      <w:pPr>
        <w:pStyle w:val="185"/>
        <w:spacing w:before="0" w:after="0" w:line="600" w:lineRule="exact"/>
        <w:ind w:firstLine="643"/>
        <w:rPr>
          <w:rFonts w:hint="eastAsia" w:ascii="仿宋_GB2312" w:hAnsi="仿宋_GB2312" w:eastAsia="仿宋_GB2312" w:cs="仿宋_GB2312"/>
        </w:rPr>
      </w:pPr>
      <w:bookmarkStart w:id="13" w:name="_Toc92404271"/>
      <w:bookmarkStart w:id="14" w:name="_Toc4077"/>
      <w:r>
        <w:rPr>
          <w:rFonts w:hint="eastAsia" w:ascii="仿宋_GB2312" w:hAnsi="仿宋_GB2312" w:eastAsia="仿宋_GB2312" w:cs="仿宋_GB2312"/>
        </w:rPr>
        <w:t>1.</w:t>
      </w:r>
      <w:r>
        <w:rPr>
          <w:rFonts w:hint="eastAsia" w:ascii="仿宋_GB2312" w:hAnsi="仿宋_GB2312" w:eastAsia="仿宋_GB2312" w:cs="仿宋_GB2312"/>
          <w:lang w:val="en-US" w:eastAsia="zh-CN"/>
        </w:rPr>
        <w:t>4</w:t>
      </w:r>
      <w:r>
        <w:rPr>
          <w:rFonts w:hint="eastAsia" w:ascii="仿宋_GB2312" w:hAnsi="仿宋_GB2312" w:eastAsia="仿宋_GB2312" w:cs="仿宋_GB2312"/>
        </w:rPr>
        <w:t xml:space="preserve"> 规划范围</w:t>
      </w:r>
      <w:bookmarkEnd w:id="13"/>
      <w:bookmarkEnd w:id="14"/>
    </w:p>
    <w:p w14:paraId="5BF32EAA">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规划范围包括随州市行政辖区内全部国土空间，下辖曾都区和随县，代管广水市。</w:t>
      </w:r>
    </w:p>
    <w:p w14:paraId="25B74C6C">
      <w:pPr>
        <w:pStyle w:val="185"/>
        <w:spacing w:before="0" w:after="0" w:line="600" w:lineRule="exact"/>
        <w:ind w:firstLine="643"/>
        <w:rPr>
          <w:rFonts w:hint="eastAsia" w:ascii="仿宋_GB2312" w:hAnsi="仿宋_GB2312" w:eastAsia="仿宋_GB2312" w:cs="仿宋_GB2312"/>
        </w:rPr>
      </w:pPr>
      <w:bookmarkStart w:id="15" w:name="_Toc92404275"/>
      <w:bookmarkStart w:id="16" w:name="_Toc26890"/>
      <w:r>
        <w:rPr>
          <w:rFonts w:hint="eastAsia" w:ascii="仿宋_GB2312" w:hAnsi="仿宋_GB2312" w:eastAsia="仿宋_GB2312" w:cs="仿宋_GB2312"/>
        </w:rPr>
        <w:t>1.</w:t>
      </w:r>
      <w:r>
        <w:rPr>
          <w:rFonts w:hint="eastAsia" w:ascii="仿宋_GB2312" w:hAnsi="仿宋_GB2312" w:eastAsia="仿宋_GB2312" w:cs="仿宋_GB2312"/>
          <w:lang w:val="en-US" w:eastAsia="zh-CN"/>
        </w:rPr>
        <w:t>5</w:t>
      </w:r>
      <w:r>
        <w:rPr>
          <w:rFonts w:hint="eastAsia" w:ascii="仿宋_GB2312" w:hAnsi="仿宋_GB2312" w:eastAsia="仿宋_GB2312" w:cs="仿宋_GB2312"/>
        </w:rPr>
        <w:t xml:space="preserve"> 规划期限</w:t>
      </w:r>
      <w:bookmarkEnd w:id="15"/>
      <w:bookmarkEnd w:id="16"/>
    </w:p>
    <w:p w14:paraId="3EAEF125">
      <w:pPr>
        <w:spacing w:line="600" w:lineRule="exact"/>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规划期限为2021-2035年，近期至2025年，中期至2030年，远期至2035年。基期年为2020年</w:t>
      </w:r>
      <w:bookmarkStart w:id="17" w:name="_Toc92404297"/>
      <w:r>
        <w:rPr>
          <w:rFonts w:hint="eastAsia" w:ascii="仿宋_GB2312" w:hAnsi="仿宋_GB2312" w:eastAsia="仿宋_GB2312" w:cs="仿宋_GB2312"/>
          <w:sz w:val="32"/>
          <w:szCs w:val="32"/>
          <w:lang w:eastAsia="zh-CN"/>
        </w:rPr>
        <w:t>。</w:t>
      </w:r>
    </w:p>
    <w:p w14:paraId="1FBE3DE7">
      <w:pPr>
        <w:spacing w:line="600" w:lineRule="exact"/>
        <w:ind w:firstLine="643"/>
        <w:rPr>
          <w:rFonts w:hint="eastAsia" w:ascii="仿宋_GB2312" w:hAnsi="仿宋_GB2312" w:eastAsia="仿宋_GB2312" w:cs="仿宋_GB2312"/>
          <w:b/>
          <w:bCs/>
          <w:sz w:val="32"/>
          <w:szCs w:val="32"/>
          <w:lang w:val="en-US" w:eastAsia="zh-CN"/>
        </w:rPr>
      </w:pPr>
    </w:p>
    <w:p w14:paraId="50AA3D85">
      <w:pPr>
        <w:spacing w:line="600" w:lineRule="exact"/>
        <w:ind w:firstLine="643"/>
        <w:jc w:val="center"/>
        <w:outlineLvl w:val="0"/>
        <w:rPr>
          <w:rFonts w:hint="eastAsia" w:ascii="仿宋_GB2312" w:hAnsi="仿宋_GB2312" w:eastAsia="仿宋_GB2312" w:cs="仿宋_GB2312"/>
          <w:b/>
          <w:bCs/>
          <w:sz w:val="32"/>
          <w:szCs w:val="32"/>
        </w:rPr>
      </w:pPr>
      <w:bookmarkStart w:id="18" w:name="_Toc16820"/>
      <w:r>
        <w:rPr>
          <w:rFonts w:hint="eastAsia" w:ascii="仿宋_GB2312" w:hAnsi="仿宋_GB2312" w:eastAsia="仿宋_GB2312" w:cs="仿宋_GB2312"/>
          <w:b/>
          <w:bCs/>
          <w:sz w:val="32"/>
          <w:szCs w:val="32"/>
          <w:lang w:val="en-US" w:eastAsia="zh-CN"/>
        </w:rPr>
        <w:t>第</w:t>
      </w:r>
      <w:r>
        <w:rPr>
          <w:rFonts w:hint="eastAsia" w:ascii="仿宋_GB2312" w:hAnsi="仿宋_GB2312" w:eastAsia="仿宋_GB2312" w:cs="仿宋_GB2312"/>
          <w:b/>
          <w:bCs/>
          <w:sz w:val="32"/>
          <w:szCs w:val="32"/>
        </w:rPr>
        <w:t>二章 现状与本底</w:t>
      </w:r>
      <w:bookmarkEnd w:id="17"/>
    </w:p>
    <w:p w14:paraId="1F11515C">
      <w:pPr>
        <w:keepNext/>
        <w:keepLines/>
        <w:spacing w:line="600" w:lineRule="exact"/>
        <w:ind w:firstLine="643"/>
        <w:outlineLvl w:val="1"/>
        <w:rPr>
          <w:rFonts w:hint="eastAsia" w:ascii="仿宋_GB2312" w:hAnsi="仿宋_GB2312" w:eastAsia="仿宋_GB2312" w:cs="仿宋_GB2312"/>
          <w:b/>
          <w:bCs/>
          <w:sz w:val="32"/>
          <w:szCs w:val="32"/>
        </w:rPr>
      </w:pPr>
      <w:bookmarkStart w:id="19" w:name="_Toc21734"/>
      <w:r>
        <w:rPr>
          <w:rFonts w:hint="eastAsia" w:ascii="仿宋_GB2312" w:hAnsi="仿宋_GB2312" w:eastAsia="仿宋_GB2312" w:cs="仿宋_GB2312"/>
          <w:b/>
          <w:bCs/>
          <w:sz w:val="32"/>
          <w:szCs w:val="32"/>
        </w:rPr>
        <w:t>2.1 社会经济与生态现状</w:t>
      </w:r>
      <w:bookmarkEnd w:id="18"/>
    </w:p>
    <w:p w14:paraId="5F7D2D32">
      <w:pPr>
        <w:spacing w:line="60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社会经济条件良好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土地类型多样，林地耕地比重大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四季分明，雨热同季</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地势奇特，地形复杂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水网密布，河库众多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矿产资源丰富，分布相对集中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动物种类繁多，植被品种丰富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旅游资源丰富，文化古迹众多</w:t>
      </w:r>
      <w:r>
        <w:rPr>
          <w:rFonts w:hint="eastAsia" w:ascii="仿宋_GB2312" w:hAnsi="仿宋_GB2312" w:eastAsia="仿宋_GB2312" w:cs="仿宋_GB2312"/>
          <w:sz w:val="32"/>
          <w:szCs w:val="32"/>
          <w:lang w:eastAsia="zh-CN"/>
        </w:rPr>
        <w:t>；</w:t>
      </w:r>
      <w:bookmarkStart w:id="20" w:name="_Toc31509"/>
      <w:bookmarkStart w:id="21" w:name="_Hlk97043007"/>
      <w:bookmarkStart w:id="22" w:name="_Toc92404285"/>
      <w:r>
        <w:rPr>
          <w:rFonts w:hint="eastAsia" w:ascii="仿宋_GB2312" w:hAnsi="仿宋_GB2312" w:eastAsia="仿宋_GB2312" w:cs="仿宋_GB2312"/>
          <w:sz w:val="32"/>
          <w:szCs w:val="32"/>
        </w:rPr>
        <w:t>生态系统功能结构</w:t>
      </w:r>
      <w:r>
        <w:rPr>
          <w:rFonts w:hint="eastAsia" w:ascii="仿宋_GB2312" w:hAnsi="仿宋_GB2312" w:eastAsia="仿宋_GB2312" w:cs="仿宋_GB2312"/>
          <w:sz w:val="32"/>
          <w:szCs w:val="32"/>
          <w:lang w:val="en-US" w:eastAsia="zh-CN"/>
        </w:rPr>
        <w:t>丰富。</w:t>
      </w:r>
    </w:p>
    <w:bookmarkEnd w:id="19"/>
    <w:bookmarkEnd w:id="20"/>
    <w:bookmarkEnd w:id="21"/>
    <w:p w14:paraId="01BF5302">
      <w:pPr>
        <w:keepNext/>
        <w:keepLines/>
        <w:spacing w:line="600" w:lineRule="exact"/>
        <w:ind w:firstLine="643"/>
        <w:outlineLvl w:val="1"/>
        <w:rPr>
          <w:rFonts w:hint="eastAsia" w:ascii="仿宋_GB2312" w:hAnsi="仿宋_GB2312" w:eastAsia="仿宋_GB2312" w:cs="仿宋_GB2312"/>
          <w:b/>
          <w:bCs/>
          <w:sz w:val="32"/>
          <w:szCs w:val="32"/>
        </w:rPr>
      </w:pPr>
      <w:bookmarkStart w:id="23" w:name="_Toc10292"/>
      <w:r>
        <w:rPr>
          <w:rFonts w:hint="eastAsia" w:ascii="仿宋_GB2312" w:hAnsi="仿宋_GB2312" w:eastAsia="仿宋_GB2312" w:cs="仿宋_GB2312"/>
          <w:b/>
          <w:bCs/>
          <w:sz w:val="32"/>
          <w:szCs w:val="32"/>
        </w:rPr>
        <w:t>2.2 生态修复工作成效</w:t>
      </w:r>
      <w:bookmarkEnd w:id="22"/>
    </w:p>
    <w:p w14:paraId="02E9C5A1">
      <w:pPr>
        <w:spacing w:line="600" w:lineRule="exact"/>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生态文明示范区取得成绩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三线一单效果初步呈现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自然保护地建设成就良好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水生态环境持续改善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森林生态环境持续提升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矿山生态修复扎实推进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水土流失防治取得成效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土地整理工作扎实推进</w:t>
      </w:r>
      <w:r>
        <w:rPr>
          <w:rFonts w:hint="eastAsia" w:ascii="仿宋_GB2312" w:hAnsi="仿宋_GB2312" w:eastAsia="仿宋_GB2312" w:cs="仿宋_GB2312"/>
          <w:sz w:val="32"/>
          <w:szCs w:val="32"/>
          <w:lang w:eastAsia="zh-CN"/>
        </w:rPr>
        <w:t>。</w:t>
      </w:r>
    </w:p>
    <w:p w14:paraId="71033281">
      <w:pPr>
        <w:pStyle w:val="2"/>
        <w:rPr>
          <w:rFonts w:hint="eastAsia"/>
          <w:lang w:val="en-US" w:eastAsia="zh-CN"/>
        </w:rPr>
      </w:pPr>
    </w:p>
    <w:bookmarkEnd w:id="23"/>
    <w:p w14:paraId="28BD1C8E">
      <w:pPr>
        <w:spacing w:line="600" w:lineRule="exact"/>
        <w:ind w:firstLine="643"/>
        <w:jc w:val="center"/>
        <w:outlineLvl w:val="0"/>
        <w:rPr>
          <w:rFonts w:hint="eastAsia" w:ascii="仿宋_GB2312" w:hAnsi="仿宋_GB2312" w:eastAsia="仿宋_GB2312" w:cs="仿宋_GB2312"/>
          <w:sz w:val="32"/>
          <w:szCs w:val="32"/>
        </w:rPr>
      </w:pPr>
      <w:bookmarkStart w:id="24" w:name="_Toc6731"/>
      <w:bookmarkStart w:id="25" w:name="_Toc92404301"/>
      <w:r>
        <w:rPr>
          <w:rFonts w:hint="eastAsia" w:ascii="仿宋_GB2312" w:hAnsi="仿宋_GB2312" w:eastAsia="仿宋_GB2312" w:cs="仿宋_GB2312"/>
          <w:b/>
          <w:bCs/>
          <w:sz w:val="32"/>
          <w:szCs w:val="32"/>
        </w:rPr>
        <w:t>第三章 主要生态问题</w:t>
      </w:r>
      <w:bookmarkEnd w:id="24"/>
    </w:p>
    <w:p w14:paraId="6C7295FB">
      <w:pPr>
        <w:keepNext/>
        <w:keepLines/>
        <w:spacing w:line="600" w:lineRule="exact"/>
        <w:ind w:firstLine="643"/>
        <w:outlineLvl w:val="1"/>
        <w:rPr>
          <w:rFonts w:hint="eastAsia" w:ascii="仿宋_GB2312" w:hAnsi="仿宋_GB2312" w:eastAsia="仿宋_GB2312" w:cs="仿宋_GB2312"/>
          <w:b/>
          <w:bCs/>
          <w:sz w:val="32"/>
          <w:szCs w:val="32"/>
        </w:rPr>
      </w:pPr>
      <w:bookmarkStart w:id="26" w:name="_Toc2035"/>
      <w:r>
        <w:rPr>
          <w:rFonts w:hint="eastAsia" w:ascii="仿宋_GB2312" w:hAnsi="仿宋_GB2312" w:eastAsia="仿宋_GB2312" w:cs="仿宋_GB2312"/>
          <w:b/>
          <w:bCs/>
          <w:sz w:val="32"/>
          <w:szCs w:val="32"/>
        </w:rPr>
        <w:t>3.1 生态空间问题</w:t>
      </w:r>
      <w:bookmarkEnd w:id="25"/>
    </w:p>
    <w:p w14:paraId="7A8B84C2">
      <w:pPr>
        <w:spacing w:line="600" w:lineRule="exact"/>
        <w:ind w:firstLine="640"/>
        <w:rPr>
          <w:rFonts w:hint="eastAsia" w:ascii="仿宋_GB2312" w:hAnsi="仿宋_GB2312" w:eastAsia="仿宋_GB2312" w:cs="仿宋_GB2312"/>
          <w:sz w:val="32"/>
          <w:szCs w:val="32"/>
          <w:lang w:eastAsia="zh-CN"/>
        </w:rPr>
      </w:pPr>
      <w:bookmarkStart w:id="27" w:name="_Toc98508478"/>
      <w:r>
        <w:rPr>
          <w:rFonts w:hint="eastAsia" w:ascii="仿宋_GB2312" w:hAnsi="仿宋_GB2312" w:eastAsia="仿宋_GB2312" w:cs="仿宋_GB2312"/>
          <w:sz w:val="32"/>
          <w:szCs w:val="32"/>
        </w:rPr>
        <w:t>水生态主要问题</w:t>
      </w:r>
      <w:bookmarkEnd w:id="26"/>
      <w:r>
        <w:rPr>
          <w:rFonts w:hint="eastAsia" w:ascii="仿宋_GB2312" w:hAnsi="仿宋_GB2312" w:eastAsia="仿宋_GB2312" w:cs="仿宋_GB2312"/>
          <w:sz w:val="32"/>
          <w:szCs w:val="32"/>
          <w:lang w:val="en-US" w:eastAsia="zh-CN"/>
        </w:rPr>
        <w:t>包括</w:t>
      </w:r>
      <w:r>
        <w:rPr>
          <w:rFonts w:hint="eastAsia" w:ascii="仿宋_GB2312" w:hAnsi="仿宋_GB2312" w:eastAsia="仿宋_GB2312" w:cs="仿宋_GB2312"/>
          <w:sz w:val="32"/>
          <w:szCs w:val="32"/>
        </w:rPr>
        <w:t>流域水资源量不足</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生态流量保障程度偏低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河流水系连通性较差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水生态环境较脆弱</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lang w:eastAsia="zh-CN"/>
        </w:rPr>
        <w:t>。</w:t>
      </w:r>
    </w:p>
    <w:p w14:paraId="05E8F43D">
      <w:pPr>
        <w:spacing w:line="600" w:lineRule="exact"/>
        <w:ind w:firstLine="640"/>
        <w:rPr>
          <w:rFonts w:hint="eastAsia" w:ascii="仿宋_GB2312" w:hAnsi="仿宋_GB2312" w:eastAsia="仿宋_GB2312" w:cs="仿宋_GB2312"/>
          <w:sz w:val="32"/>
          <w:szCs w:val="32"/>
          <w:lang w:eastAsia="zh-CN"/>
        </w:rPr>
      </w:pPr>
      <w:bookmarkStart w:id="28" w:name="_Toc98508479"/>
      <w:r>
        <w:rPr>
          <w:rFonts w:hint="eastAsia" w:ascii="仿宋_GB2312" w:hAnsi="仿宋_GB2312" w:eastAsia="仿宋_GB2312" w:cs="仿宋_GB2312"/>
          <w:sz w:val="32"/>
          <w:szCs w:val="32"/>
        </w:rPr>
        <w:t>湿地生态主要问题</w:t>
      </w:r>
      <w:bookmarkEnd w:id="27"/>
      <w:r>
        <w:rPr>
          <w:rFonts w:hint="eastAsia" w:ascii="仿宋_GB2312" w:hAnsi="仿宋_GB2312" w:eastAsia="仿宋_GB2312" w:cs="仿宋_GB2312"/>
          <w:sz w:val="32"/>
          <w:szCs w:val="32"/>
          <w:lang w:val="en-US" w:eastAsia="zh-CN"/>
        </w:rPr>
        <w:t>包括</w:t>
      </w:r>
      <w:r>
        <w:rPr>
          <w:rFonts w:hint="eastAsia" w:ascii="仿宋_GB2312" w:hAnsi="仿宋_GB2312" w:eastAsia="仿宋_GB2312" w:cs="仿宋_GB2312"/>
          <w:sz w:val="32"/>
          <w:szCs w:val="32"/>
        </w:rPr>
        <w:t>湿地生态环境破坏风险较大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湿地保护管理体制不完善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湿地保护投入不足</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lang w:eastAsia="zh-CN"/>
        </w:rPr>
        <w:t>。</w:t>
      </w:r>
    </w:p>
    <w:p w14:paraId="19CB53F9">
      <w:pPr>
        <w:spacing w:line="600" w:lineRule="exact"/>
        <w:ind w:firstLine="640"/>
        <w:rPr>
          <w:rFonts w:hint="eastAsia" w:ascii="仿宋_GB2312" w:hAnsi="仿宋_GB2312" w:eastAsia="仿宋_GB2312" w:cs="仿宋_GB2312"/>
          <w:sz w:val="32"/>
          <w:szCs w:val="32"/>
          <w:lang w:eastAsia="zh-CN"/>
        </w:rPr>
      </w:pPr>
      <w:bookmarkStart w:id="29" w:name="_Toc98508480"/>
      <w:r>
        <w:rPr>
          <w:rFonts w:hint="eastAsia" w:ascii="仿宋_GB2312" w:hAnsi="仿宋_GB2312" w:eastAsia="仿宋_GB2312" w:cs="仿宋_GB2312"/>
          <w:sz w:val="32"/>
          <w:szCs w:val="32"/>
        </w:rPr>
        <w:t>林地生态主要问题</w:t>
      </w:r>
      <w:bookmarkEnd w:id="28"/>
      <w:r>
        <w:rPr>
          <w:rFonts w:hint="eastAsia" w:ascii="仿宋_GB2312" w:hAnsi="仿宋_GB2312" w:eastAsia="仿宋_GB2312" w:cs="仿宋_GB2312"/>
          <w:sz w:val="32"/>
          <w:szCs w:val="32"/>
          <w:lang w:val="en-US" w:eastAsia="zh-CN"/>
        </w:rPr>
        <w:t>包括</w:t>
      </w:r>
      <w:r>
        <w:rPr>
          <w:rFonts w:hint="eastAsia" w:ascii="仿宋_GB2312" w:hAnsi="仿宋_GB2312" w:eastAsia="仿宋_GB2312" w:cs="仿宋_GB2312"/>
          <w:sz w:val="32"/>
          <w:szCs w:val="32"/>
        </w:rPr>
        <w:t>森林单位面积蓄积量低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森林结构有待优化</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lang w:eastAsia="zh-CN"/>
        </w:rPr>
        <w:t>。</w:t>
      </w:r>
    </w:p>
    <w:p w14:paraId="5F920717">
      <w:pPr>
        <w:spacing w:line="600" w:lineRule="exact"/>
        <w:ind w:firstLine="640"/>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此外，还存在</w:t>
      </w:r>
      <w:r>
        <w:rPr>
          <w:rFonts w:hint="eastAsia" w:ascii="仿宋_GB2312" w:hAnsi="仿宋_GB2312" w:eastAsia="仿宋_GB2312" w:cs="仿宋_GB2312"/>
          <w:sz w:val="32"/>
          <w:szCs w:val="32"/>
        </w:rPr>
        <w:t>生物多样性保护压力大</w:t>
      </w:r>
      <w:r>
        <w:rPr>
          <w:rFonts w:hint="eastAsia" w:ascii="仿宋_GB2312" w:hAnsi="仿宋_GB2312" w:eastAsia="仿宋_GB2312" w:cs="仿宋_GB2312"/>
          <w:sz w:val="32"/>
          <w:szCs w:val="32"/>
          <w:lang w:eastAsia="zh-CN"/>
        </w:rPr>
        <w:t>；</w:t>
      </w:r>
      <w:bookmarkStart w:id="30" w:name="_Toc98508481"/>
      <w:r>
        <w:rPr>
          <w:rFonts w:hint="eastAsia" w:ascii="仿宋_GB2312" w:hAnsi="仿宋_GB2312" w:eastAsia="仿宋_GB2312" w:cs="仿宋_GB2312"/>
          <w:sz w:val="32"/>
          <w:szCs w:val="32"/>
        </w:rPr>
        <w:t>土地退化</w:t>
      </w:r>
      <w:bookmarkEnd w:id="29"/>
      <w:r>
        <w:rPr>
          <w:rFonts w:hint="eastAsia" w:ascii="仿宋_GB2312" w:hAnsi="仿宋_GB2312" w:eastAsia="仿宋_GB2312" w:cs="仿宋_GB2312"/>
          <w:sz w:val="32"/>
          <w:szCs w:val="32"/>
        </w:rPr>
        <w:t>导致功能衰退</w:t>
      </w:r>
      <w:r>
        <w:rPr>
          <w:rFonts w:hint="eastAsia" w:ascii="仿宋_GB2312" w:hAnsi="仿宋_GB2312" w:eastAsia="仿宋_GB2312" w:cs="仿宋_GB2312"/>
          <w:sz w:val="32"/>
          <w:szCs w:val="32"/>
          <w:lang w:val="en-US" w:eastAsia="zh-CN"/>
        </w:rPr>
        <w:t>等问题 。</w:t>
      </w:r>
    </w:p>
    <w:bookmarkEnd w:id="30"/>
    <w:p w14:paraId="4DAD631C">
      <w:pPr>
        <w:keepNext/>
        <w:keepLines/>
        <w:spacing w:line="600" w:lineRule="exact"/>
        <w:ind w:firstLine="643"/>
        <w:outlineLvl w:val="1"/>
        <w:rPr>
          <w:rFonts w:hint="eastAsia" w:ascii="仿宋_GB2312" w:hAnsi="仿宋_GB2312" w:eastAsia="仿宋_GB2312" w:cs="仿宋_GB2312"/>
          <w:b/>
          <w:bCs/>
          <w:sz w:val="32"/>
          <w:szCs w:val="32"/>
        </w:rPr>
      </w:pPr>
      <w:bookmarkStart w:id="31" w:name="_Toc7013"/>
      <w:bookmarkStart w:id="32" w:name="_Toc92404322"/>
      <w:bookmarkStart w:id="33" w:name="_Toc92404330"/>
      <w:r>
        <w:rPr>
          <w:rFonts w:hint="eastAsia" w:ascii="仿宋_GB2312" w:hAnsi="仿宋_GB2312" w:eastAsia="仿宋_GB2312" w:cs="仿宋_GB2312"/>
          <w:b/>
          <w:bCs/>
          <w:sz w:val="32"/>
          <w:szCs w:val="32"/>
        </w:rPr>
        <w:t>3.2 农业空间生态问题</w:t>
      </w:r>
      <w:bookmarkEnd w:id="31"/>
    </w:p>
    <w:p w14:paraId="0881D512">
      <w:pPr>
        <w:spacing w:line="600" w:lineRule="exact"/>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农业空间</w:t>
      </w:r>
      <w:r>
        <w:rPr>
          <w:rFonts w:hint="eastAsia" w:ascii="仿宋_GB2312" w:hAnsi="仿宋_GB2312" w:eastAsia="仿宋_GB2312" w:cs="仿宋_GB2312"/>
          <w:sz w:val="32"/>
          <w:szCs w:val="32"/>
          <w:lang w:val="en-US" w:eastAsia="zh-CN"/>
        </w:rPr>
        <w:t>存在</w:t>
      </w:r>
      <w:r>
        <w:rPr>
          <w:rFonts w:hint="eastAsia" w:ascii="仿宋_GB2312" w:hAnsi="仿宋_GB2312" w:eastAsia="仿宋_GB2312" w:cs="仿宋_GB2312"/>
          <w:sz w:val="32"/>
          <w:szCs w:val="32"/>
        </w:rPr>
        <w:t>农业生产活动产生</w:t>
      </w:r>
      <w:r>
        <w:rPr>
          <w:rFonts w:hint="eastAsia" w:ascii="仿宋_GB2312" w:hAnsi="仿宋_GB2312" w:eastAsia="仿宋_GB2312" w:cs="仿宋_GB2312"/>
          <w:sz w:val="32"/>
          <w:szCs w:val="32"/>
          <w:lang w:val="en-US" w:eastAsia="zh-CN"/>
        </w:rPr>
        <w:t>污染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耕地质量一般</w:t>
      </w:r>
      <w:r>
        <w:rPr>
          <w:rFonts w:hint="eastAsia" w:ascii="仿宋_GB2312" w:hAnsi="仿宋_GB2312" w:eastAsia="仿宋_GB2312" w:cs="仿宋_GB2312"/>
          <w:sz w:val="32"/>
          <w:szCs w:val="32"/>
          <w:lang w:val="en-US" w:eastAsia="zh-CN"/>
        </w:rPr>
        <w:t>有提升空间，</w:t>
      </w:r>
      <w:r>
        <w:rPr>
          <w:rFonts w:hint="eastAsia" w:ascii="仿宋_GB2312" w:hAnsi="仿宋_GB2312" w:eastAsia="仿宋_GB2312" w:cs="仿宋_GB2312"/>
          <w:sz w:val="32"/>
          <w:szCs w:val="32"/>
        </w:rPr>
        <w:t>农村人居生态亟需改善</w:t>
      </w:r>
      <w:r>
        <w:rPr>
          <w:rFonts w:hint="eastAsia" w:ascii="仿宋_GB2312" w:hAnsi="仿宋_GB2312" w:eastAsia="仿宋_GB2312" w:cs="仿宋_GB2312"/>
          <w:sz w:val="32"/>
          <w:szCs w:val="32"/>
          <w:lang w:val="en-US" w:eastAsia="zh-CN"/>
        </w:rPr>
        <w:t>等生态问题</w:t>
      </w:r>
      <w:r>
        <w:rPr>
          <w:rFonts w:hint="eastAsia" w:ascii="仿宋_GB2312" w:hAnsi="仿宋_GB2312" w:eastAsia="仿宋_GB2312" w:cs="仿宋_GB2312"/>
          <w:sz w:val="32"/>
          <w:szCs w:val="32"/>
          <w:lang w:eastAsia="zh-CN"/>
        </w:rPr>
        <w:t>。</w:t>
      </w:r>
    </w:p>
    <w:p w14:paraId="61E62D7E">
      <w:pPr>
        <w:keepNext/>
        <w:keepLines/>
        <w:spacing w:line="600" w:lineRule="exact"/>
        <w:ind w:firstLine="643"/>
        <w:outlineLvl w:val="1"/>
        <w:rPr>
          <w:rFonts w:hint="eastAsia" w:ascii="仿宋_GB2312" w:hAnsi="仿宋_GB2312" w:eastAsia="仿宋_GB2312" w:cs="仿宋_GB2312"/>
          <w:b/>
          <w:bCs/>
          <w:sz w:val="32"/>
          <w:szCs w:val="32"/>
        </w:rPr>
      </w:pPr>
      <w:bookmarkStart w:id="34" w:name="_Toc4927"/>
      <w:r>
        <w:rPr>
          <w:rFonts w:hint="eastAsia" w:ascii="仿宋_GB2312" w:hAnsi="仿宋_GB2312" w:eastAsia="仿宋_GB2312" w:cs="仿宋_GB2312"/>
          <w:b/>
          <w:bCs/>
          <w:sz w:val="32"/>
          <w:szCs w:val="32"/>
        </w:rPr>
        <w:t>3.3 城镇空间生态问题</w:t>
      </w:r>
      <w:bookmarkEnd w:id="32"/>
      <w:bookmarkEnd w:id="33"/>
    </w:p>
    <w:p w14:paraId="50857A19">
      <w:pPr>
        <w:spacing w:line="600" w:lineRule="exact"/>
        <w:ind w:firstLine="640"/>
        <w:rPr>
          <w:rFonts w:hint="eastAsia" w:ascii="仿宋_GB2312" w:hAnsi="仿宋_GB2312" w:eastAsia="仿宋_GB2312" w:cs="仿宋_GB2312"/>
          <w:sz w:val="32"/>
          <w:szCs w:val="32"/>
          <w:lang w:eastAsia="zh-CN"/>
        </w:rPr>
      </w:pPr>
      <w:bookmarkStart w:id="35" w:name="_Toc92404324"/>
      <w:r>
        <w:rPr>
          <w:rFonts w:hint="eastAsia" w:ascii="仿宋_GB2312" w:hAnsi="仿宋_GB2312" w:eastAsia="仿宋_GB2312" w:cs="仿宋_GB2312"/>
          <w:sz w:val="32"/>
          <w:szCs w:val="32"/>
          <w:lang w:val="en-US" w:eastAsia="zh-CN"/>
        </w:rPr>
        <w:t>城镇空间存在</w:t>
      </w:r>
      <w:r>
        <w:rPr>
          <w:rFonts w:hint="eastAsia" w:ascii="仿宋_GB2312" w:hAnsi="仿宋_GB2312" w:eastAsia="仿宋_GB2312" w:cs="仿宋_GB2312"/>
          <w:sz w:val="32"/>
          <w:szCs w:val="32"/>
        </w:rPr>
        <w:t>建设用地挤压生态用地空间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城镇周边绿地减少</w:t>
      </w:r>
      <w:bookmarkEnd w:id="34"/>
      <w:r>
        <w:rPr>
          <w:rFonts w:hint="eastAsia" w:ascii="仿宋_GB2312" w:hAnsi="仿宋_GB2312" w:eastAsia="仿宋_GB2312" w:cs="仿宋_GB2312"/>
          <w:sz w:val="32"/>
          <w:szCs w:val="32"/>
          <w:lang w:eastAsia="zh-CN"/>
        </w:rPr>
        <w:t>，</w:t>
      </w:r>
      <w:bookmarkStart w:id="36" w:name="_Toc92404325"/>
      <w:r>
        <w:rPr>
          <w:rFonts w:hint="eastAsia" w:ascii="仿宋_GB2312" w:hAnsi="仿宋_GB2312" w:eastAsia="仿宋_GB2312" w:cs="仿宋_GB2312"/>
          <w:sz w:val="32"/>
          <w:szCs w:val="32"/>
        </w:rPr>
        <w:t>生态空间破碎加剧</w:t>
      </w:r>
      <w:r>
        <w:rPr>
          <w:rFonts w:hint="eastAsia" w:ascii="仿宋_GB2312" w:hAnsi="仿宋_GB2312" w:eastAsia="仿宋_GB2312" w:cs="仿宋_GB2312"/>
          <w:sz w:val="32"/>
          <w:szCs w:val="32"/>
          <w:lang w:eastAsia="zh-CN"/>
        </w:rPr>
        <w:t>，</w:t>
      </w:r>
      <w:bookmarkEnd w:id="35"/>
      <w:r>
        <w:rPr>
          <w:rFonts w:hint="eastAsia" w:ascii="仿宋_GB2312" w:hAnsi="仿宋_GB2312" w:eastAsia="仿宋_GB2312" w:cs="仿宋_GB2312"/>
          <w:sz w:val="32"/>
          <w:szCs w:val="32"/>
        </w:rPr>
        <w:t>城区河道防洪排涝能力不足</w:t>
      </w:r>
      <w:r>
        <w:rPr>
          <w:rFonts w:hint="eastAsia" w:ascii="仿宋_GB2312" w:hAnsi="仿宋_GB2312" w:eastAsia="仿宋_GB2312" w:cs="仿宋_GB2312"/>
          <w:sz w:val="32"/>
          <w:szCs w:val="32"/>
          <w:lang w:eastAsia="zh-CN"/>
        </w:rPr>
        <w:t>，</w:t>
      </w:r>
      <w:bookmarkStart w:id="37" w:name="_Toc92404328"/>
      <w:r>
        <w:rPr>
          <w:rFonts w:hint="eastAsia" w:ascii="仿宋_GB2312" w:hAnsi="仿宋_GB2312" w:eastAsia="仿宋_GB2312" w:cs="仿宋_GB2312"/>
          <w:sz w:val="32"/>
          <w:szCs w:val="32"/>
        </w:rPr>
        <w:t>排涝设施有待更新改造</w:t>
      </w:r>
      <w:r>
        <w:rPr>
          <w:rFonts w:hint="eastAsia" w:ascii="仿宋_GB2312" w:hAnsi="仿宋_GB2312" w:eastAsia="仿宋_GB2312" w:cs="仿宋_GB2312"/>
          <w:sz w:val="32"/>
          <w:szCs w:val="32"/>
          <w:lang w:eastAsia="zh-CN"/>
        </w:rPr>
        <w:t>，</w:t>
      </w:r>
      <w:bookmarkEnd w:id="36"/>
      <w:bookmarkStart w:id="38" w:name="_Toc92404329"/>
      <w:r>
        <w:rPr>
          <w:rFonts w:hint="eastAsia" w:ascii="仿宋_GB2312" w:hAnsi="仿宋_GB2312" w:eastAsia="仿宋_GB2312" w:cs="仿宋_GB2312"/>
          <w:sz w:val="32"/>
          <w:szCs w:val="32"/>
        </w:rPr>
        <w:t>人居环境有待改善</w:t>
      </w:r>
      <w:r>
        <w:rPr>
          <w:rFonts w:hint="eastAsia" w:ascii="仿宋_GB2312" w:hAnsi="仿宋_GB2312" w:eastAsia="仿宋_GB2312" w:cs="仿宋_GB2312"/>
          <w:sz w:val="32"/>
          <w:szCs w:val="32"/>
          <w:lang w:val="en-US" w:eastAsia="zh-CN"/>
        </w:rPr>
        <w:t>等问题</w:t>
      </w:r>
      <w:r>
        <w:rPr>
          <w:rFonts w:hint="eastAsia" w:ascii="仿宋_GB2312" w:hAnsi="仿宋_GB2312" w:eastAsia="仿宋_GB2312" w:cs="仿宋_GB2312"/>
          <w:sz w:val="32"/>
          <w:szCs w:val="32"/>
          <w:lang w:eastAsia="zh-CN"/>
        </w:rPr>
        <w:t>。</w:t>
      </w:r>
    </w:p>
    <w:p w14:paraId="314DDFFA">
      <w:pPr>
        <w:pStyle w:val="2"/>
        <w:rPr>
          <w:rFonts w:hint="eastAsia"/>
          <w:lang w:eastAsia="zh-CN"/>
        </w:rPr>
      </w:pPr>
    </w:p>
    <w:bookmarkEnd w:id="37"/>
    <w:p w14:paraId="3514EA43">
      <w:pPr>
        <w:spacing w:line="600" w:lineRule="exact"/>
        <w:jc w:val="center"/>
        <w:outlineLvl w:val="0"/>
        <w:rPr>
          <w:rFonts w:hint="eastAsia"/>
        </w:rPr>
      </w:pPr>
      <w:bookmarkStart w:id="39" w:name="_Toc32468"/>
      <w:r>
        <w:rPr>
          <w:rFonts w:hint="eastAsia" w:ascii="仿宋_GB2312" w:hAnsi="仿宋_GB2312" w:eastAsia="仿宋_GB2312" w:cs="仿宋_GB2312"/>
          <w:b/>
          <w:bCs/>
          <w:sz w:val="32"/>
          <w:szCs w:val="32"/>
        </w:rPr>
        <w:t>第四章 总体思路</w:t>
      </w:r>
      <w:bookmarkEnd w:id="38"/>
      <w:bookmarkEnd w:id="39"/>
    </w:p>
    <w:p w14:paraId="38D776A4">
      <w:pPr>
        <w:pStyle w:val="185"/>
        <w:spacing w:before="0" w:after="0" w:line="600" w:lineRule="exact"/>
        <w:ind w:firstLine="643"/>
        <w:rPr>
          <w:rFonts w:hint="eastAsia" w:ascii="仿宋_GB2312" w:hAnsi="仿宋_GB2312" w:eastAsia="仿宋_GB2312" w:cs="仿宋_GB2312"/>
        </w:rPr>
      </w:pPr>
      <w:bookmarkStart w:id="40" w:name="_Toc89531070"/>
      <w:bookmarkStart w:id="41" w:name="_Toc17816"/>
      <w:bookmarkStart w:id="42" w:name="_Toc92404331"/>
      <w:r>
        <w:rPr>
          <w:rFonts w:hint="eastAsia" w:ascii="仿宋_GB2312" w:hAnsi="仿宋_GB2312" w:eastAsia="仿宋_GB2312" w:cs="仿宋_GB2312"/>
        </w:rPr>
        <w:t>4.1 指导思想</w:t>
      </w:r>
      <w:bookmarkEnd w:id="40"/>
      <w:bookmarkEnd w:id="41"/>
      <w:bookmarkEnd w:id="42"/>
    </w:p>
    <w:p w14:paraId="112599C5">
      <w:pPr>
        <w:widowControl/>
        <w:ind w:firstLine="640"/>
        <w:rPr>
          <w:rFonts w:hint="eastAsia" w:ascii="仿宋_GB2312" w:hAnsi="仿宋_GB2312" w:eastAsia="仿宋_GB2312" w:cs="仿宋_GB2312"/>
          <w:sz w:val="32"/>
          <w:szCs w:val="32"/>
        </w:rPr>
      </w:pPr>
      <w:bookmarkStart w:id="43" w:name="_Toc92404332"/>
      <w:bookmarkStart w:id="44" w:name="_Toc89531071"/>
      <w:r>
        <w:rPr>
          <w:rFonts w:hint="eastAsia" w:ascii="仿宋_GB2312" w:hAnsi="仿宋_GB2312" w:eastAsia="仿宋_GB2312" w:cs="仿宋_GB2312"/>
          <w:sz w:val="32"/>
          <w:szCs w:val="32"/>
        </w:rPr>
        <w:t>以习近平新时代中国特色社会主义思想为指导，全面贯彻落实党的十九大和十九届二中、三中、四中、五中、六中全会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以及二十大</w:t>
      </w:r>
      <w:r>
        <w:rPr>
          <w:rFonts w:hint="eastAsia" w:ascii="仿宋_GB2312" w:hAnsi="仿宋_GB2312" w:eastAsia="仿宋_GB2312" w:cs="仿宋_GB2312"/>
          <w:sz w:val="32"/>
          <w:szCs w:val="32"/>
        </w:rPr>
        <w:t>精神，深入贯彻习近平生态文明思想和在长江经济带发展座谈会上的系列讲话精神，紧紧围绕统筹推进“五位一体”总体布局和协调推进“四个全面”战略布局，牢固树立“绿水青山就是金山银山”、“人与自然和谐共生，山水林田湖草是一个生命共同体”的新理念。坚持以人民为中心，牢固树立新发展理念，加速融入长江经济带、汉江生态经济带、淮河生态经济带、大别山革命老区振兴发展等战略大局，落实省委、省政府重大战略部署，着眼长远，把握大势，找准定位。</w:t>
      </w:r>
    </w:p>
    <w:p w14:paraId="3A19F816">
      <w:pPr>
        <w:pStyle w:val="185"/>
        <w:spacing w:before="0" w:after="0" w:line="600" w:lineRule="exact"/>
        <w:ind w:firstLine="643"/>
        <w:rPr>
          <w:rFonts w:hint="eastAsia" w:ascii="仿宋_GB2312" w:hAnsi="仿宋_GB2312" w:eastAsia="仿宋_GB2312" w:cs="仿宋_GB2312"/>
        </w:rPr>
      </w:pPr>
      <w:bookmarkStart w:id="45" w:name="_Toc3058"/>
      <w:r>
        <w:rPr>
          <w:rFonts w:hint="eastAsia" w:ascii="仿宋_GB2312" w:hAnsi="仿宋_GB2312" w:eastAsia="仿宋_GB2312" w:cs="仿宋_GB2312"/>
        </w:rPr>
        <w:t>4.2 基本原则</w:t>
      </w:r>
      <w:bookmarkEnd w:id="43"/>
      <w:bookmarkEnd w:id="44"/>
      <w:bookmarkEnd w:id="45"/>
    </w:p>
    <w:p w14:paraId="58BAE52E">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战略引领，科学编制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问题导向，因地制宜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统筹协调，加强衔接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充分论证，公众参与。</w:t>
      </w:r>
    </w:p>
    <w:p w14:paraId="14802A1B">
      <w:pPr>
        <w:pStyle w:val="185"/>
        <w:spacing w:before="0" w:after="0" w:line="600" w:lineRule="exact"/>
        <w:ind w:firstLine="643"/>
        <w:rPr>
          <w:rFonts w:ascii="仿宋_GB2312" w:hAnsi="仿宋_GB2312" w:eastAsia="仿宋_GB2312" w:cs="仿宋_GB2312"/>
        </w:rPr>
      </w:pPr>
      <w:bookmarkStart w:id="46" w:name="_Toc872"/>
      <w:bookmarkStart w:id="47" w:name="_Toc89531072"/>
      <w:bookmarkStart w:id="48" w:name="_Toc92404333"/>
      <w:r>
        <w:rPr>
          <w:rFonts w:hint="eastAsia" w:ascii="仿宋_GB2312" w:hAnsi="仿宋_GB2312" w:eastAsia="仿宋_GB2312" w:cs="仿宋_GB2312"/>
        </w:rPr>
        <w:t>4.3 规划目标</w:t>
      </w:r>
      <w:bookmarkEnd w:id="46"/>
      <w:bookmarkEnd w:id="47"/>
      <w:bookmarkEnd w:id="48"/>
    </w:p>
    <w:p w14:paraId="26A4A29D">
      <w:pPr>
        <w:spacing w:line="600" w:lineRule="exact"/>
        <w:ind w:firstLine="643"/>
        <w:outlineLvl w:val="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总体目标</w:t>
      </w:r>
    </w:p>
    <w:p w14:paraId="6ABB4328">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基于国家和湖北省国土空间生态修复规划总体目标要求，结合随州市生态现状和国土空间生态修复战略定位，充分考虑随州市生态文明的阶段性任务以及对生态修复的现实需求，提出五个方面主要目标：修复重点更加突出，生态格局更加优化，生态环境更加优质，基础设施更加健全，治理能力更加完善。</w:t>
      </w:r>
    </w:p>
    <w:p w14:paraId="749CC44C">
      <w:pPr>
        <w:spacing w:line="600" w:lineRule="exact"/>
        <w:ind w:firstLine="643"/>
        <w:outlineLvl w:val="2"/>
        <w:rPr>
          <w:rFonts w:ascii="仿宋_GB2312" w:hAnsi="仿宋_GB2312" w:eastAsia="仿宋_GB2312" w:cs="仿宋_GB2312"/>
          <w:b/>
          <w:bCs/>
          <w:sz w:val="32"/>
          <w:szCs w:val="32"/>
        </w:rPr>
      </w:pPr>
      <w:bookmarkStart w:id="49" w:name="_Hlk57200437"/>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分期目标</w:t>
      </w:r>
    </w:p>
    <w:p w14:paraId="1C37CB7D">
      <w:pPr>
        <w:widowControl/>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到</w:t>
      </w:r>
      <w:r>
        <w:rPr>
          <w:rFonts w:ascii="仿宋_GB2312" w:hAnsi="仿宋_GB2312" w:eastAsia="仿宋_GB2312" w:cs="仿宋_GB2312"/>
          <w:sz w:val="32"/>
          <w:szCs w:val="32"/>
        </w:rPr>
        <w:t>2025年，通过推动实施一批生态保护修复重点工程，全</w:t>
      </w:r>
      <w:r>
        <w:rPr>
          <w:rFonts w:hint="eastAsia" w:ascii="仿宋_GB2312" w:hAnsi="仿宋_GB2312" w:eastAsia="仿宋_GB2312" w:cs="仿宋_GB2312"/>
          <w:sz w:val="32"/>
          <w:szCs w:val="32"/>
        </w:rPr>
        <w:t>市</w:t>
      </w:r>
      <w:r>
        <w:rPr>
          <w:rFonts w:ascii="仿宋_GB2312" w:hAnsi="仿宋_GB2312" w:eastAsia="仿宋_GB2312" w:cs="仿宋_GB2312"/>
          <w:sz w:val="32"/>
          <w:szCs w:val="32"/>
        </w:rPr>
        <w:t>森林覆盖率达到53.10%，森林蓄积量达到2800</w:t>
      </w:r>
      <w:r>
        <w:rPr>
          <w:rFonts w:hint="eastAsia" w:ascii="仿宋_GB2312" w:hAnsi="仿宋_GB2312" w:eastAsia="仿宋_GB2312" w:cs="仿宋_GB2312"/>
          <w:sz w:val="32"/>
          <w:szCs w:val="32"/>
        </w:rPr>
        <w:t>万</w:t>
      </w:r>
      <w:r>
        <w:rPr>
          <w:rFonts w:ascii="仿宋_GB2312" w:hAnsi="仿宋_GB2312" w:eastAsia="仿宋_GB2312" w:cs="仿宋_GB2312"/>
          <w:sz w:val="32"/>
          <w:szCs w:val="32"/>
        </w:rPr>
        <w:t>立方米，提升森林草地质量和生态服务功能</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综合治理水土流失面积279.57</w:t>
      </w:r>
      <w:r>
        <w:rPr>
          <w:rFonts w:hint="eastAsia" w:ascii="仿宋_GB2312" w:hAnsi="仿宋_GB2312" w:eastAsia="仿宋_GB2312" w:cs="仿宋_GB2312"/>
          <w:sz w:val="32"/>
          <w:szCs w:val="32"/>
        </w:rPr>
        <w:t>平方公里</w:t>
      </w:r>
      <w:r>
        <w:rPr>
          <w:rFonts w:ascii="仿宋_GB2312" w:hAnsi="仿宋_GB2312" w:eastAsia="仿宋_GB2312" w:cs="仿宋_GB2312"/>
          <w:sz w:val="32"/>
          <w:szCs w:val="32"/>
        </w:rPr>
        <w:t>，水土保持率达到84.06%</w:t>
      </w:r>
      <w:r>
        <w:rPr>
          <w:rFonts w:hint="eastAsia" w:ascii="仿宋_GB2312" w:hAnsi="仿宋_GB2312" w:eastAsia="仿宋_GB2312" w:cs="仿宋_GB2312"/>
          <w:sz w:val="32"/>
          <w:szCs w:val="32"/>
        </w:rPr>
        <w:t>；矿区生态功能和环境质量不断提升，废弃矿山有效治理，沉陷区生态修复取得阶段性成果，绿色矿山建设稳步推进；重要河流水库水功能区水质达标率达到国家考核要求</w:t>
      </w:r>
      <w:r>
        <w:rPr>
          <w:rFonts w:ascii="仿宋_GB2312" w:hAnsi="仿宋_GB2312" w:eastAsia="仿宋_GB2312" w:cs="仿宋_GB2312"/>
          <w:sz w:val="32"/>
          <w:szCs w:val="32"/>
        </w:rPr>
        <w:t>，生态质量指数保持良好</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国家重点保护野生动植物物种保护率达到88.00%。“</w:t>
      </w:r>
      <w:r>
        <w:rPr>
          <w:rFonts w:hint="eastAsia" w:ascii="仿宋_GB2312" w:hAnsi="仿宋_GB2312" w:eastAsia="仿宋_GB2312" w:cs="仿宋_GB2312"/>
          <w:sz w:val="32"/>
          <w:szCs w:val="32"/>
        </w:rPr>
        <w:t>两屏</w:t>
      </w:r>
      <w:r>
        <w:rPr>
          <w:rFonts w:ascii="仿宋_GB2312" w:hAnsi="仿宋_GB2312" w:eastAsia="仿宋_GB2312" w:cs="仿宋_GB2312"/>
          <w:sz w:val="32"/>
          <w:szCs w:val="32"/>
        </w:rPr>
        <w:t>”生态安全不断巩固，</w:t>
      </w:r>
      <w:r>
        <w:rPr>
          <w:rFonts w:hint="eastAsia" w:ascii="仿宋_GB2312" w:hAnsi="仿宋_GB2312" w:eastAsia="仿宋_GB2312" w:cs="仿宋_GB2312"/>
          <w:sz w:val="32"/>
          <w:szCs w:val="32"/>
        </w:rPr>
        <w:t>自然生态空间和重要生态廊道得到整体保护；</w:t>
      </w:r>
      <w:r>
        <w:rPr>
          <w:rFonts w:ascii="仿宋_GB2312" w:hAnsi="仿宋_GB2312" w:eastAsia="仿宋_GB2312" w:cs="仿宋_GB2312"/>
          <w:sz w:val="32"/>
          <w:szCs w:val="32"/>
        </w:rPr>
        <w:t>森林、河</w:t>
      </w:r>
      <w:r>
        <w:rPr>
          <w:rFonts w:hint="eastAsia" w:ascii="仿宋_GB2312" w:hAnsi="仿宋_GB2312" w:eastAsia="仿宋_GB2312" w:cs="仿宋_GB2312"/>
          <w:sz w:val="32"/>
          <w:szCs w:val="32"/>
        </w:rPr>
        <w:t>流</w:t>
      </w:r>
      <w:r>
        <w:rPr>
          <w:rFonts w:ascii="仿宋_GB2312" w:hAnsi="仿宋_GB2312" w:eastAsia="仿宋_GB2312" w:cs="仿宋_GB2312"/>
          <w:sz w:val="32"/>
          <w:szCs w:val="32"/>
        </w:rPr>
        <w:t>、湿地等自然生态系统状况得到改善，生态服务功能整体提升。</w:t>
      </w:r>
      <w:r>
        <w:rPr>
          <w:rFonts w:hint="eastAsia" w:ascii="仿宋_GB2312" w:hAnsi="仿宋_GB2312" w:eastAsia="仿宋_GB2312" w:cs="仿宋_GB2312"/>
          <w:sz w:val="32"/>
          <w:szCs w:val="32"/>
        </w:rPr>
        <w:t>农业农村空间生态质量稳步提升，耕地质量逐步提升，土壤环境质量总体保持稳定，退化耕地逐步得到修复，农村人居生态环境持续提升。城镇空间生态品质不断提高，城市绿色转型发展成效显著，城镇生态网络系统逐步完善。</w:t>
      </w:r>
    </w:p>
    <w:p w14:paraId="415F8EA4">
      <w:pPr>
        <w:widowControl/>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到</w:t>
      </w:r>
      <w:r>
        <w:rPr>
          <w:rFonts w:ascii="仿宋_GB2312" w:hAnsi="仿宋_GB2312" w:eastAsia="仿宋_GB2312" w:cs="仿宋_GB2312"/>
          <w:sz w:val="32"/>
          <w:szCs w:val="32"/>
        </w:rPr>
        <w:t>2030</w:t>
      </w:r>
      <w:r>
        <w:rPr>
          <w:rFonts w:hint="eastAsia" w:ascii="仿宋_GB2312" w:hAnsi="仿宋_GB2312" w:eastAsia="仿宋_GB2312" w:cs="仿宋_GB2312"/>
          <w:sz w:val="32"/>
          <w:szCs w:val="32"/>
        </w:rPr>
        <w:t>年，生态系统调查评估监督机制不断健全，生态保护修复协调机制不断完善，重点江河流域水生生物栖息地健康稳定，城市韧性大幅增强，城乡人居环境品质持续提高，生态保护修复重大工程生态、社会和经济效益有效显现，生态系统固碳能力持续增强，生态产品供给能力显著提升，生态、优质、美丽的国土空间逐步呈现。</w:t>
      </w:r>
    </w:p>
    <w:p w14:paraId="79AF4F9A">
      <w:pPr>
        <w:widowControl/>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到</w:t>
      </w:r>
      <w:r>
        <w:rPr>
          <w:rFonts w:ascii="仿宋_GB2312" w:hAnsi="仿宋_GB2312" w:eastAsia="仿宋_GB2312" w:cs="仿宋_GB2312"/>
          <w:sz w:val="32"/>
          <w:szCs w:val="32"/>
        </w:rPr>
        <w:t>2035年，各项国土空间生态保护修复工程全面实施。全</w:t>
      </w:r>
      <w:r>
        <w:rPr>
          <w:rFonts w:hint="eastAsia" w:ascii="仿宋_GB2312" w:hAnsi="仿宋_GB2312" w:eastAsia="仿宋_GB2312" w:cs="仿宋_GB2312"/>
          <w:sz w:val="32"/>
          <w:szCs w:val="32"/>
        </w:rPr>
        <w:t>市</w:t>
      </w:r>
      <w:r>
        <w:rPr>
          <w:rFonts w:ascii="仿宋_GB2312" w:hAnsi="仿宋_GB2312" w:eastAsia="仿宋_GB2312" w:cs="仿宋_GB2312"/>
          <w:sz w:val="32"/>
          <w:szCs w:val="32"/>
        </w:rPr>
        <w:t>森林、草地、河</w:t>
      </w:r>
      <w:r>
        <w:rPr>
          <w:rFonts w:hint="eastAsia" w:ascii="仿宋_GB2312" w:hAnsi="仿宋_GB2312" w:eastAsia="仿宋_GB2312" w:cs="仿宋_GB2312"/>
          <w:sz w:val="32"/>
          <w:szCs w:val="32"/>
        </w:rPr>
        <w:t>流</w:t>
      </w:r>
      <w:r>
        <w:rPr>
          <w:rFonts w:ascii="仿宋_GB2312" w:hAnsi="仿宋_GB2312" w:eastAsia="仿宋_GB2312" w:cs="仿宋_GB2312"/>
          <w:sz w:val="32"/>
          <w:szCs w:val="32"/>
        </w:rPr>
        <w:t>、湿地等自然生态系统状况实现持续向好，“三生”空间持续优化，生态系统质量明显改善，生态服务功能显著提高，生态系统稳定性明显增强，生态廊道保持畅通，自然生态系统基本实现良性循环，全</w:t>
      </w:r>
      <w:r>
        <w:rPr>
          <w:rFonts w:hint="eastAsia" w:ascii="仿宋_GB2312" w:hAnsi="仿宋_GB2312" w:eastAsia="仿宋_GB2312" w:cs="仿宋_GB2312"/>
          <w:sz w:val="32"/>
          <w:szCs w:val="32"/>
        </w:rPr>
        <w:t>市</w:t>
      </w:r>
      <w:r>
        <w:rPr>
          <w:rFonts w:ascii="仿宋_GB2312" w:hAnsi="仿宋_GB2312" w:eastAsia="仿宋_GB2312" w:cs="仿宋_GB2312"/>
          <w:sz w:val="32"/>
          <w:szCs w:val="32"/>
        </w:rPr>
        <w:t>生态安全屏障体系基本建成，优质生态产品供给能力基本满足人民群众需求，生态产业良性发展，</w:t>
      </w:r>
      <w:r>
        <w:rPr>
          <w:rFonts w:hint="eastAsia" w:ascii="仿宋_GB2312" w:hAnsi="仿宋_GB2312" w:eastAsia="仿宋_GB2312" w:cs="仿宋_GB2312"/>
          <w:sz w:val="32"/>
          <w:szCs w:val="32"/>
        </w:rPr>
        <w:t>城乡一体的生态网络基本建成</w:t>
      </w:r>
      <w:r>
        <w:rPr>
          <w:rFonts w:ascii="仿宋_GB2312" w:hAnsi="仿宋_GB2312" w:eastAsia="仿宋_GB2312" w:cs="仿宋_GB2312"/>
          <w:sz w:val="32"/>
          <w:szCs w:val="32"/>
        </w:rPr>
        <w:t>。</w:t>
      </w:r>
    </w:p>
    <w:bookmarkEnd w:id="49"/>
    <w:p w14:paraId="058484DE">
      <w:pPr>
        <w:pStyle w:val="185"/>
        <w:spacing w:before="0" w:after="0" w:line="600" w:lineRule="exact"/>
        <w:rPr>
          <w:rFonts w:hint="eastAsia" w:ascii="仿宋_GB2312" w:hAnsi="仿宋_GB2312" w:eastAsia="仿宋_GB2312" w:cs="仿宋_GB2312"/>
        </w:rPr>
      </w:pPr>
      <w:bookmarkStart w:id="50" w:name="_Toc92404334"/>
      <w:bookmarkStart w:id="51" w:name="_Toc89531073"/>
      <w:bookmarkStart w:id="52" w:name="_Toc11816"/>
      <w:r>
        <w:rPr>
          <w:rFonts w:hint="eastAsia" w:ascii="仿宋_GB2312" w:hAnsi="仿宋_GB2312" w:eastAsia="仿宋_GB2312" w:cs="仿宋_GB2312"/>
        </w:rPr>
        <w:t>4.4 主要指标</w:t>
      </w:r>
      <w:bookmarkEnd w:id="50"/>
      <w:bookmarkEnd w:id="51"/>
      <w:bookmarkEnd w:id="52"/>
    </w:p>
    <w:p w14:paraId="5AD282F4">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围绕党的十九届五中全会关于生态文明建设到2035年的新目标，立足落实国家重大战略部署和相关规划任务安排，从随州市市情出发，结合市域生态修复需求，以山水林田湖草沙一体化保护修复为主线促进安全、优质、美丽国土构建，分别提出到2025年、2030年、2035年分阶段国土空间生态修复目标</w:t>
      </w:r>
      <w:bookmarkStart w:id="53" w:name="_Toc92404337"/>
      <w:r>
        <w:rPr>
          <w:rFonts w:hint="eastAsia" w:ascii="仿宋_GB2312" w:hAnsi="仿宋_GB2312" w:eastAsia="仿宋_GB2312" w:cs="仿宋_GB2312"/>
          <w:sz w:val="32"/>
          <w:szCs w:val="32"/>
        </w:rPr>
        <w:t>。</w:t>
      </w:r>
    </w:p>
    <w:p w14:paraId="44E6DB5D">
      <w:pPr>
        <w:spacing w:line="600" w:lineRule="exact"/>
        <w:ind w:firstLine="64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表4-1：生态保护与修复目标表</w:t>
      </w:r>
    </w:p>
    <w:tbl>
      <w:tblPr>
        <w:tblStyle w:val="30"/>
        <w:tblW w:w="90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4"/>
        <w:gridCol w:w="456"/>
        <w:gridCol w:w="2159"/>
        <w:gridCol w:w="1128"/>
        <w:gridCol w:w="984"/>
        <w:gridCol w:w="984"/>
        <w:gridCol w:w="1008"/>
        <w:gridCol w:w="816"/>
        <w:gridCol w:w="1006"/>
      </w:tblGrid>
      <w:tr w14:paraId="57B49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504" w:type="dxa"/>
            <w:noWrap w:val="0"/>
            <w:vAlign w:val="center"/>
          </w:tcPr>
          <w:p w14:paraId="37D9555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456" w:type="dxa"/>
            <w:noWrap w:val="0"/>
            <w:vAlign w:val="center"/>
          </w:tcPr>
          <w:p w14:paraId="5BFBB4A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类型</w:t>
            </w:r>
          </w:p>
        </w:tc>
        <w:tc>
          <w:tcPr>
            <w:tcW w:w="2159" w:type="dxa"/>
            <w:noWrap w:val="0"/>
            <w:vAlign w:val="center"/>
          </w:tcPr>
          <w:p w14:paraId="2C4E9B3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指标名称</w:t>
            </w:r>
          </w:p>
        </w:tc>
        <w:tc>
          <w:tcPr>
            <w:tcW w:w="1128" w:type="dxa"/>
            <w:noWrap w:val="0"/>
            <w:vAlign w:val="center"/>
          </w:tcPr>
          <w:p w14:paraId="3E3E7A5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2020年现状</w:t>
            </w:r>
          </w:p>
        </w:tc>
        <w:tc>
          <w:tcPr>
            <w:tcW w:w="984" w:type="dxa"/>
            <w:noWrap w:val="0"/>
            <w:vAlign w:val="center"/>
          </w:tcPr>
          <w:p w14:paraId="10A6A95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2025年目标值</w:t>
            </w:r>
          </w:p>
        </w:tc>
        <w:tc>
          <w:tcPr>
            <w:tcW w:w="984" w:type="dxa"/>
            <w:noWrap w:val="0"/>
            <w:vAlign w:val="center"/>
          </w:tcPr>
          <w:p w14:paraId="0BCA5FB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2030年目标值</w:t>
            </w:r>
          </w:p>
        </w:tc>
        <w:tc>
          <w:tcPr>
            <w:tcW w:w="1008" w:type="dxa"/>
            <w:noWrap w:val="0"/>
            <w:vAlign w:val="center"/>
          </w:tcPr>
          <w:p w14:paraId="2F95D016">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2035年目标值</w:t>
            </w:r>
          </w:p>
        </w:tc>
        <w:tc>
          <w:tcPr>
            <w:tcW w:w="816" w:type="dxa"/>
            <w:noWrap w:val="0"/>
            <w:vAlign w:val="center"/>
          </w:tcPr>
          <w:p w14:paraId="2F9E9C3C">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单位</w:t>
            </w:r>
          </w:p>
        </w:tc>
        <w:tc>
          <w:tcPr>
            <w:tcW w:w="1006" w:type="dxa"/>
            <w:noWrap w:val="0"/>
            <w:vAlign w:val="center"/>
          </w:tcPr>
          <w:p w14:paraId="7F6F2CFE">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备注</w:t>
            </w:r>
          </w:p>
        </w:tc>
      </w:tr>
      <w:tr w14:paraId="39029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9" w:hRule="exact"/>
          <w:jc w:val="center"/>
        </w:trPr>
        <w:tc>
          <w:tcPr>
            <w:tcW w:w="504" w:type="dxa"/>
            <w:noWrap w:val="0"/>
            <w:vAlign w:val="center"/>
          </w:tcPr>
          <w:p w14:paraId="6218785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456" w:type="dxa"/>
            <w:vMerge w:val="restart"/>
            <w:noWrap w:val="0"/>
            <w:vAlign w:val="center"/>
          </w:tcPr>
          <w:p w14:paraId="2411842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生态质量类</w:t>
            </w:r>
          </w:p>
        </w:tc>
        <w:tc>
          <w:tcPr>
            <w:tcW w:w="2159" w:type="dxa"/>
            <w:noWrap w:val="0"/>
            <w:vAlign w:val="center"/>
          </w:tcPr>
          <w:p w14:paraId="40C7879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生物多样性（国家重点保护物种及特有物种有效保护率）</w:t>
            </w:r>
          </w:p>
        </w:tc>
        <w:tc>
          <w:tcPr>
            <w:tcW w:w="1128" w:type="dxa"/>
            <w:noWrap w:val="0"/>
            <w:vAlign w:val="center"/>
          </w:tcPr>
          <w:p w14:paraId="6ED0EC79">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w:t>
            </w:r>
            <w:r>
              <w:rPr>
                <w:rFonts w:ascii="仿宋_GB2312" w:hAnsi="仿宋_GB2312" w:eastAsia="仿宋_GB2312" w:cs="仿宋_GB2312"/>
                <w:sz w:val="24"/>
                <w:szCs w:val="24"/>
              </w:rPr>
              <w:t>5.00</w:t>
            </w:r>
          </w:p>
        </w:tc>
        <w:tc>
          <w:tcPr>
            <w:tcW w:w="984" w:type="dxa"/>
            <w:noWrap w:val="0"/>
            <w:vAlign w:val="center"/>
          </w:tcPr>
          <w:p w14:paraId="53A0AE7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w:t>
            </w:r>
            <w:r>
              <w:rPr>
                <w:rFonts w:ascii="仿宋_GB2312" w:hAnsi="仿宋_GB2312" w:eastAsia="仿宋_GB2312" w:cs="仿宋_GB2312"/>
                <w:sz w:val="24"/>
                <w:szCs w:val="24"/>
              </w:rPr>
              <w:t>8.00</w:t>
            </w:r>
          </w:p>
        </w:tc>
        <w:tc>
          <w:tcPr>
            <w:tcW w:w="984" w:type="dxa"/>
            <w:noWrap w:val="0"/>
            <w:vAlign w:val="center"/>
          </w:tcPr>
          <w:p w14:paraId="2D067D55">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w:t>
            </w:r>
            <w:r>
              <w:rPr>
                <w:rFonts w:ascii="仿宋_GB2312" w:hAnsi="仿宋_GB2312" w:eastAsia="仿宋_GB2312" w:cs="仿宋_GB2312"/>
                <w:sz w:val="24"/>
                <w:szCs w:val="24"/>
              </w:rPr>
              <w:t>0.00</w:t>
            </w:r>
          </w:p>
        </w:tc>
        <w:tc>
          <w:tcPr>
            <w:tcW w:w="1008" w:type="dxa"/>
            <w:noWrap w:val="0"/>
            <w:vAlign w:val="center"/>
          </w:tcPr>
          <w:p w14:paraId="4BCBDF8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w:t>
            </w:r>
            <w:r>
              <w:rPr>
                <w:rFonts w:ascii="仿宋_GB2312" w:hAnsi="仿宋_GB2312" w:eastAsia="仿宋_GB2312" w:cs="仿宋_GB2312"/>
                <w:sz w:val="24"/>
                <w:szCs w:val="24"/>
              </w:rPr>
              <w:t>5.00</w:t>
            </w:r>
          </w:p>
        </w:tc>
        <w:tc>
          <w:tcPr>
            <w:tcW w:w="816" w:type="dxa"/>
            <w:noWrap w:val="0"/>
            <w:vAlign w:val="center"/>
          </w:tcPr>
          <w:p w14:paraId="70CD558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1006" w:type="dxa"/>
            <w:noWrap w:val="0"/>
            <w:vAlign w:val="center"/>
          </w:tcPr>
          <w:p w14:paraId="0306851B">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tr w14:paraId="66A0C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504" w:type="dxa"/>
            <w:noWrap w:val="0"/>
            <w:vAlign w:val="center"/>
          </w:tcPr>
          <w:p w14:paraId="5801D83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456" w:type="dxa"/>
            <w:vMerge w:val="continue"/>
            <w:noWrap w:val="0"/>
            <w:vAlign w:val="center"/>
          </w:tcPr>
          <w:p w14:paraId="5AE512BC">
            <w:pPr>
              <w:spacing w:line="600" w:lineRule="exact"/>
              <w:ind w:firstLine="480"/>
              <w:jc w:val="center"/>
              <w:rPr>
                <w:rFonts w:hint="eastAsia" w:ascii="仿宋_GB2312" w:hAnsi="仿宋_GB2312" w:eastAsia="仿宋_GB2312" w:cs="仿宋_GB2312"/>
                <w:sz w:val="24"/>
                <w:szCs w:val="24"/>
              </w:rPr>
            </w:pPr>
          </w:p>
        </w:tc>
        <w:tc>
          <w:tcPr>
            <w:tcW w:w="2159" w:type="dxa"/>
            <w:noWrap w:val="0"/>
            <w:vAlign w:val="center"/>
          </w:tcPr>
          <w:p w14:paraId="40E4147C">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森林覆盖率</w:t>
            </w:r>
          </w:p>
        </w:tc>
        <w:tc>
          <w:tcPr>
            <w:tcW w:w="1128" w:type="dxa"/>
            <w:noWrap w:val="0"/>
            <w:vAlign w:val="center"/>
          </w:tcPr>
          <w:p w14:paraId="461B907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52.92</w:t>
            </w:r>
          </w:p>
        </w:tc>
        <w:tc>
          <w:tcPr>
            <w:tcW w:w="984" w:type="dxa"/>
            <w:noWrap w:val="0"/>
            <w:vAlign w:val="center"/>
          </w:tcPr>
          <w:p w14:paraId="2DE1C6E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53.</w:t>
            </w:r>
            <w:r>
              <w:rPr>
                <w:rFonts w:ascii="仿宋_GB2312" w:hAnsi="仿宋_GB2312" w:eastAsia="仿宋_GB2312" w:cs="仿宋_GB2312"/>
                <w:sz w:val="24"/>
                <w:szCs w:val="24"/>
              </w:rPr>
              <w:t>1</w:t>
            </w:r>
            <w:r>
              <w:rPr>
                <w:rFonts w:hint="eastAsia" w:ascii="仿宋_GB2312" w:hAnsi="仿宋_GB2312" w:eastAsia="仿宋_GB2312" w:cs="仿宋_GB2312"/>
                <w:sz w:val="24"/>
                <w:szCs w:val="24"/>
              </w:rPr>
              <w:t>0</w:t>
            </w:r>
          </w:p>
        </w:tc>
        <w:tc>
          <w:tcPr>
            <w:tcW w:w="984" w:type="dxa"/>
            <w:noWrap w:val="0"/>
            <w:vAlign w:val="center"/>
          </w:tcPr>
          <w:p w14:paraId="7A6EFAB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r>
              <w:rPr>
                <w:rFonts w:ascii="仿宋_GB2312" w:hAnsi="仿宋_GB2312" w:eastAsia="仿宋_GB2312" w:cs="仿宋_GB2312"/>
                <w:sz w:val="24"/>
                <w:szCs w:val="24"/>
              </w:rPr>
              <w:t>3</w:t>
            </w:r>
            <w:r>
              <w:rPr>
                <w:rFonts w:hint="eastAsia" w:ascii="仿宋_GB2312" w:hAnsi="仿宋_GB2312" w:eastAsia="仿宋_GB2312" w:cs="仿宋_GB2312"/>
                <w:sz w:val="24"/>
                <w:szCs w:val="24"/>
              </w:rPr>
              <w:t>.</w:t>
            </w:r>
            <w:r>
              <w:rPr>
                <w:rFonts w:ascii="仿宋_GB2312" w:hAnsi="仿宋_GB2312" w:eastAsia="仿宋_GB2312" w:cs="仿宋_GB2312"/>
                <w:sz w:val="24"/>
                <w:szCs w:val="24"/>
              </w:rPr>
              <w:t>4</w:t>
            </w:r>
            <w:r>
              <w:rPr>
                <w:rFonts w:hint="eastAsia" w:ascii="仿宋_GB2312" w:hAnsi="仿宋_GB2312" w:eastAsia="仿宋_GB2312" w:cs="仿宋_GB2312"/>
                <w:sz w:val="24"/>
                <w:szCs w:val="24"/>
              </w:rPr>
              <w:t>0</w:t>
            </w:r>
          </w:p>
        </w:tc>
        <w:tc>
          <w:tcPr>
            <w:tcW w:w="1008" w:type="dxa"/>
            <w:noWrap w:val="0"/>
            <w:vAlign w:val="center"/>
          </w:tcPr>
          <w:p w14:paraId="043795E3">
            <w:pPr>
              <w:spacing w:line="600" w:lineRule="exact"/>
              <w:rPr>
                <w:rFonts w:hint="eastAsia" w:ascii="仿宋_GB2312" w:hAnsi="仿宋_GB2312" w:eastAsia="仿宋_GB2312" w:cs="仿宋_GB2312"/>
                <w:sz w:val="24"/>
                <w:szCs w:val="24"/>
              </w:rPr>
            </w:pPr>
            <w:r>
              <w:rPr>
                <w:rFonts w:ascii="仿宋_GB2312" w:hAnsi="仿宋_GB2312" w:eastAsia="仿宋_GB2312" w:cs="仿宋_GB2312"/>
                <w:sz w:val="24"/>
                <w:szCs w:val="24"/>
              </w:rPr>
              <w:t>53.70</w:t>
            </w:r>
          </w:p>
        </w:tc>
        <w:tc>
          <w:tcPr>
            <w:tcW w:w="816" w:type="dxa"/>
            <w:noWrap w:val="0"/>
            <w:vAlign w:val="center"/>
          </w:tcPr>
          <w:p w14:paraId="5D3C966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1006" w:type="dxa"/>
            <w:noWrap w:val="0"/>
            <w:vAlign w:val="center"/>
          </w:tcPr>
          <w:p w14:paraId="575D49A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tr w14:paraId="11F78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exact"/>
          <w:jc w:val="center"/>
        </w:trPr>
        <w:tc>
          <w:tcPr>
            <w:tcW w:w="504" w:type="dxa"/>
            <w:noWrap w:val="0"/>
            <w:vAlign w:val="center"/>
          </w:tcPr>
          <w:p w14:paraId="6C87AAE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456" w:type="dxa"/>
            <w:vMerge w:val="continue"/>
            <w:noWrap w:val="0"/>
            <w:vAlign w:val="center"/>
          </w:tcPr>
          <w:p w14:paraId="469671E6">
            <w:pPr>
              <w:spacing w:line="600" w:lineRule="exact"/>
              <w:ind w:firstLine="480"/>
              <w:jc w:val="center"/>
              <w:rPr>
                <w:rFonts w:hint="eastAsia" w:ascii="仿宋_GB2312" w:hAnsi="仿宋_GB2312" w:eastAsia="仿宋_GB2312" w:cs="仿宋_GB2312"/>
                <w:sz w:val="24"/>
                <w:szCs w:val="24"/>
              </w:rPr>
            </w:pPr>
          </w:p>
        </w:tc>
        <w:tc>
          <w:tcPr>
            <w:tcW w:w="2159" w:type="dxa"/>
            <w:noWrap w:val="0"/>
            <w:vAlign w:val="center"/>
          </w:tcPr>
          <w:p w14:paraId="7D09A9E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森林蓄积量</w:t>
            </w:r>
          </w:p>
        </w:tc>
        <w:tc>
          <w:tcPr>
            <w:tcW w:w="1128" w:type="dxa"/>
            <w:noWrap w:val="0"/>
            <w:vAlign w:val="center"/>
          </w:tcPr>
          <w:p w14:paraId="5AE94C79">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2460.27</w:t>
            </w:r>
          </w:p>
        </w:tc>
        <w:tc>
          <w:tcPr>
            <w:tcW w:w="984" w:type="dxa"/>
            <w:noWrap w:val="0"/>
            <w:vAlign w:val="center"/>
          </w:tcPr>
          <w:p w14:paraId="638C256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2800</w:t>
            </w:r>
          </w:p>
        </w:tc>
        <w:tc>
          <w:tcPr>
            <w:tcW w:w="984" w:type="dxa"/>
            <w:noWrap w:val="0"/>
            <w:vAlign w:val="center"/>
          </w:tcPr>
          <w:p w14:paraId="00C5D7D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3143</w:t>
            </w:r>
          </w:p>
        </w:tc>
        <w:tc>
          <w:tcPr>
            <w:tcW w:w="1008" w:type="dxa"/>
            <w:noWrap w:val="0"/>
            <w:vAlign w:val="center"/>
          </w:tcPr>
          <w:p w14:paraId="5063642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3428</w:t>
            </w:r>
          </w:p>
        </w:tc>
        <w:tc>
          <w:tcPr>
            <w:tcW w:w="816" w:type="dxa"/>
            <w:noWrap w:val="0"/>
            <w:vAlign w:val="center"/>
          </w:tcPr>
          <w:p w14:paraId="59DE7CB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万立方米</w:t>
            </w:r>
          </w:p>
        </w:tc>
        <w:tc>
          <w:tcPr>
            <w:tcW w:w="1006" w:type="dxa"/>
            <w:noWrap w:val="0"/>
            <w:vAlign w:val="center"/>
          </w:tcPr>
          <w:p w14:paraId="1005340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tr w14:paraId="67200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1" w:hRule="exact"/>
          <w:jc w:val="center"/>
        </w:trPr>
        <w:tc>
          <w:tcPr>
            <w:tcW w:w="504" w:type="dxa"/>
            <w:noWrap w:val="0"/>
            <w:vAlign w:val="center"/>
          </w:tcPr>
          <w:p w14:paraId="75B09F3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456" w:type="dxa"/>
            <w:vMerge w:val="continue"/>
            <w:noWrap w:val="0"/>
            <w:vAlign w:val="center"/>
          </w:tcPr>
          <w:p w14:paraId="7C3CAF81">
            <w:pPr>
              <w:spacing w:line="600" w:lineRule="exact"/>
              <w:ind w:firstLine="480"/>
              <w:jc w:val="center"/>
              <w:rPr>
                <w:rFonts w:hint="eastAsia" w:ascii="仿宋_GB2312" w:hAnsi="仿宋_GB2312" w:eastAsia="仿宋_GB2312" w:cs="仿宋_GB2312"/>
                <w:sz w:val="24"/>
                <w:szCs w:val="24"/>
              </w:rPr>
            </w:pPr>
          </w:p>
        </w:tc>
        <w:tc>
          <w:tcPr>
            <w:tcW w:w="2159" w:type="dxa"/>
            <w:noWrap w:val="0"/>
            <w:vAlign w:val="center"/>
          </w:tcPr>
          <w:p w14:paraId="7488A3F5">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湿地保护率</w:t>
            </w:r>
          </w:p>
        </w:tc>
        <w:tc>
          <w:tcPr>
            <w:tcW w:w="1128" w:type="dxa"/>
            <w:noWrap w:val="0"/>
            <w:vAlign w:val="center"/>
          </w:tcPr>
          <w:p w14:paraId="6A0F8943">
            <w:pPr>
              <w:tabs>
                <w:tab w:val="center" w:pos="522"/>
              </w:tabs>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57.96</w:t>
            </w:r>
          </w:p>
        </w:tc>
        <w:tc>
          <w:tcPr>
            <w:tcW w:w="984" w:type="dxa"/>
            <w:noWrap w:val="0"/>
            <w:vAlign w:val="center"/>
          </w:tcPr>
          <w:p w14:paraId="7FE303D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待省明确</w:t>
            </w:r>
          </w:p>
        </w:tc>
        <w:tc>
          <w:tcPr>
            <w:tcW w:w="984" w:type="dxa"/>
            <w:noWrap w:val="0"/>
            <w:vAlign w:val="center"/>
          </w:tcPr>
          <w:p w14:paraId="3E5A54A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待省明确</w:t>
            </w:r>
          </w:p>
        </w:tc>
        <w:tc>
          <w:tcPr>
            <w:tcW w:w="1008" w:type="dxa"/>
            <w:noWrap w:val="0"/>
            <w:vAlign w:val="center"/>
          </w:tcPr>
          <w:p w14:paraId="700FB046">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待省明确</w:t>
            </w:r>
          </w:p>
        </w:tc>
        <w:tc>
          <w:tcPr>
            <w:tcW w:w="816" w:type="dxa"/>
            <w:noWrap w:val="0"/>
            <w:vAlign w:val="center"/>
          </w:tcPr>
          <w:p w14:paraId="3117F65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1006" w:type="dxa"/>
            <w:noWrap w:val="0"/>
            <w:vAlign w:val="center"/>
          </w:tcPr>
          <w:p w14:paraId="6079007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tr w14:paraId="557D3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504" w:type="dxa"/>
            <w:noWrap w:val="0"/>
            <w:vAlign w:val="center"/>
          </w:tcPr>
          <w:p w14:paraId="674C723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456" w:type="dxa"/>
            <w:vMerge w:val="continue"/>
            <w:noWrap w:val="0"/>
            <w:vAlign w:val="center"/>
          </w:tcPr>
          <w:p w14:paraId="5E43E422">
            <w:pPr>
              <w:spacing w:line="600" w:lineRule="exact"/>
              <w:ind w:firstLine="480"/>
              <w:jc w:val="center"/>
              <w:rPr>
                <w:rFonts w:hint="eastAsia" w:ascii="仿宋_GB2312" w:hAnsi="仿宋_GB2312" w:eastAsia="仿宋_GB2312" w:cs="仿宋_GB2312"/>
                <w:sz w:val="24"/>
                <w:szCs w:val="24"/>
              </w:rPr>
            </w:pPr>
          </w:p>
        </w:tc>
        <w:tc>
          <w:tcPr>
            <w:tcW w:w="2159" w:type="dxa"/>
            <w:noWrap w:val="0"/>
            <w:vAlign w:val="center"/>
          </w:tcPr>
          <w:p w14:paraId="2B87FC6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生态保护红线</w:t>
            </w:r>
          </w:p>
        </w:tc>
        <w:tc>
          <w:tcPr>
            <w:tcW w:w="1128" w:type="dxa"/>
            <w:noWrap w:val="0"/>
            <w:vAlign w:val="center"/>
          </w:tcPr>
          <w:p w14:paraId="1F69F4C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65</w:t>
            </w:r>
            <w:r>
              <w:rPr>
                <w:rFonts w:ascii="仿宋_GB2312" w:hAnsi="仿宋_GB2312" w:eastAsia="仿宋_GB2312" w:cs="仿宋_GB2312"/>
                <w:sz w:val="24"/>
                <w:szCs w:val="24"/>
              </w:rPr>
              <w:t>1</w:t>
            </w:r>
            <w:r>
              <w:rPr>
                <w:rFonts w:hint="eastAsia" w:ascii="仿宋_GB2312" w:hAnsi="仿宋_GB2312" w:eastAsia="仿宋_GB2312" w:cs="仿宋_GB2312"/>
                <w:sz w:val="24"/>
                <w:szCs w:val="24"/>
              </w:rPr>
              <w:t>.1</w:t>
            </w:r>
            <w:r>
              <w:rPr>
                <w:rFonts w:ascii="仿宋_GB2312" w:hAnsi="仿宋_GB2312" w:eastAsia="仿宋_GB2312" w:cs="仿宋_GB2312"/>
                <w:sz w:val="24"/>
                <w:szCs w:val="24"/>
              </w:rPr>
              <w:t>6</w:t>
            </w:r>
          </w:p>
        </w:tc>
        <w:tc>
          <w:tcPr>
            <w:tcW w:w="984" w:type="dxa"/>
            <w:noWrap w:val="0"/>
            <w:vAlign w:val="center"/>
          </w:tcPr>
          <w:p w14:paraId="191CC2FE">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r>
              <w:rPr>
                <w:rFonts w:ascii="仿宋_GB2312" w:hAnsi="仿宋_GB2312" w:eastAsia="仿宋_GB2312" w:cs="仿宋_GB2312"/>
                <w:sz w:val="24"/>
                <w:szCs w:val="24"/>
              </w:rPr>
              <w:t>50.14</w:t>
            </w:r>
          </w:p>
        </w:tc>
        <w:tc>
          <w:tcPr>
            <w:tcW w:w="984" w:type="dxa"/>
            <w:noWrap w:val="0"/>
            <w:vAlign w:val="center"/>
          </w:tcPr>
          <w:p w14:paraId="75F8AD6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r>
              <w:rPr>
                <w:rFonts w:ascii="仿宋_GB2312" w:hAnsi="仿宋_GB2312" w:eastAsia="仿宋_GB2312" w:cs="仿宋_GB2312"/>
                <w:sz w:val="24"/>
                <w:szCs w:val="24"/>
              </w:rPr>
              <w:t>50.14</w:t>
            </w:r>
          </w:p>
        </w:tc>
        <w:tc>
          <w:tcPr>
            <w:tcW w:w="1008" w:type="dxa"/>
            <w:noWrap w:val="0"/>
            <w:vAlign w:val="center"/>
          </w:tcPr>
          <w:p w14:paraId="56D3535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r>
              <w:rPr>
                <w:rFonts w:ascii="仿宋_GB2312" w:hAnsi="仿宋_GB2312" w:eastAsia="仿宋_GB2312" w:cs="仿宋_GB2312"/>
                <w:sz w:val="24"/>
                <w:szCs w:val="24"/>
              </w:rPr>
              <w:t>50.14</w:t>
            </w:r>
          </w:p>
        </w:tc>
        <w:tc>
          <w:tcPr>
            <w:tcW w:w="816" w:type="dxa"/>
            <w:noWrap w:val="0"/>
            <w:vAlign w:val="center"/>
          </w:tcPr>
          <w:p w14:paraId="11BC87DC">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平方公里</w:t>
            </w:r>
          </w:p>
        </w:tc>
        <w:tc>
          <w:tcPr>
            <w:tcW w:w="1006" w:type="dxa"/>
            <w:noWrap w:val="0"/>
            <w:vAlign w:val="center"/>
          </w:tcPr>
          <w:p w14:paraId="7565AF9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约束性</w:t>
            </w:r>
          </w:p>
        </w:tc>
      </w:tr>
      <w:tr w14:paraId="17A2D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504" w:type="dxa"/>
            <w:noWrap w:val="0"/>
            <w:vAlign w:val="center"/>
          </w:tcPr>
          <w:p w14:paraId="74EFC40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456" w:type="dxa"/>
            <w:vMerge w:val="continue"/>
            <w:noWrap w:val="0"/>
            <w:vAlign w:val="center"/>
          </w:tcPr>
          <w:p w14:paraId="5D762410">
            <w:pPr>
              <w:spacing w:line="600" w:lineRule="exact"/>
              <w:ind w:firstLine="480"/>
              <w:jc w:val="center"/>
              <w:rPr>
                <w:rFonts w:hint="eastAsia" w:ascii="仿宋_GB2312" w:hAnsi="仿宋_GB2312" w:eastAsia="仿宋_GB2312" w:cs="仿宋_GB2312"/>
                <w:sz w:val="24"/>
                <w:szCs w:val="24"/>
              </w:rPr>
            </w:pPr>
          </w:p>
        </w:tc>
        <w:tc>
          <w:tcPr>
            <w:tcW w:w="2159" w:type="dxa"/>
            <w:noWrap w:val="0"/>
            <w:vAlign w:val="center"/>
          </w:tcPr>
          <w:p w14:paraId="0615E7C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自然保护地面积占国土面积比例</w:t>
            </w:r>
          </w:p>
        </w:tc>
        <w:tc>
          <w:tcPr>
            <w:tcW w:w="1128" w:type="dxa"/>
            <w:noWrap w:val="0"/>
            <w:vAlign w:val="center"/>
          </w:tcPr>
          <w:p w14:paraId="18A205A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5.51</w:t>
            </w:r>
          </w:p>
        </w:tc>
        <w:tc>
          <w:tcPr>
            <w:tcW w:w="984" w:type="dxa"/>
            <w:noWrap w:val="0"/>
            <w:vAlign w:val="center"/>
          </w:tcPr>
          <w:p w14:paraId="587094F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待省明确</w:t>
            </w:r>
          </w:p>
        </w:tc>
        <w:tc>
          <w:tcPr>
            <w:tcW w:w="984" w:type="dxa"/>
            <w:noWrap w:val="0"/>
            <w:vAlign w:val="center"/>
          </w:tcPr>
          <w:p w14:paraId="37214F8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待省明确</w:t>
            </w:r>
          </w:p>
        </w:tc>
        <w:tc>
          <w:tcPr>
            <w:tcW w:w="1008" w:type="dxa"/>
            <w:noWrap w:val="0"/>
            <w:vAlign w:val="center"/>
          </w:tcPr>
          <w:p w14:paraId="057FCB2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待省明确</w:t>
            </w:r>
          </w:p>
        </w:tc>
        <w:tc>
          <w:tcPr>
            <w:tcW w:w="816" w:type="dxa"/>
            <w:noWrap w:val="0"/>
            <w:vAlign w:val="center"/>
          </w:tcPr>
          <w:p w14:paraId="63A5652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1006" w:type="dxa"/>
            <w:noWrap w:val="0"/>
            <w:vAlign w:val="center"/>
          </w:tcPr>
          <w:p w14:paraId="0A0DF84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tr w14:paraId="66E01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504" w:type="dxa"/>
            <w:noWrap w:val="0"/>
            <w:vAlign w:val="center"/>
          </w:tcPr>
          <w:p w14:paraId="5AB5ED2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w:t>
            </w:r>
          </w:p>
        </w:tc>
        <w:tc>
          <w:tcPr>
            <w:tcW w:w="456" w:type="dxa"/>
            <w:vMerge w:val="continue"/>
            <w:noWrap w:val="0"/>
            <w:vAlign w:val="center"/>
          </w:tcPr>
          <w:p w14:paraId="52B019A4">
            <w:pPr>
              <w:spacing w:line="600" w:lineRule="exact"/>
              <w:ind w:firstLine="480"/>
              <w:jc w:val="center"/>
              <w:rPr>
                <w:rFonts w:hint="eastAsia" w:ascii="仿宋_GB2312" w:hAnsi="仿宋_GB2312" w:eastAsia="仿宋_GB2312" w:cs="仿宋_GB2312"/>
                <w:sz w:val="24"/>
                <w:szCs w:val="24"/>
              </w:rPr>
            </w:pPr>
          </w:p>
        </w:tc>
        <w:tc>
          <w:tcPr>
            <w:tcW w:w="2159" w:type="dxa"/>
            <w:noWrap w:val="0"/>
            <w:vAlign w:val="center"/>
          </w:tcPr>
          <w:p w14:paraId="2EAD71B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水土保持率</w:t>
            </w:r>
          </w:p>
        </w:tc>
        <w:tc>
          <w:tcPr>
            <w:tcW w:w="1128" w:type="dxa"/>
            <w:noWrap w:val="0"/>
            <w:vAlign w:val="center"/>
          </w:tcPr>
          <w:p w14:paraId="2982A53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w:t>
            </w:r>
            <w:r>
              <w:rPr>
                <w:rFonts w:ascii="仿宋_GB2312" w:hAnsi="仿宋_GB2312" w:eastAsia="仿宋_GB2312" w:cs="仿宋_GB2312"/>
                <w:sz w:val="24"/>
                <w:szCs w:val="24"/>
              </w:rPr>
              <w:t>1</w:t>
            </w:r>
            <w:r>
              <w:rPr>
                <w:rFonts w:hint="eastAsia" w:ascii="仿宋_GB2312" w:hAnsi="仿宋_GB2312" w:eastAsia="仿宋_GB2312" w:cs="仿宋_GB2312"/>
                <w:sz w:val="24"/>
                <w:szCs w:val="24"/>
              </w:rPr>
              <w:t>.</w:t>
            </w:r>
            <w:r>
              <w:rPr>
                <w:rFonts w:ascii="仿宋_GB2312" w:hAnsi="仿宋_GB2312" w:eastAsia="仿宋_GB2312" w:cs="仿宋_GB2312"/>
                <w:sz w:val="24"/>
                <w:szCs w:val="24"/>
              </w:rPr>
              <w:t>8</w:t>
            </w:r>
            <w:r>
              <w:rPr>
                <w:rFonts w:hint="eastAsia" w:ascii="仿宋_GB2312" w:hAnsi="仿宋_GB2312" w:eastAsia="仿宋_GB2312" w:cs="仿宋_GB2312"/>
                <w:sz w:val="24"/>
                <w:szCs w:val="24"/>
              </w:rPr>
              <w:t>7</w:t>
            </w:r>
          </w:p>
        </w:tc>
        <w:tc>
          <w:tcPr>
            <w:tcW w:w="984" w:type="dxa"/>
            <w:noWrap w:val="0"/>
            <w:vAlign w:val="center"/>
          </w:tcPr>
          <w:p w14:paraId="34250BEA">
            <w:pPr>
              <w:spacing w:line="600" w:lineRule="exact"/>
              <w:jc w:val="center"/>
              <w:rPr>
                <w:rFonts w:hint="eastAsia" w:ascii="仿宋_GB2312" w:hAnsi="仿宋_GB2312" w:eastAsia="仿宋_GB2312" w:cs="仿宋_GB2312"/>
                <w:sz w:val="24"/>
                <w:szCs w:val="24"/>
              </w:rPr>
            </w:pPr>
            <w:r>
              <w:rPr>
                <w:rFonts w:ascii="仿宋_GB2312" w:hAnsi="仿宋_GB2312" w:eastAsia="仿宋_GB2312" w:cs="仿宋_GB2312"/>
                <w:sz w:val="24"/>
                <w:szCs w:val="24"/>
              </w:rPr>
              <w:t>84.06</w:t>
            </w:r>
          </w:p>
        </w:tc>
        <w:tc>
          <w:tcPr>
            <w:tcW w:w="984" w:type="dxa"/>
            <w:noWrap w:val="0"/>
            <w:vAlign w:val="center"/>
          </w:tcPr>
          <w:p w14:paraId="11347E66">
            <w:pPr>
              <w:spacing w:line="600" w:lineRule="exact"/>
              <w:jc w:val="center"/>
              <w:rPr>
                <w:rFonts w:hint="eastAsia" w:ascii="仿宋_GB2312" w:hAnsi="仿宋_GB2312" w:eastAsia="仿宋_GB2312" w:cs="仿宋_GB2312"/>
                <w:sz w:val="24"/>
                <w:szCs w:val="24"/>
              </w:rPr>
            </w:pPr>
            <w:r>
              <w:rPr>
                <w:rFonts w:ascii="仿宋_GB2312" w:hAnsi="仿宋_GB2312" w:eastAsia="仿宋_GB2312" w:cs="仿宋_GB2312"/>
                <w:sz w:val="24"/>
                <w:szCs w:val="24"/>
              </w:rPr>
              <w:t>85.57</w:t>
            </w:r>
          </w:p>
        </w:tc>
        <w:tc>
          <w:tcPr>
            <w:tcW w:w="1008" w:type="dxa"/>
            <w:noWrap w:val="0"/>
            <w:vAlign w:val="center"/>
          </w:tcPr>
          <w:p w14:paraId="4F05AABA">
            <w:pPr>
              <w:spacing w:line="600" w:lineRule="exact"/>
              <w:jc w:val="center"/>
              <w:rPr>
                <w:rFonts w:hint="eastAsia" w:ascii="仿宋_GB2312" w:hAnsi="仿宋_GB2312" w:eastAsia="仿宋_GB2312" w:cs="仿宋_GB2312"/>
                <w:sz w:val="24"/>
                <w:szCs w:val="24"/>
              </w:rPr>
            </w:pPr>
            <w:r>
              <w:rPr>
                <w:rFonts w:ascii="仿宋_GB2312" w:hAnsi="仿宋_GB2312" w:eastAsia="仿宋_GB2312" w:cs="仿宋_GB2312"/>
                <w:sz w:val="24"/>
                <w:szCs w:val="24"/>
              </w:rPr>
              <w:t>87.07</w:t>
            </w:r>
          </w:p>
        </w:tc>
        <w:tc>
          <w:tcPr>
            <w:tcW w:w="816" w:type="dxa"/>
            <w:noWrap w:val="0"/>
            <w:vAlign w:val="center"/>
          </w:tcPr>
          <w:p w14:paraId="24F1BF99">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1006" w:type="dxa"/>
            <w:noWrap w:val="0"/>
            <w:vAlign w:val="center"/>
          </w:tcPr>
          <w:p w14:paraId="43D1458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tr w14:paraId="2B19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504" w:type="dxa"/>
            <w:noWrap w:val="0"/>
            <w:vAlign w:val="center"/>
          </w:tcPr>
          <w:p w14:paraId="0CC9B18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w:t>
            </w:r>
          </w:p>
        </w:tc>
        <w:tc>
          <w:tcPr>
            <w:tcW w:w="456" w:type="dxa"/>
            <w:vMerge w:val="continue"/>
            <w:noWrap w:val="0"/>
            <w:vAlign w:val="center"/>
          </w:tcPr>
          <w:p w14:paraId="69C92133">
            <w:pPr>
              <w:spacing w:line="600" w:lineRule="exact"/>
              <w:ind w:firstLine="480"/>
              <w:jc w:val="center"/>
              <w:rPr>
                <w:rFonts w:hint="eastAsia" w:ascii="仿宋_GB2312" w:hAnsi="仿宋_GB2312" w:eastAsia="仿宋_GB2312" w:cs="仿宋_GB2312"/>
                <w:sz w:val="24"/>
                <w:szCs w:val="24"/>
              </w:rPr>
            </w:pPr>
          </w:p>
        </w:tc>
        <w:tc>
          <w:tcPr>
            <w:tcW w:w="2159" w:type="dxa"/>
            <w:noWrap w:val="0"/>
            <w:vAlign w:val="center"/>
          </w:tcPr>
          <w:p w14:paraId="0A930205">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重要河流基本生态流量达标率</w:t>
            </w:r>
          </w:p>
        </w:tc>
        <w:tc>
          <w:tcPr>
            <w:tcW w:w="1128" w:type="dxa"/>
            <w:noWrap w:val="0"/>
            <w:vAlign w:val="center"/>
          </w:tcPr>
          <w:p w14:paraId="77BBC86C">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984" w:type="dxa"/>
            <w:noWrap w:val="0"/>
            <w:vAlign w:val="center"/>
          </w:tcPr>
          <w:p w14:paraId="525AA0D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w:t>
            </w:r>
            <w:r>
              <w:rPr>
                <w:rFonts w:ascii="仿宋_GB2312" w:hAnsi="仿宋_GB2312" w:eastAsia="仿宋_GB2312" w:cs="仿宋_GB2312"/>
                <w:sz w:val="24"/>
                <w:szCs w:val="24"/>
              </w:rPr>
              <w:t>0</w:t>
            </w:r>
          </w:p>
        </w:tc>
        <w:tc>
          <w:tcPr>
            <w:tcW w:w="984" w:type="dxa"/>
            <w:noWrap w:val="0"/>
            <w:vAlign w:val="center"/>
          </w:tcPr>
          <w:p w14:paraId="1654F09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&gt;</w:t>
            </w:r>
            <w:r>
              <w:rPr>
                <w:rFonts w:ascii="仿宋_GB2312" w:hAnsi="仿宋_GB2312" w:eastAsia="仿宋_GB2312" w:cs="仿宋_GB2312"/>
                <w:sz w:val="24"/>
                <w:szCs w:val="24"/>
              </w:rPr>
              <w:t>80</w:t>
            </w:r>
          </w:p>
        </w:tc>
        <w:tc>
          <w:tcPr>
            <w:tcW w:w="1008" w:type="dxa"/>
            <w:noWrap w:val="0"/>
            <w:vAlign w:val="center"/>
          </w:tcPr>
          <w:p w14:paraId="65373F1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&gt;</w:t>
            </w:r>
            <w:r>
              <w:rPr>
                <w:rFonts w:ascii="仿宋_GB2312" w:hAnsi="仿宋_GB2312" w:eastAsia="仿宋_GB2312" w:cs="仿宋_GB2312"/>
                <w:sz w:val="24"/>
                <w:szCs w:val="24"/>
              </w:rPr>
              <w:t>80</w:t>
            </w:r>
          </w:p>
        </w:tc>
        <w:tc>
          <w:tcPr>
            <w:tcW w:w="816" w:type="dxa"/>
            <w:noWrap w:val="0"/>
            <w:vAlign w:val="center"/>
          </w:tcPr>
          <w:p w14:paraId="2CD16B8B">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1006" w:type="dxa"/>
            <w:noWrap w:val="0"/>
            <w:vAlign w:val="center"/>
          </w:tcPr>
          <w:p w14:paraId="2C60477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tr w14:paraId="1A09C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5" w:hRule="exact"/>
          <w:jc w:val="center"/>
        </w:trPr>
        <w:tc>
          <w:tcPr>
            <w:tcW w:w="504" w:type="dxa"/>
            <w:noWrap w:val="0"/>
            <w:vAlign w:val="center"/>
          </w:tcPr>
          <w:p w14:paraId="755348D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w:t>
            </w:r>
          </w:p>
        </w:tc>
        <w:tc>
          <w:tcPr>
            <w:tcW w:w="456" w:type="dxa"/>
            <w:vMerge w:val="restart"/>
            <w:noWrap w:val="0"/>
            <w:vAlign w:val="center"/>
          </w:tcPr>
          <w:p w14:paraId="3A893E4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修复治理类</w:t>
            </w:r>
          </w:p>
        </w:tc>
        <w:tc>
          <w:tcPr>
            <w:tcW w:w="2159" w:type="dxa"/>
            <w:noWrap w:val="0"/>
            <w:vAlign w:val="center"/>
          </w:tcPr>
          <w:p w14:paraId="1477832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营造林面积</w:t>
            </w:r>
          </w:p>
        </w:tc>
        <w:tc>
          <w:tcPr>
            <w:tcW w:w="1128" w:type="dxa"/>
            <w:noWrap w:val="0"/>
            <w:vAlign w:val="center"/>
          </w:tcPr>
          <w:p w14:paraId="136B96E5">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620.44</w:t>
            </w:r>
          </w:p>
        </w:tc>
        <w:tc>
          <w:tcPr>
            <w:tcW w:w="984" w:type="dxa"/>
            <w:noWrap w:val="0"/>
            <w:vAlign w:val="center"/>
          </w:tcPr>
          <w:p w14:paraId="7A3BF13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687</w:t>
            </w:r>
            <w:r>
              <w:rPr>
                <w:rFonts w:ascii="仿宋_GB2312" w:hAnsi="仿宋_GB2312" w:eastAsia="仿宋_GB2312" w:cs="仿宋_GB2312"/>
                <w:sz w:val="24"/>
                <w:szCs w:val="24"/>
              </w:rPr>
              <w:t>.00</w:t>
            </w:r>
          </w:p>
        </w:tc>
        <w:tc>
          <w:tcPr>
            <w:tcW w:w="984" w:type="dxa"/>
            <w:noWrap w:val="0"/>
            <w:vAlign w:val="center"/>
          </w:tcPr>
          <w:p w14:paraId="3F8C7B0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753</w:t>
            </w:r>
            <w:r>
              <w:rPr>
                <w:rFonts w:ascii="仿宋_GB2312" w:hAnsi="仿宋_GB2312" w:eastAsia="仿宋_GB2312" w:cs="仿宋_GB2312"/>
                <w:sz w:val="24"/>
                <w:szCs w:val="24"/>
              </w:rPr>
              <w:t>.00</w:t>
            </w:r>
          </w:p>
        </w:tc>
        <w:tc>
          <w:tcPr>
            <w:tcW w:w="1008" w:type="dxa"/>
            <w:noWrap w:val="0"/>
            <w:vAlign w:val="center"/>
          </w:tcPr>
          <w:p w14:paraId="69B606B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820</w:t>
            </w:r>
            <w:r>
              <w:rPr>
                <w:rFonts w:ascii="仿宋_GB2312" w:hAnsi="仿宋_GB2312" w:eastAsia="仿宋_GB2312" w:cs="仿宋_GB2312"/>
                <w:sz w:val="24"/>
                <w:szCs w:val="24"/>
              </w:rPr>
              <w:t>.00</w:t>
            </w:r>
          </w:p>
        </w:tc>
        <w:tc>
          <w:tcPr>
            <w:tcW w:w="816" w:type="dxa"/>
            <w:noWrap w:val="0"/>
            <w:vAlign w:val="center"/>
          </w:tcPr>
          <w:p w14:paraId="664DA939">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平方公里</w:t>
            </w:r>
          </w:p>
        </w:tc>
        <w:tc>
          <w:tcPr>
            <w:tcW w:w="1006" w:type="dxa"/>
            <w:noWrap w:val="0"/>
            <w:vAlign w:val="center"/>
          </w:tcPr>
          <w:p w14:paraId="6C8B866B">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tr w14:paraId="7ADB1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9" w:hRule="exact"/>
          <w:jc w:val="center"/>
        </w:trPr>
        <w:tc>
          <w:tcPr>
            <w:tcW w:w="504" w:type="dxa"/>
            <w:noWrap w:val="0"/>
            <w:vAlign w:val="center"/>
          </w:tcPr>
          <w:p w14:paraId="33CC627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w:t>
            </w:r>
          </w:p>
        </w:tc>
        <w:tc>
          <w:tcPr>
            <w:tcW w:w="456" w:type="dxa"/>
            <w:vMerge w:val="continue"/>
            <w:noWrap w:val="0"/>
            <w:vAlign w:val="center"/>
          </w:tcPr>
          <w:p w14:paraId="2A2806C9">
            <w:pPr>
              <w:spacing w:line="600" w:lineRule="exact"/>
              <w:ind w:firstLine="480"/>
              <w:jc w:val="center"/>
              <w:rPr>
                <w:rFonts w:hint="eastAsia" w:ascii="仿宋_GB2312" w:hAnsi="仿宋_GB2312" w:eastAsia="仿宋_GB2312" w:cs="仿宋_GB2312"/>
                <w:sz w:val="24"/>
                <w:szCs w:val="24"/>
              </w:rPr>
            </w:pPr>
          </w:p>
        </w:tc>
        <w:tc>
          <w:tcPr>
            <w:tcW w:w="2159" w:type="dxa"/>
            <w:noWrap w:val="0"/>
            <w:vAlign w:val="center"/>
          </w:tcPr>
          <w:p w14:paraId="1B67B4A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水土流失治理面积</w:t>
            </w:r>
          </w:p>
        </w:tc>
        <w:tc>
          <w:tcPr>
            <w:tcW w:w="1128" w:type="dxa"/>
            <w:noWrap w:val="0"/>
            <w:vAlign w:val="center"/>
          </w:tcPr>
          <w:p w14:paraId="2C58AF8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186.38</w:t>
            </w:r>
          </w:p>
        </w:tc>
        <w:tc>
          <w:tcPr>
            <w:tcW w:w="984" w:type="dxa"/>
            <w:noWrap w:val="0"/>
            <w:vAlign w:val="center"/>
          </w:tcPr>
          <w:p w14:paraId="6E208E4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279.57</w:t>
            </w:r>
          </w:p>
        </w:tc>
        <w:tc>
          <w:tcPr>
            <w:tcW w:w="984" w:type="dxa"/>
            <w:noWrap w:val="0"/>
            <w:vAlign w:val="center"/>
          </w:tcPr>
          <w:p w14:paraId="4C899F6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419.36</w:t>
            </w:r>
          </w:p>
        </w:tc>
        <w:tc>
          <w:tcPr>
            <w:tcW w:w="1008" w:type="dxa"/>
            <w:noWrap w:val="0"/>
            <w:vAlign w:val="center"/>
          </w:tcPr>
          <w:p w14:paraId="33F2889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629.03</w:t>
            </w:r>
          </w:p>
        </w:tc>
        <w:tc>
          <w:tcPr>
            <w:tcW w:w="816" w:type="dxa"/>
            <w:noWrap w:val="0"/>
            <w:vAlign w:val="center"/>
          </w:tcPr>
          <w:p w14:paraId="65BF179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平方公里</w:t>
            </w:r>
          </w:p>
        </w:tc>
        <w:tc>
          <w:tcPr>
            <w:tcW w:w="1006" w:type="dxa"/>
            <w:noWrap w:val="0"/>
            <w:vAlign w:val="center"/>
          </w:tcPr>
          <w:p w14:paraId="0F2EC48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tr w14:paraId="0B22B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1" w:hRule="exact"/>
          <w:jc w:val="center"/>
        </w:trPr>
        <w:tc>
          <w:tcPr>
            <w:tcW w:w="504" w:type="dxa"/>
            <w:noWrap w:val="0"/>
            <w:vAlign w:val="center"/>
          </w:tcPr>
          <w:p w14:paraId="79E699EE">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w:t>
            </w:r>
          </w:p>
        </w:tc>
        <w:tc>
          <w:tcPr>
            <w:tcW w:w="456" w:type="dxa"/>
            <w:vMerge w:val="continue"/>
            <w:noWrap w:val="0"/>
            <w:vAlign w:val="center"/>
          </w:tcPr>
          <w:p w14:paraId="2F411F33">
            <w:pPr>
              <w:spacing w:line="600" w:lineRule="exact"/>
              <w:ind w:firstLine="480"/>
              <w:jc w:val="center"/>
              <w:rPr>
                <w:rFonts w:hint="eastAsia" w:ascii="仿宋_GB2312" w:hAnsi="仿宋_GB2312" w:eastAsia="仿宋_GB2312" w:cs="仿宋_GB2312"/>
                <w:sz w:val="24"/>
                <w:szCs w:val="24"/>
              </w:rPr>
            </w:pPr>
          </w:p>
        </w:tc>
        <w:tc>
          <w:tcPr>
            <w:tcW w:w="2159" w:type="dxa"/>
            <w:noWrap w:val="0"/>
            <w:vAlign w:val="center"/>
          </w:tcPr>
          <w:p w14:paraId="6DFE4876">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历史遗留矿山综合治理面积</w:t>
            </w:r>
          </w:p>
        </w:tc>
        <w:tc>
          <w:tcPr>
            <w:tcW w:w="1128" w:type="dxa"/>
            <w:noWrap w:val="0"/>
            <w:vAlign w:val="center"/>
          </w:tcPr>
          <w:p w14:paraId="1790930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2.4558</w:t>
            </w:r>
          </w:p>
        </w:tc>
        <w:tc>
          <w:tcPr>
            <w:tcW w:w="984" w:type="dxa"/>
            <w:noWrap w:val="0"/>
            <w:vAlign w:val="center"/>
          </w:tcPr>
          <w:p w14:paraId="2B05B24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ascii="仿宋_GB2312" w:hAnsi="仿宋_GB2312" w:eastAsia="仿宋_GB2312" w:cs="仿宋_GB2312"/>
                <w:sz w:val="24"/>
                <w:szCs w:val="24"/>
              </w:rPr>
              <w:t>.4520</w:t>
            </w:r>
          </w:p>
        </w:tc>
        <w:tc>
          <w:tcPr>
            <w:tcW w:w="984" w:type="dxa"/>
            <w:noWrap w:val="0"/>
            <w:vAlign w:val="center"/>
          </w:tcPr>
          <w:p w14:paraId="36C1551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0</w:t>
            </w:r>
            <w:r>
              <w:rPr>
                <w:rFonts w:ascii="仿宋_GB2312" w:hAnsi="仿宋_GB2312" w:eastAsia="仿宋_GB2312" w:cs="仿宋_GB2312"/>
                <w:sz w:val="24"/>
                <w:szCs w:val="24"/>
              </w:rPr>
              <w:t>.5019</w:t>
            </w:r>
          </w:p>
        </w:tc>
        <w:tc>
          <w:tcPr>
            <w:tcW w:w="1008" w:type="dxa"/>
            <w:noWrap w:val="0"/>
            <w:vAlign w:val="center"/>
          </w:tcPr>
          <w:p w14:paraId="0FF22546">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0</w:t>
            </w:r>
            <w:r>
              <w:rPr>
                <w:rFonts w:ascii="仿宋_GB2312" w:hAnsi="仿宋_GB2312" w:eastAsia="仿宋_GB2312" w:cs="仿宋_GB2312"/>
                <w:sz w:val="24"/>
                <w:szCs w:val="24"/>
              </w:rPr>
              <w:t>.5019</w:t>
            </w:r>
          </w:p>
        </w:tc>
        <w:tc>
          <w:tcPr>
            <w:tcW w:w="816" w:type="dxa"/>
            <w:noWrap w:val="0"/>
            <w:vAlign w:val="center"/>
          </w:tcPr>
          <w:p w14:paraId="58FA21A5">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平方公里</w:t>
            </w:r>
          </w:p>
        </w:tc>
        <w:tc>
          <w:tcPr>
            <w:tcW w:w="1006" w:type="dxa"/>
            <w:noWrap w:val="0"/>
            <w:vAlign w:val="center"/>
          </w:tcPr>
          <w:p w14:paraId="298C6579">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tr w14:paraId="1539A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9" w:hRule="exact"/>
          <w:jc w:val="center"/>
        </w:trPr>
        <w:tc>
          <w:tcPr>
            <w:tcW w:w="504" w:type="dxa"/>
            <w:noWrap w:val="0"/>
            <w:vAlign w:val="center"/>
          </w:tcPr>
          <w:p w14:paraId="511FECE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w:t>
            </w:r>
          </w:p>
        </w:tc>
        <w:tc>
          <w:tcPr>
            <w:tcW w:w="456" w:type="dxa"/>
            <w:vMerge w:val="continue"/>
            <w:noWrap w:val="0"/>
            <w:vAlign w:val="center"/>
          </w:tcPr>
          <w:p w14:paraId="0E9BC518">
            <w:pPr>
              <w:spacing w:line="600" w:lineRule="exact"/>
              <w:ind w:firstLine="480"/>
              <w:jc w:val="center"/>
              <w:rPr>
                <w:rFonts w:hint="eastAsia" w:ascii="仿宋_GB2312" w:hAnsi="仿宋_GB2312" w:eastAsia="仿宋_GB2312" w:cs="仿宋_GB2312"/>
                <w:sz w:val="24"/>
                <w:szCs w:val="24"/>
              </w:rPr>
            </w:pPr>
          </w:p>
        </w:tc>
        <w:tc>
          <w:tcPr>
            <w:tcW w:w="2159" w:type="dxa"/>
            <w:noWrap w:val="0"/>
            <w:vAlign w:val="center"/>
          </w:tcPr>
          <w:p w14:paraId="2B648AB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湿地修复治理面积</w:t>
            </w:r>
          </w:p>
        </w:tc>
        <w:tc>
          <w:tcPr>
            <w:tcW w:w="1128" w:type="dxa"/>
            <w:noWrap w:val="0"/>
            <w:vAlign w:val="center"/>
          </w:tcPr>
          <w:p w14:paraId="033016B9">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984" w:type="dxa"/>
            <w:noWrap w:val="0"/>
            <w:vAlign w:val="center"/>
          </w:tcPr>
          <w:p w14:paraId="3277DEA1">
            <w:pPr>
              <w:spacing w:line="600" w:lineRule="exact"/>
              <w:jc w:val="center"/>
              <w:rPr>
                <w:rFonts w:hint="eastAsia" w:ascii="仿宋_GB2312" w:hAnsi="仿宋_GB2312" w:eastAsia="仿宋_GB2312" w:cs="仿宋_GB2312"/>
                <w:sz w:val="24"/>
                <w:szCs w:val="24"/>
              </w:rPr>
            </w:pPr>
            <w:r>
              <w:rPr>
                <w:rFonts w:ascii="仿宋_GB2312" w:hAnsi="仿宋_GB2312" w:eastAsia="仿宋_GB2312" w:cs="仿宋_GB2312"/>
                <w:sz w:val="24"/>
                <w:szCs w:val="24"/>
              </w:rPr>
              <w:t>0.07</w:t>
            </w:r>
          </w:p>
        </w:tc>
        <w:tc>
          <w:tcPr>
            <w:tcW w:w="984" w:type="dxa"/>
            <w:noWrap w:val="0"/>
            <w:vAlign w:val="center"/>
          </w:tcPr>
          <w:p w14:paraId="5C144A80">
            <w:pPr>
              <w:spacing w:line="600" w:lineRule="exact"/>
              <w:jc w:val="center"/>
              <w:rPr>
                <w:rFonts w:hint="eastAsia" w:ascii="仿宋_GB2312" w:hAnsi="仿宋_GB2312" w:eastAsia="仿宋_GB2312" w:cs="仿宋_GB2312"/>
                <w:sz w:val="24"/>
                <w:szCs w:val="24"/>
              </w:rPr>
            </w:pPr>
            <w:r>
              <w:rPr>
                <w:rFonts w:ascii="仿宋_GB2312" w:hAnsi="仿宋_GB2312" w:eastAsia="仿宋_GB2312" w:cs="仿宋_GB2312"/>
                <w:sz w:val="24"/>
                <w:szCs w:val="24"/>
              </w:rPr>
              <w:t>0.07</w:t>
            </w:r>
          </w:p>
        </w:tc>
        <w:tc>
          <w:tcPr>
            <w:tcW w:w="1008" w:type="dxa"/>
            <w:noWrap w:val="0"/>
            <w:vAlign w:val="center"/>
          </w:tcPr>
          <w:p w14:paraId="1D5A9815">
            <w:pPr>
              <w:spacing w:line="600" w:lineRule="exact"/>
              <w:jc w:val="center"/>
              <w:rPr>
                <w:rFonts w:hint="eastAsia" w:ascii="仿宋_GB2312" w:hAnsi="仿宋_GB2312" w:eastAsia="仿宋_GB2312" w:cs="仿宋_GB2312"/>
                <w:sz w:val="24"/>
                <w:szCs w:val="24"/>
              </w:rPr>
            </w:pPr>
            <w:r>
              <w:rPr>
                <w:rFonts w:ascii="仿宋_GB2312" w:hAnsi="仿宋_GB2312" w:eastAsia="仿宋_GB2312" w:cs="仿宋_GB2312"/>
                <w:sz w:val="24"/>
                <w:szCs w:val="24"/>
              </w:rPr>
              <w:t>0.07</w:t>
            </w:r>
          </w:p>
        </w:tc>
        <w:tc>
          <w:tcPr>
            <w:tcW w:w="816" w:type="dxa"/>
            <w:noWrap w:val="0"/>
            <w:vAlign w:val="center"/>
          </w:tcPr>
          <w:p w14:paraId="5D17026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平方公里</w:t>
            </w:r>
          </w:p>
        </w:tc>
        <w:tc>
          <w:tcPr>
            <w:tcW w:w="1006" w:type="dxa"/>
            <w:noWrap w:val="0"/>
            <w:vAlign w:val="center"/>
          </w:tcPr>
          <w:p w14:paraId="2247625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预期性</w:t>
            </w:r>
          </w:p>
        </w:tc>
      </w:tr>
      <w:bookmarkEnd w:id="53"/>
    </w:tbl>
    <w:p w14:paraId="05C98B55">
      <w:pPr>
        <w:spacing w:line="600" w:lineRule="exact"/>
        <w:ind w:firstLine="643"/>
        <w:rPr>
          <w:rFonts w:hint="eastAsia" w:ascii="仿宋_GB2312" w:hAnsi="仿宋_GB2312" w:eastAsia="仿宋_GB2312" w:cs="仿宋_GB2312"/>
          <w:b/>
          <w:bCs/>
          <w:sz w:val="32"/>
          <w:szCs w:val="32"/>
        </w:rPr>
      </w:pPr>
      <w:bookmarkStart w:id="54" w:name="_Toc92404351"/>
      <w:bookmarkStart w:id="55" w:name="_Hlk92918687"/>
    </w:p>
    <w:p w14:paraId="3CC6C2CF">
      <w:pPr>
        <w:spacing w:line="600" w:lineRule="exact"/>
        <w:jc w:val="center"/>
        <w:outlineLvl w:val="0"/>
        <w:rPr>
          <w:rFonts w:hint="eastAsia" w:ascii="仿宋_GB2312" w:hAnsi="仿宋_GB2312" w:eastAsia="仿宋_GB2312" w:cs="仿宋_GB2312"/>
          <w:b/>
          <w:bCs/>
          <w:sz w:val="32"/>
          <w:szCs w:val="32"/>
        </w:rPr>
      </w:pPr>
      <w:bookmarkStart w:id="56" w:name="_Toc26735"/>
      <w:r>
        <w:rPr>
          <w:rFonts w:hint="eastAsia" w:ascii="仿宋_GB2312" w:hAnsi="仿宋_GB2312" w:eastAsia="仿宋_GB2312" w:cs="仿宋_GB2312"/>
          <w:b/>
          <w:bCs/>
          <w:sz w:val="32"/>
          <w:szCs w:val="32"/>
        </w:rPr>
        <w:t>第五章 生态修复布局与分区</w:t>
      </w:r>
      <w:bookmarkEnd w:id="54"/>
    </w:p>
    <w:p w14:paraId="2205B1EE">
      <w:pPr>
        <w:keepNext/>
        <w:keepLines/>
        <w:spacing w:line="600" w:lineRule="exact"/>
        <w:ind w:firstLine="643"/>
        <w:outlineLvl w:val="1"/>
        <w:rPr>
          <w:rFonts w:hint="eastAsia" w:ascii="仿宋_GB2312" w:hAnsi="仿宋_GB2312" w:eastAsia="仿宋_GB2312" w:cs="仿宋_GB2312"/>
          <w:b/>
          <w:bCs/>
          <w:sz w:val="32"/>
          <w:szCs w:val="32"/>
        </w:rPr>
      </w:pPr>
      <w:bookmarkStart w:id="57" w:name="_Toc53"/>
      <w:r>
        <w:rPr>
          <w:rFonts w:hint="eastAsia" w:ascii="仿宋_GB2312" w:hAnsi="仿宋_GB2312" w:eastAsia="仿宋_GB2312" w:cs="仿宋_GB2312"/>
          <w:b/>
          <w:bCs/>
          <w:sz w:val="32"/>
          <w:szCs w:val="32"/>
        </w:rPr>
        <w:t>5.1 构建生态修复总体布局</w:t>
      </w:r>
      <w:bookmarkEnd w:id="55"/>
    </w:p>
    <w:p w14:paraId="0A258098">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托“两山一川，七水多库”的自然地理格局，贯彻落实“一主两副双轴，两屏三区七廊”国土空间开发和保护格局，加强以桐柏山-大别山、大洪山为主体的生态屏障整体保护，提升随北桐柏山生态水源涵养区和随南大洪山山地生态保育区的生态服务能力；推动随中平原城镇生态协调发展区的生态保护与经济社会发展相协调，保护府河、淮河、溠水、㵐水、漂水、应山河的水环境，强化流域生态系统保护和修复。统筹山水林田湖草沙系统修复，聚焦“长江大保护”、“汉江经济建设”，构建“双廊五区两屏”生态修复格局。</w:t>
      </w:r>
    </w:p>
    <w:p w14:paraId="1E0BD895">
      <w:pPr>
        <w:widowControl/>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双廊：</w:t>
      </w:r>
      <w:r>
        <w:rPr>
          <w:rFonts w:hint="eastAsia" w:ascii="仿宋_GB2312" w:hAnsi="仿宋_GB2312" w:eastAsia="仿宋_GB2312" w:cs="仿宋_GB2312"/>
          <w:sz w:val="32"/>
          <w:szCs w:val="32"/>
        </w:rPr>
        <w:t>府河、淮河及其他骨干河流生态缓冲带网（蓝网）和交通干线生态防护林网（绿网）。</w:t>
      </w:r>
    </w:p>
    <w:p w14:paraId="18ED01E3">
      <w:pPr>
        <w:widowControl/>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五区：</w:t>
      </w:r>
      <w:r>
        <w:rPr>
          <w:rFonts w:hint="eastAsia" w:ascii="仿宋_GB2312" w:hAnsi="仿宋_GB2312" w:eastAsia="仿宋_GB2312" w:cs="仿宋_GB2312"/>
          <w:sz w:val="32"/>
          <w:szCs w:val="32"/>
        </w:rPr>
        <w:t>水土保持和生物多样性保护修复区、矿山修复区、农林提升与水生态修复区、农村人居环境提升和农业生态修复区、城镇生态修复区。</w:t>
      </w:r>
    </w:p>
    <w:p w14:paraId="21054960">
      <w:pPr>
        <w:widowControl/>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两屏：</w:t>
      </w:r>
      <w:r>
        <w:rPr>
          <w:rFonts w:hint="eastAsia" w:ascii="仿宋_GB2312" w:hAnsi="仿宋_GB2312" w:eastAsia="仿宋_GB2312" w:cs="仿宋_GB2312"/>
          <w:sz w:val="32"/>
          <w:szCs w:val="32"/>
        </w:rPr>
        <w:t>桐柏山-大别山屏障和大洪山生态屏障。</w:t>
      </w:r>
    </w:p>
    <w:p w14:paraId="3E82DBD5">
      <w:pPr>
        <w:keepNext/>
        <w:keepLines/>
        <w:spacing w:line="600" w:lineRule="exact"/>
        <w:ind w:firstLine="643"/>
        <w:outlineLvl w:val="1"/>
        <w:rPr>
          <w:rFonts w:hint="eastAsia" w:ascii="仿宋_GB2312" w:hAnsi="仿宋_GB2312" w:eastAsia="仿宋_GB2312" w:cs="仿宋_GB2312"/>
          <w:b/>
          <w:bCs/>
          <w:sz w:val="32"/>
          <w:szCs w:val="32"/>
        </w:rPr>
      </w:pPr>
      <w:bookmarkStart w:id="58" w:name="_Toc17033"/>
      <w:r>
        <w:rPr>
          <w:rFonts w:hint="eastAsia" w:ascii="仿宋_GB2312" w:hAnsi="仿宋_GB2312" w:eastAsia="仿宋_GB2312" w:cs="仿宋_GB2312"/>
          <w:b/>
          <w:bCs/>
          <w:sz w:val="32"/>
          <w:szCs w:val="32"/>
        </w:rPr>
        <w:t>5.2 划定生态修复分区</w:t>
      </w:r>
      <w:bookmarkEnd w:id="56"/>
    </w:p>
    <w:p w14:paraId="6F8E373F">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基于“一主两副双轴，两屏三区七廊”随州市国土空间开发和保护格局，依据全市生态、农业和城镇3大空间自然本底和生态问题差异，以三类主导功能类型（水源涵养、水土保持、防风固沙）和三类系统敏感度（水土流失、土地沙化、石漠化）为基础，进一步结合自然资源类型、生态系统受损退化程度的差异及生态保护修复目标等，以乡级行政区为基本单元，统筹生态修复单元内山水林田湖草沙等各类生态要素的整体保护、系统修复和综合治理，将随州市划定为三类七大生态修复分区。</w:t>
      </w:r>
    </w:p>
    <w:p w14:paraId="19BFDA26">
      <w:pPr>
        <w:spacing w:line="600" w:lineRule="exact"/>
        <w:ind w:firstLine="64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表5-1：随州市生态修复分区</w:t>
      </w:r>
    </w:p>
    <w:tbl>
      <w:tblPr>
        <w:tblStyle w:val="30"/>
        <w:tblW w:w="8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68"/>
        <w:gridCol w:w="2514"/>
        <w:gridCol w:w="5160"/>
      </w:tblGrid>
      <w:tr w14:paraId="74A38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8" w:type="dxa"/>
            <w:noWrap w:val="0"/>
            <w:vAlign w:val="center"/>
          </w:tcPr>
          <w:p w14:paraId="3A97BC0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主体功能区</w:t>
            </w:r>
          </w:p>
        </w:tc>
        <w:tc>
          <w:tcPr>
            <w:tcW w:w="2514" w:type="dxa"/>
            <w:noWrap w:val="0"/>
            <w:vAlign w:val="center"/>
          </w:tcPr>
          <w:p w14:paraId="1ED2E7D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分区名称</w:t>
            </w:r>
          </w:p>
        </w:tc>
        <w:tc>
          <w:tcPr>
            <w:tcW w:w="5160" w:type="dxa"/>
            <w:noWrap w:val="0"/>
            <w:vAlign w:val="center"/>
          </w:tcPr>
          <w:p w14:paraId="3BE9BFC9">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涉及的主要范围</w:t>
            </w:r>
          </w:p>
        </w:tc>
      </w:tr>
      <w:tr w14:paraId="2338F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 w:hRule="atLeast"/>
          <w:jc w:val="center"/>
        </w:trPr>
        <w:tc>
          <w:tcPr>
            <w:tcW w:w="968" w:type="dxa"/>
            <w:vMerge w:val="restart"/>
            <w:noWrap w:val="0"/>
            <w:vAlign w:val="center"/>
          </w:tcPr>
          <w:p w14:paraId="051FB31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重点生态功能区</w:t>
            </w:r>
          </w:p>
        </w:tc>
        <w:tc>
          <w:tcPr>
            <w:tcW w:w="2514" w:type="dxa"/>
            <w:noWrap w:val="0"/>
            <w:vAlign w:val="center"/>
          </w:tcPr>
          <w:p w14:paraId="1272914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桐柏山-大别山水土保持和湿地保护修复区</w:t>
            </w:r>
          </w:p>
        </w:tc>
        <w:tc>
          <w:tcPr>
            <w:tcW w:w="5160" w:type="dxa"/>
            <w:noWrap w:val="0"/>
            <w:vAlign w:val="center"/>
          </w:tcPr>
          <w:p w14:paraId="3C9EA7C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lang w:bidi="ar"/>
              </w:rPr>
              <w:t>万和镇东部、厉山镇北部、殷店镇、</w:t>
            </w:r>
            <w:r>
              <w:rPr>
                <w:rFonts w:hint="eastAsia" w:ascii="仿宋_GB2312" w:hAnsi="仿宋_GB2312" w:eastAsia="仿宋_GB2312" w:cs="仿宋_GB2312"/>
                <w:sz w:val="24"/>
                <w:szCs w:val="24"/>
              </w:rPr>
              <w:t>武胜关镇、吴店镇、郝店镇、蔡河镇、花山林场、中华山林场、广水街道办事处北部、十里街道办事处北部</w:t>
            </w:r>
          </w:p>
        </w:tc>
      </w:tr>
      <w:tr w14:paraId="4B1D8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968" w:type="dxa"/>
            <w:vMerge w:val="continue"/>
            <w:noWrap w:val="0"/>
            <w:vAlign w:val="center"/>
          </w:tcPr>
          <w:p w14:paraId="5C5A11BA">
            <w:pPr>
              <w:spacing w:line="600" w:lineRule="exact"/>
              <w:ind w:firstLine="480"/>
              <w:jc w:val="center"/>
              <w:rPr>
                <w:rFonts w:hint="eastAsia" w:ascii="仿宋_GB2312" w:hAnsi="仿宋_GB2312" w:eastAsia="仿宋_GB2312" w:cs="仿宋_GB2312"/>
                <w:sz w:val="24"/>
                <w:szCs w:val="24"/>
              </w:rPr>
            </w:pPr>
          </w:p>
        </w:tc>
        <w:tc>
          <w:tcPr>
            <w:tcW w:w="2514" w:type="dxa"/>
            <w:noWrap w:val="0"/>
            <w:vAlign w:val="center"/>
          </w:tcPr>
          <w:p w14:paraId="78BC419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淮河流域水土保持和湿地保护修复区</w:t>
            </w:r>
          </w:p>
        </w:tc>
        <w:tc>
          <w:tcPr>
            <w:tcW w:w="5160" w:type="dxa"/>
            <w:noWrap w:val="0"/>
            <w:vAlign w:val="center"/>
          </w:tcPr>
          <w:p w14:paraId="24826FC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lang w:bidi="ar"/>
              </w:rPr>
              <w:t>小林镇、草店镇、淮河镇</w:t>
            </w:r>
          </w:p>
        </w:tc>
      </w:tr>
      <w:tr w14:paraId="7DEC0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8" w:type="dxa"/>
            <w:vMerge w:val="continue"/>
            <w:noWrap w:val="0"/>
            <w:vAlign w:val="center"/>
          </w:tcPr>
          <w:p w14:paraId="2D107327">
            <w:pPr>
              <w:spacing w:line="600" w:lineRule="exact"/>
              <w:ind w:firstLine="480"/>
              <w:jc w:val="center"/>
              <w:rPr>
                <w:rFonts w:hint="eastAsia" w:ascii="仿宋_GB2312" w:hAnsi="仿宋_GB2312" w:eastAsia="仿宋_GB2312" w:cs="仿宋_GB2312"/>
                <w:sz w:val="24"/>
                <w:szCs w:val="24"/>
              </w:rPr>
            </w:pPr>
          </w:p>
        </w:tc>
        <w:tc>
          <w:tcPr>
            <w:tcW w:w="2514" w:type="dxa"/>
            <w:noWrap w:val="0"/>
            <w:vAlign w:val="center"/>
          </w:tcPr>
          <w:p w14:paraId="1825BCE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府河-大洪山水土保持和生物多样性保护修复区</w:t>
            </w:r>
          </w:p>
        </w:tc>
        <w:tc>
          <w:tcPr>
            <w:tcW w:w="5160" w:type="dxa"/>
            <w:noWrap w:val="0"/>
            <w:vAlign w:val="center"/>
          </w:tcPr>
          <w:p w14:paraId="04BA5C46">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何店镇、府河镇、安居镇、环潭镇、均川镇、南郊办事处西部、淅河镇南部、</w:t>
            </w:r>
            <w:r>
              <w:rPr>
                <w:rFonts w:hint="eastAsia" w:ascii="仿宋_GB2312" w:hAnsi="仿宋_GB2312" w:eastAsia="仿宋_GB2312" w:cs="仿宋_GB2312"/>
                <w:color w:val="000000"/>
                <w:sz w:val="24"/>
                <w:szCs w:val="24"/>
                <w:lang w:bidi="ar"/>
              </w:rPr>
              <w:t>洛阳镇、洪山镇、三里岗镇、柳林镇、长岗镇</w:t>
            </w:r>
          </w:p>
        </w:tc>
      </w:tr>
      <w:tr w14:paraId="1D530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968" w:type="dxa"/>
            <w:vMerge w:val="continue"/>
            <w:noWrap w:val="0"/>
            <w:vAlign w:val="center"/>
          </w:tcPr>
          <w:p w14:paraId="3A8CD154">
            <w:pPr>
              <w:spacing w:line="600" w:lineRule="exact"/>
              <w:ind w:firstLine="480"/>
              <w:jc w:val="center"/>
              <w:rPr>
                <w:rFonts w:hint="eastAsia" w:ascii="仿宋_GB2312" w:hAnsi="仿宋_GB2312" w:eastAsia="仿宋_GB2312" w:cs="仿宋_GB2312"/>
                <w:sz w:val="24"/>
                <w:szCs w:val="24"/>
              </w:rPr>
            </w:pPr>
          </w:p>
        </w:tc>
        <w:tc>
          <w:tcPr>
            <w:tcW w:w="2514" w:type="dxa"/>
            <w:noWrap w:val="0"/>
            <w:vAlign w:val="center"/>
          </w:tcPr>
          <w:p w14:paraId="24782C3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吴山-万和矿山修复区</w:t>
            </w:r>
          </w:p>
        </w:tc>
        <w:tc>
          <w:tcPr>
            <w:tcW w:w="5160" w:type="dxa"/>
            <w:noWrap w:val="0"/>
            <w:vAlign w:val="center"/>
          </w:tcPr>
          <w:p w14:paraId="31175B5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吴山镇、万和镇西部</w:t>
            </w:r>
          </w:p>
        </w:tc>
      </w:tr>
      <w:tr w14:paraId="49FC0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8" w:type="dxa"/>
            <w:vMerge w:val="restart"/>
            <w:noWrap w:val="0"/>
            <w:vAlign w:val="center"/>
          </w:tcPr>
          <w:p w14:paraId="746BA72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农产品主产区</w:t>
            </w:r>
          </w:p>
        </w:tc>
        <w:tc>
          <w:tcPr>
            <w:tcW w:w="2514" w:type="dxa"/>
            <w:noWrap w:val="0"/>
            <w:vAlign w:val="center"/>
          </w:tcPr>
          <w:p w14:paraId="030A2CE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徐家河水库农林提升与水生态修复区</w:t>
            </w:r>
          </w:p>
        </w:tc>
        <w:tc>
          <w:tcPr>
            <w:tcW w:w="5160" w:type="dxa"/>
            <w:noWrap w:val="0"/>
            <w:vAlign w:val="center"/>
          </w:tcPr>
          <w:p w14:paraId="0500EF5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长岭镇、马坪镇、关庙镇、余店镇</w:t>
            </w:r>
          </w:p>
        </w:tc>
      </w:tr>
      <w:tr w14:paraId="77C37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4" w:hRule="atLeast"/>
          <w:jc w:val="center"/>
        </w:trPr>
        <w:tc>
          <w:tcPr>
            <w:tcW w:w="968" w:type="dxa"/>
            <w:vMerge w:val="continue"/>
            <w:noWrap w:val="0"/>
            <w:vAlign w:val="center"/>
          </w:tcPr>
          <w:p w14:paraId="7611A6CC">
            <w:pPr>
              <w:spacing w:line="600" w:lineRule="exact"/>
              <w:ind w:firstLine="480"/>
              <w:jc w:val="center"/>
              <w:rPr>
                <w:rFonts w:hint="eastAsia" w:ascii="仿宋_GB2312" w:hAnsi="仿宋_GB2312" w:eastAsia="仿宋_GB2312" w:cs="仿宋_GB2312"/>
                <w:sz w:val="24"/>
                <w:szCs w:val="24"/>
              </w:rPr>
            </w:pPr>
          </w:p>
        </w:tc>
        <w:tc>
          <w:tcPr>
            <w:tcW w:w="2514" w:type="dxa"/>
            <w:noWrap w:val="0"/>
            <w:vAlign w:val="center"/>
          </w:tcPr>
          <w:p w14:paraId="0249A7EB">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农村人居环境提升和农业生态保护修复区</w:t>
            </w:r>
          </w:p>
        </w:tc>
        <w:tc>
          <w:tcPr>
            <w:tcW w:w="5160" w:type="dxa"/>
            <w:noWrap w:val="0"/>
            <w:vAlign w:val="center"/>
          </w:tcPr>
          <w:p w14:paraId="6139D8EB">
            <w:pPr>
              <w:spacing w:line="600" w:lineRule="exact"/>
              <w:jc w:val="center"/>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高城镇、尚市镇、唐县镇、新街镇、万福店镇、北郊办事处北部、厉山镇南部、城郊街道办事处、骆店镇、陈巷镇、十里街道办事处南部、李店镇、太平镇、广水街道办事处南部、杨寨镇</w:t>
            </w:r>
          </w:p>
        </w:tc>
      </w:tr>
      <w:tr w14:paraId="0C2B5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4" w:hRule="atLeast"/>
          <w:jc w:val="center"/>
        </w:trPr>
        <w:tc>
          <w:tcPr>
            <w:tcW w:w="968" w:type="dxa"/>
            <w:noWrap w:val="0"/>
            <w:vAlign w:val="center"/>
          </w:tcPr>
          <w:p w14:paraId="6A73C05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城市化发展区</w:t>
            </w:r>
          </w:p>
        </w:tc>
        <w:tc>
          <w:tcPr>
            <w:tcW w:w="2514" w:type="dxa"/>
            <w:noWrap w:val="0"/>
            <w:vAlign w:val="center"/>
          </w:tcPr>
          <w:p w14:paraId="3469F2AE">
            <w:pPr>
              <w:spacing w:line="6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城镇生态修复区</w:t>
            </w:r>
          </w:p>
          <w:p w14:paraId="2BE22045">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城镇生态修复区</w:t>
            </w:r>
          </w:p>
        </w:tc>
        <w:tc>
          <w:tcPr>
            <w:tcW w:w="5160" w:type="dxa"/>
            <w:noWrap w:val="0"/>
            <w:vAlign w:val="center"/>
          </w:tcPr>
          <w:p w14:paraId="37C4A1F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厉山镇中南部、东城办事处、经济开发区、何店镇北部、南郊办事处东部、北郊办事处中部、曾都区新型工业基地、淅河镇中部、应山街道办事处、城郊街道办事处东部、十里街道办事处中南部、广水街道办事处中部</w:t>
            </w:r>
          </w:p>
        </w:tc>
      </w:tr>
    </w:tbl>
    <w:p w14:paraId="420EA69D">
      <w:pPr>
        <w:rPr>
          <w:rFonts w:hint="eastAsia"/>
        </w:rPr>
      </w:pPr>
    </w:p>
    <w:p w14:paraId="735745BF">
      <w:pPr>
        <w:pStyle w:val="2"/>
        <w:ind w:left="0" w:firstLine="0"/>
        <w:jc w:val="both"/>
        <w:rPr>
          <w:rFonts w:hint="eastAsia"/>
        </w:rPr>
      </w:pPr>
      <w:r>
        <w:drawing>
          <wp:inline distT="0" distB="0" distL="0" distR="0">
            <wp:extent cx="5561965" cy="3981450"/>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1" name="_x0000_i1026"/>
                    <pic:cNvPicPr/>
                  </pic:nvPicPr>
                  <pic:blipFill>
                    <a:blip r:embed="rId7"/>
                    <a:stretch>
                      <a:fillRect/>
                    </a:stretch>
                  </pic:blipFill>
                  <pic:spPr>
                    <a:xfrm>
                      <a:off x="0" y="0"/>
                      <a:ext cx="5562524" cy="3981564"/>
                    </a:xfrm>
                    <a:prstGeom prst="rect">
                      <a:avLst/>
                    </a:prstGeom>
                    <a:noFill/>
                    <a:ln>
                      <a:noFill/>
                    </a:ln>
                  </pic:spPr>
                </pic:pic>
              </a:graphicData>
            </a:graphic>
          </wp:inline>
        </w:drawing>
      </w:r>
    </w:p>
    <w:p w14:paraId="7F6594CF">
      <w:pPr>
        <w:spacing w:line="600" w:lineRule="exact"/>
        <w:ind w:firstLine="64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图5-1 生态修复分区图</w:t>
      </w:r>
    </w:p>
    <w:p w14:paraId="5720CD11">
      <w:pPr>
        <w:widowControl/>
        <w:spacing w:line="600" w:lineRule="exact"/>
        <w:ind w:firstLine="643"/>
        <w:rPr>
          <w:rFonts w:hint="eastAsia" w:ascii="仿宋_GB2312" w:hAnsi="仿宋_GB2312" w:eastAsia="仿宋_GB2312" w:cs="仿宋_GB2312"/>
          <w:b/>
          <w:bCs/>
          <w:sz w:val="32"/>
          <w:szCs w:val="32"/>
        </w:rPr>
      </w:pPr>
    </w:p>
    <w:p w14:paraId="02853E60">
      <w:pPr>
        <w:widowControl/>
        <w:spacing w:line="600" w:lineRule="exact"/>
        <w:jc w:val="center"/>
        <w:outlineLvl w:val="0"/>
        <w:rPr>
          <w:rFonts w:hint="eastAsia" w:ascii="仿宋_GB2312" w:hAnsi="仿宋_GB2312" w:eastAsia="仿宋_GB2312" w:cs="仿宋_GB2312"/>
          <w:b/>
          <w:bCs/>
          <w:sz w:val="32"/>
          <w:szCs w:val="32"/>
        </w:rPr>
      </w:pPr>
      <w:bookmarkStart w:id="59" w:name="_Toc1610"/>
      <w:r>
        <w:rPr>
          <w:rFonts w:hint="eastAsia" w:ascii="仿宋_GB2312" w:hAnsi="仿宋_GB2312" w:eastAsia="仿宋_GB2312" w:cs="仿宋_GB2312"/>
          <w:b/>
          <w:bCs/>
          <w:sz w:val="32"/>
          <w:szCs w:val="32"/>
        </w:rPr>
        <w:t>第六章 矿山生态修复</w:t>
      </w:r>
      <w:bookmarkEnd w:id="57"/>
    </w:p>
    <w:p w14:paraId="513B8F00">
      <w:pPr>
        <w:keepNext/>
        <w:keepLines/>
        <w:spacing w:line="600" w:lineRule="exact"/>
        <w:ind w:firstLine="643"/>
        <w:outlineLvl w:val="1"/>
        <w:rPr>
          <w:rFonts w:hint="eastAsia" w:ascii="仿宋_GB2312" w:hAnsi="仿宋_GB2312" w:eastAsia="仿宋_GB2312" w:cs="仿宋_GB2312"/>
          <w:b/>
          <w:bCs/>
          <w:sz w:val="32"/>
          <w:szCs w:val="32"/>
        </w:rPr>
      </w:pPr>
      <w:bookmarkStart w:id="60" w:name="_Toc98508511"/>
      <w:bookmarkStart w:id="61" w:name="_Toc25535"/>
      <w:bookmarkStart w:id="62" w:name="_Hlk96766532"/>
      <w:r>
        <w:rPr>
          <w:rFonts w:hint="eastAsia" w:ascii="仿宋_GB2312" w:hAnsi="仿宋_GB2312" w:eastAsia="仿宋_GB2312" w:cs="仿宋_GB2312"/>
          <w:b/>
          <w:bCs/>
          <w:sz w:val="32"/>
          <w:szCs w:val="32"/>
        </w:rPr>
        <w:t>6.1 吴山-万和矿山修复工程</w:t>
      </w:r>
      <w:bookmarkEnd w:id="58"/>
      <w:bookmarkEnd w:id="59"/>
    </w:p>
    <w:p w14:paraId="36D6D7AF">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吴山-万和矿区主要为花岗岩矿，主要分布在三合村、河西村、联华村等地，推进吴山-万和矿山修复工程，加强矿山生态环境综合整治，优化资源配置和开发利用布局结构。合理安排矿山复垦工程，盘活废弃闲置用地，提升土地利用效率，坚持“科学规划、集中开发、规范利用、节约集约”的思路，实现健康有序、绿色科学发展。</w:t>
      </w:r>
    </w:p>
    <w:tbl>
      <w:tblPr>
        <w:tblStyle w:val="30"/>
        <w:tblW w:w="49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39"/>
      </w:tblGrid>
      <w:tr w14:paraId="21C50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5000" w:type="dxa"/>
            <w:shd w:val="clear" w:color="auto" w:fill="D7D7D7"/>
            <w:noWrap w:val="0"/>
            <w:vAlign w:val="center"/>
          </w:tcPr>
          <w:p w14:paraId="1785AF39">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专栏6-1吴山-万和矿山修复工程</w:t>
            </w:r>
          </w:p>
        </w:tc>
      </w:tr>
      <w:tr w14:paraId="23BBF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5000" w:type="dxa"/>
            <w:noWrap w:val="0"/>
            <w:vAlign w:val="center"/>
          </w:tcPr>
          <w:p w14:paraId="7B753A7F">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进行矿山生态修复，对随县吴山镇汪家寨花岗岩矿、随州市鑫福石业有限公司大岭花岗岩矿等主要矿区进行生态环境综合治理，主要开展矿区复垦、绿色矿山等工程，实现矿业转型升级和绿色发展。</w:t>
            </w:r>
          </w:p>
        </w:tc>
      </w:tr>
      <w:bookmarkEnd w:id="60"/>
    </w:tbl>
    <w:p w14:paraId="7DEAFC42">
      <w:pPr>
        <w:keepNext/>
        <w:keepLines/>
        <w:spacing w:line="600" w:lineRule="exact"/>
        <w:ind w:firstLine="643"/>
        <w:outlineLvl w:val="1"/>
        <w:rPr>
          <w:rFonts w:hint="eastAsia" w:ascii="仿宋_GB2312" w:hAnsi="仿宋_GB2312" w:eastAsia="仿宋_GB2312" w:cs="仿宋_GB2312"/>
          <w:b/>
          <w:bCs/>
          <w:sz w:val="32"/>
          <w:szCs w:val="32"/>
        </w:rPr>
      </w:pPr>
      <w:bookmarkStart w:id="63" w:name="_Toc98508512"/>
      <w:bookmarkStart w:id="64" w:name="_Toc13929"/>
      <w:r>
        <w:rPr>
          <w:rFonts w:hint="eastAsia" w:ascii="仿宋_GB2312" w:hAnsi="仿宋_GB2312" w:eastAsia="仿宋_GB2312" w:cs="仿宋_GB2312"/>
          <w:b/>
          <w:bCs/>
          <w:sz w:val="32"/>
          <w:szCs w:val="32"/>
        </w:rPr>
        <w:t>6.</w:t>
      </w:r>
      <w:bookmarkStart w:id="65" w:name="_Hlk96766749"/>
      <w:r>
        <w:rPr>
          <w:rFonts w:hint="eastAsia" w:ascii="仿宋_GB2312" w:hAnsi="仿宋_GB2312" w:eastAsia="仿宋_GB2312" w:cs="仿宋_GB2312"/>
          <w:b/>
          <w:bCs/>
          <w:sz w:val="32"/>
          <w:szCs w:val="32"/>
        </w:rPr>
        <w:t>2 殷店-吴店</w:t>
      </w:r>
      <w:bookmarkEnd w:id="61"/>
      <w:r>
        <w:rPr>
          <w:rFonts w:hint="eastAsia" w:ascii="仿宋_GB2312" w:hAnsi="仿宋_GB2312" w:eastAsia="仿宋_GB2312" w:cs="仿宋_GB2312"/>
          <w:b/>
          <w:bCs/>
          <w:sz w:val="32"/>
          <w:szCs w:val="32"/>
        </w:rPr>
        <w:t>矿山修复工程</w:t>
      </w:r>
      <w:bookmarkEnd w:id="62"/>
      <w:bookmarkEnd w:id="63"/>
    </w:p>
    <w:p w14:paraId="0F25E06C">
      <w:pPr>
        <w:widowControl/>
        <w:spacing w:line="600" w:lineRule="exact"/>
        <w:ind w:firstLine="640"/>
        <w:rPr>
          <w:rFonts w:hint="eastAsia" w:ascii="仿宋_GB2312" w:hAnsi="仿宋_GB2312" w:eastAsia="仿宋_GB2312" w:cs="仿宋_GB2312"/>
          <w:sz w:val="32"/>
          <w:szCs w:val="32"/>
        </w:rPr>
      </w:pPr>
      <w:bookmarkStart w:id="66" w:name="_Hlk96767429"/>
      <w:r>
        <w:rPr>
          <w:rFonts w:hint="eastAsia" w:ascii="仿宋_GB2312" w:hAnsi="仿宋_GB2312" w:eastAsia="仿宋_GB2312" w:cs="仿宋_GB2312"/>
          <w:sz w:val="32"/>
          <w:szCs w:val="32"/>
        </w:rPr>
        <w:t>殷店-吴店</w:t>
      </w:r>
      <w:bookmarkEnd w:id="64"/>
      <w:r>
        <w:rPr>
          <w:rFonts w:hint="eastAsia" w:ascii="仿宋_GB2312" w:hAnsi="仿宋_GB2312" w:eastAsia="仿宋_GB2312" w:cs="仿宋_GB2312"/>
          <w:sz w:val="32"/>
          <w:szCs w:val="32"/>
        </w:rPr>
        <w:t>矿区主要为萤石矿，主要分布在双河村、鹦鹉村、四方村、九枫村、中心村、塘畈村等地。推进殷店-吴店矿山修复工程，以保障发展、保护生态为出发点，将加强生态保护和节约资源作为重点，进行矿山生态综合整治，实现矿业转型升级和绿色发展。</w:t>
      </w:r>
    </w:p>
    <w:tbl>
      <w:tblPr>
        <w:tblStyle w:val="30"/>
        <w:tblW w:w="49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39"/>
      </w:tblGrid>
      <w:tr w14:paraId="4DD16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5000" w:type="dxa"/>
            <w:shd w:val="clear" w:color="auto" w:fill="D7D7D7"/>
            <w:noWrap w:val="0"/>
            <w:vAlign w:val="center"/>
          </w:tcPr>
          <w:p w14:paraId="2756828D">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专栏6-2殷店-吴店矿山修复工程</w:t>
            </w:r>
          </w:p>
        </w:tc>
      </w:tr>
      <w:tr w14:paraId="4B201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5000" w:type="dxa"/>
            <w:noWrap w:val="0"/>
            <w:vAlign w:val="center"/>
          </w:tcPr>
          <w:p w14:paraId="659C0CF4">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主要进行萤石矿山生态修复，对朱店萤石矿、岩子河萤石矿、松林湾-八角山矿区萤石矿、聂家湾萤石矿、杨树冲萤石矿厂等主要矿区进行生态环境综合治理，主要进行绿色矿山建设、矿山清洁生产等工程，提高资源利用率，引领和带动传统矿业转型升级，提升矿业发展质量和效益。</w:t>
            </w:r>
          </w:p>
        </w:tc>
      </w:tr>
    </w:tbl>
    <w:p w14:paraId="0B5463A6">
      <w:pPr>
        <w:keepNext/>
        <w:keepLines/>
        <w:spacing w:line="600" w:lineRule="exact"/>
        <w:ind w:firstLine="643"/>
        <w:outlineLvl w:val="1"/>
        <w:rPr>
          <w:rFonts w:hint="eastAsia" w:ascii="仿宋_GB2312" w:hAnsi="仿宋_GB2312" w:eastAsia="仿宋_GB2312" w:cs="仿宋_GB2312"/>
          <w:b/>
          <w:bCs/>
          <w:sz w:val="32"/>
          <w:szCs w:val="32"/>
        </w:rPr>
      </w:pPr>
      <w:bookmarkStart w:id="67" w:name="_Hlk96780423"/>
      <w:bookmarkStart w:id="68" w:name="_Toc98508513"/>
      <w:bookmarkStart w:id="69" w:name="_Toc3519"/>
      <w:r>
        <w:rPr>
          <w:rFonts w:hint="eastAsia" w:ascii="仿宋_GB2312" w:hAnsi="仿宋_GB2312" w:eastAsia="仿宋_GB2312" w:cs="仿宋_GB2312"/>
          <w:b/>
          <w:bCs/>
          <w:sz w:val="32"/>
          <w:szCs w:val="32"/>
        </w:rPr>
        <w:t>6.3 淮河镇矿山修复工程</w:t>
      </w:r>
      <w:bookmarkEnd w:id="65"/>
      <w:bookmarkEnd w:id="66"/>
    </w:p>
    <w:p w14:paraId="1A98B574">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淮河镇主要为铁矿，主要分布在淮河社区、龙凤店村、王家湾村、亮子河村、何家湾村等地。淮河镇多为地下矿山需严防地表残余沉陷问题发生，加快建立政府引导、创新驱动、效益统筹的矿产资源节约与矿区生态修复长效机制，推进塌陷地复垦整治，加强淮河镇绿色矿山示范区建设。</w:t>
      </w:r>
    </w:p>
    <w:tbl>
      <w:tblPr>
        <w:tblStyle w:val="30"/>
        <w:tblW w:w="49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39"/>
      </w:tblGrid>
      <w:tr w14:paraId="0A2F1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5000" w:type="dxa"/>
            <w:shd w:val="clear" w:color="auto" w:fill="D7D7D7"/>
            <w:noWrap w:val="0"/>
            <w:vAlign w:val="center"/>
          </w:tcPr>
          <w:p w14:paraId="7B0BD152">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专栏6-3淮河镇矿山修复工程</w:t>
            </w:r>
          </w:p>
        </w:tc>
      </w:tr>
      <w:tr w14:paraId="5FAB5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5000" w:type="dxa"/>
            <w:noWrap w:val="0"/>
            <w:vAlign w:val="center"/>
          </w:tcPr>
          <w:p w14:paraId="3D77C3EB">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主要进行铁矿山生态修复，对金泰矿业有限公司杨家湾磁铁矿、天马矿业有限公司淮河店铁矿等主要矿区进行生态环境综合治理，开展矿区采空区内部支撑工程、尾矿资源再利用工程、环境风险防控工程，促进矿产资源开发利用与矿山地质环境保护和谐发展。</w:t>
            </w:r>
          </w:p>
        </w:tc>
      </w:tr>
      <w:bookmarkEnd w:id="67"/>
    </w:tbl>
    <w:p w14:paraId="2F4AD90B">
      <w:pPr>
        <w:keepNext/>
        <w:keepLines/>
        <w:spacing w:line="600" w:lineRule="exact"/>
        <w:ind w:firstLine="643"/>
        <w:outlineLvl w:val="1"/>
        <w:rPr>
          <w:rFonts w:hint="eastAsia" w:ascii="仿宋_GB2312" w:hAnsi="仿宋_GB2312" w:eastAsia="仿宋_GB2312" w:cs="仿宋_GB2312"/>
          <w:b/>
          <w:bCs/>
          <w:sz w:val="32"/>
          <w:szCs w:val="32"/>
        </w:rPr>
      </w:pPr>
      <w:bookmarkStart w:id="70" w:name="_Toc98508514"/>
      <w:bookmarkStart w:id="71" w:name="_Toc10353"/>
      <w:r>
        <w:rPr>
          <w:rFonts w:hint="eastAsia" w:ascii="仿宋_GB2312" w:hAnsi="仿宋_GB2312" w:eastAsia="仿宋_GB2312" w:cs="仿宋_GB2312"/>
          <w:b/>
          <w:bCs/>
          <w:sz w:val="32"/>
          <w:szCs w:val="32"/>
        </w:rPr>
        <w:t>6.4 洛阳-均川、柳林矿山修复工程</w:t>
      </w:r>
      <w:bookmarkEnd w:id="68"/>
      <w:bookmarkEnd w:id="69"/>
    </w:p>
    <w:p w14:paraId="1FC9665F">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区域主要涉及曾都区洛阳镇、何店镇，随县的柳林镇、均川镇，主要为重晶石矿区，分布在双利村、光河村、谌家岭村、谢店村、乔麦河村、桂华村、龚店村、珠宝山村等地。推进完善沉陷区恢复治理，根据沉陷区稳定性采取相应的生态环境恢复措施。推进完善生态环境保护措施落实机制，促进矿产资源开发利用与矿山地质环境保护和谐发展。</w:t>
      </w:r>
    </w:p>
    <w:tbl>
      <w:tblPr>
        <w:tblStyle w:val="30"/>
        <w:tblW w:w="49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39"/>
      </w:tblGrid>
      <w:tr w14:paraId="12AA2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5000" w:type="dxa"/>
            <w:shd w:val="clear" w:color="auto" w:fill="D7D7D7"/>
            <w:noWrap w:val="0"/>
            <w:vAlign w:val="center"/>
          </w:tcPr>
          <w:p w14:paraId="02D21FA8">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专栏6-4洛阳-均川、柳林矿山修复工程</w:t>
            </w:r>
          </w:p>
        </w:tc>
      </w:tr>
      <w:tr w14:paraId="18238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5000" w:type="dxa"/>
            <w:noWrap w:val="0"/>
            <w:vAlign w:val="center"/>
          </w:tcPr>
          <w:p w14:paraId="037FC100">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主要进行重晶石矿山生态修复，对联兴矿业有限责任公司重晶石矿、钰丰矿业有限公司谢店重晶石矿、洛阳重晶石矿等主要矿区进行生态环境综合治理，在避免地面沉陷的基础上优化产业资源配置，对已发生地面沉降的地区，预测地面沉降的发展趋势，并通过矿山开采中地下水资源的科学管理，压缩用水量、人工补给地下水和调整疏干排水层次等综合措施来控制和治理地面沉降，最大限度节约集约利用国土资源，开展矿山清洁生产、资源高效利用、产业绿色发展等工程。</w:t>
            </w:r>
          </w:p>
        </w:tc>
      </w:tr>
    </w:tbl>
    <w:p w14:paraId="77E33928">
      <w:pPr>
        <w:keepNext/>
        <w:keepLines/>
        <w:spacing w:line="600" w:lineRule="exact"/>
        <w:ind w:firstLine="643"/>
        <w:outlineLvl w:val="1"/>
        <w:rPr>
          <w:rFonts w:hint="eastAsia" w:ascii="仿宋_GB2312" w:hAnsi="仿宋_GB2312" w:eastAsia="仿宋_GB2312" w:cs="仿宋_GB2312"/>
          <w:b/>
          <w:bCs/>
          <w:sz w:val="32"/>
          <w:szCs w:val="32"/>
        </w:rPr>
      </w:pPr>
      <w:bookmarkStart w:id="72" w:name="_Toc98508515"/>
      <w:bookmarkStart w:id="73" w:name="_Toc2604"/>
      <w:r>
        <w:rPr>
          <w:rFonts w:hint="eastAsia" w:ascii="仿宋_GB2312" w:hAnsi="仿宋_GB2312" w:eastAsia="仿宋_GB2312" w:cs="仿宋_GB2312"/>
          <w:b/>
          <w:bCs/>
          <w:sz w:val="32"/>
          <w:szCs w:val="32"/>
        </w:rPr>
        <w:t>6.5 广水矿山修复工程</w:t>
      </w:r>
      <w:bookmarkEnd w:id="70"/>
      <w:bookmarkEnd w:id="71"/>
    </w:p>
    <w:p w14:paraId="287AC3FE">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区域涉及广水市十里街道办事处、广水街道办事处、中华山林场、李店镇等镇，分布在王家棚子村、仙人洞村、新华村、九联村、土门、南站村、龚店村、姚店村、腊水河村等地。做好在生态环境保护优先条件下的矿产开发，以生态环境的综合承受能力，合理调控资源开发强度，严格控制矿山数量；坚持预防为主、防治结合，强化矿山生态环境保护措施。</w:t>
      </w:r>
    </w:p>
    <w:tbl>
      <w:tblPr>
        <w:tblStyle w:val="30"/>
        <w:tblW w:w="49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39"/>
      </w:tblGrid>
      <w:tr w14:paraId="20B68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5000" w:type="dxa"/>
            <w:shd w:val="clear" w:color="auto" w:fill="D7D7D7"/>
            <w:noWrap w:val="0"/>
            <w:vAlign w:val="center"/>
          </w:tcPr>
          <w:p w14:paraId="35D13F65">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专栏6-5广水矿山修复工程</w:t>
            </w:r>
          </w:p>
        </w:tc>
      </w:tr>
      <w:tr w14:paraId="68AC4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5000" w:type="dxa"/>
            <w:noWrap w:val="0"/>
            <w:vAlign w:val="center"/>
          </w:tcPr>
          <w:p w14:paraId="6CD408BF">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进行矿山生态修复，对恒天矿业有限公司、鸿利石料厂、帽子石矿区建筑用大理岩矿、卢家岗-易家湾萤石矿、六猪咀矿区建筑石料用灰岩矿、刘家河建筑用白云岩矿等主要矿区进行生态环境综合治理，以加强生态保护和节约集约利用作为重点，开展废弃工矿地复垦、矿业转型升级、资源合理利用、矿山环境保护等工程，实现产业绿色发展。</w:t>
            </w:r>
          </w:p>
        </w:tc>
      </w:tr>
    </w:tbl>
    <w:p w14:paraId="65D644E3">
      <w:pPr>
        <w:spacing w:line="600" w:lineRule="exact"/>
        <w:ind w:firstLine="643"/>
        <w:outlineLvl w:val="2"/>
        <w:rPr>
          <w:rFonts w:hint="eastAsia" w:ascii="仿宋_GB2312" w:hAnsi="仿宋_GB2312" w:eastAsia="仿宋_GB2312" w:cs="仿宋_GB2312"/>
          <w:b/>
          <w:bCs/>
          <w:sz w:val="32"/>
          <w:szCs w:val="32"/>
        </w:rPr>
      </w:pPr>
      <w:bookmarkStart w:id="74" w:name="_Toc98508516"/>
      <w:r>
        <w:rPr>
          <w:rFonts w:hint="eastAsia" w:ascii="仿宋_GB2312" w:hAnsi="仿宋_GB2312" w:eastAsia="仿宋_GB2312" w:cs="仿宋_GB2312"/>
          <w:b/>
          <w:bCs/>
          <w:sz w:val="32"/>
          <w:szCs w:val="32"/>
        </w:rPr>
        <w:t>6.6 绿色矿山工程</w:t>
      </w:r>
      <w:bookmarkEnd w:id="72"/>
    </w:p>
    <w:p w14:paraId="24091449">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规划期内基本形成绿色矿山建设新格局。新建矿山全部达到绿色矿山建设要求，生产矿山加快改造升级，逐步达到要求。树立</w:t>
      </w:r>
      <w:r>
        <w:rPr>
          <w:rFonts w:ascii="仿宋_GB2312" w:hAnsi="仿宋_GB2312" w:eastAsia="仿宋_GB2312" w:cs="仿宋_GB2312"/>
          <w:sz w:val="32"/>
          <w:szCs w:val="32"/>
        </w:rPr>
        <w:t>2-3家科技引领、创新驱动型绿色矿山典范。形成一批可复制、能推广的新模式、新机制、新制度</w:t>
      </w:r>
      <w:r>
        <w:rPr>
          <w:rFonts w:hint="eastAsia" w:ascii="仿宋_GB2312" w:hAnsi="仿宋_GB2312" w:eastAsia="仿宋_GB2312" w:cs="仿宋_GB2312"/>
          <w:sz w:val="32"/>
          <w:szCs w:val="32"/>
        </w:rPr>
        <w:t>。</w:t>
      </w:r>
    </w:p>
    <w:p w14:paraId="25E52674">
      <w:pPr>
        <w:spacing w:line="600" w:lineRule="exact"/>
        <w:ind w:firstLine="643"/>
        <w:rPr>
          <w:rFonts w:hint="eastAsia" w:ascii="仿宋_GB2312" w:hAnsi="仿宋_GB2312" w:eastAsia="仿宋_GB2312" w:cs="仿宋_GB2312"/>
          <w:b/>
          <w:bCs/>
          <w:sz w:val="32"/>
          <w:szCs w:val="32"/>
        </w:rPr>
      </w:pPr>
    </w:p>
    <w:p w14:paraId="51D25DE1">
      <w:pPr>
        <w:widowControl/>
        <w:numPr>
          <w:ilvl w:val="0"/>
          <w:numId w:val="1"/>
        </w:numPr>
        <w:spacing w:line="600" w:lineRule="exact"/>
        <w:jc w:val="center"/>
        <w:outlineLvl w:val="0"/>
        <w:rPr>
          <w:rFonts w:hint="eastAsia" w:ascii="仿宋_GB2312" w:hAnsi="仿宋_GB2312" w:eastAsia="仿宋_GB2312" w:cs="仿宋_GB2312"/>
          <w:b/>
          <w:bCs/>
          <w:sz w:val="32"/>
          <w:szCs w:val="32"/>
        </w:rPr>
      </w:pPr>
      <w:bookmarkStart w:id="75" w:name="_Toc21426"/>
      <w:r>
        <w:rPr>
          <w:rFonts w:hint="eastAsia" w:ascii="仿宋_GB2312" w:hAnsi="仿宋_GB2312" w:eastAsia="仿宋_GB2312" w:cs="仿宋_GB2312"/>
          <w:b/>
          <w:bCs/>
          <w:sz w:val="32"/>
          <w:szCs w:val="32"/>
        </w:rPr>
        <w:t>特色生态廊道建设</w:t>
      </w:r>
      <w:bookmarkEnd w:id="73"/>
    </w:p>
    <w:p w14:paraId="284E0F80">
      <w:pPr>
        <w:keepNext/>
        <w:keepLines/>
        <w:spacing w:line="600" w:lineRule="exact"/>
        <w:ind w:firstLine="643"/>
        <w:outlineLvl w:val="1"/>
        <w:rPr>
          <w:rFonts w:hint="eastAsia" w:ascii="仿宋_GB2312" w:hAnsi="仿宋_GB2312" w:eastAsia="仿宋_GB2312" w:cs="仿宋_GB2312"/>
          <w:b/>
          <w:bCs/>
          <w:sz w:val="32"/>
          <w:szCs w:val="32"/>
        </w:rPr>
      </w:pPr>
      <w:bookmarkStart w:id="76" w:name="_Toc24173"/>
      <w:bookmarkStart w:id="77" w:name="_Toc117533261"/>
      <w:r>
        <w:rPr>
          <w:rFonts w:hint="eastAsia" w:ascii="仿宋_GB2312" w:hAnsi="仿宋_GB2312" w:eastAsia="仿宋_GB2312" w:cs="仿宋_GB2312"/>
          <w:b/>
          <w:bCs/>
          <w:sz w:val="32"/>
          <w:szCs w:val="32"/>
        </w:rPr>
        <w:t>7.1 重要生态斑块生态网络建设</w:t>
      </w:r>
      <w:bookmarkEnd w:id="74"/>
      <w:bookmarkEnd w:id="75"/>
    </w:p>
    <w:p w14:paraId="37B774BE">
      <w:pPr>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识别重要生态源地，实行差异化修复。</w:t>
      </w:r>
      <w:r>
        <w:rPr>
          <w:rFonts w:hint="eastAsia" w:ascii="仿宋_GB2312" w:hAnsi="仿宋_GB2312" w:eastAsia="仿宋_GB2312" w:cs="仿宋_GB2312"/>
          <w:sz w:val="32"/>
          <w:szCs w:val="32"/>
        </w:rPr>
        <w:t>生态保护网络的建设重点关注跨空间、跨流域、跨区域、跨行政边界等的系统性生态问题，通过“源地-廊道-节点”的生态保护网络建设，提高生态安全及可持续性。落实和细化国家、省市级保护修复规划划定的重要生态源地，结合生态红线以及调查评价结果，适当补充部分生态系统服务重要性高的斑块作为生态源地。优先保护修复自然保护地，针对问题突出的生态源地，根据其主要生态系统功能实行差异化修复。</w:t>
      </w:r>
    </w:p>
    <w:p w14:paraId="1AB15BA0">
      <w:pPr>
        <w:widowControl/>
        <w:spacing w:line="600" w:lineRule="exact"/>
        <w:ind w:firstLine="643"/>
        <w:jc w:val="left"/>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b/>
          <w:bCs/>
          <w:color w:val="000000"/>
          <w:sz w:val="32"/>
          <w:szCs w:val="32"/>
          <w:lang w:bidi="ar"/>
        </w:rPr>
        <w:t>提升重要生态功能区自然保护地连通性，提高生物多样性。</w:t>
      </w:r>
      <w:r>
        <w:rPr>
          <w:rFonts w:hint="eastAsia" w:ascii="仿宋_GB2312" w:hAnsi="仿宋_GB2312" w:eastAsia="仿宋_GB2312" w:cs="仿宋_GB2312"/>
          <w:color w:val="000000"/>
          <w:sz w:val="32"/>
          <w:szCs w:val="32"/>
          <w:lang w:bidi="ar"/>
        </w:rPr>
        <w:t>重点推进湖北中华山鸟类自然保护区、森林公园、湿地公园之间生物连通廊道构建，重要野生动植物能量通道建设，积极推进廊道内重要保护区、森林公园、湿地公园重要生态系统保育保护，加强廊道内外来物种管控，增强本土物种培育栽植，提升外来有害物种入侵抵御能力。对于公路经过的地区，可通过建设人工廊桥、隧道、涵洞等设施，方便野生动物安全通过；对于农林种植地带，可通过人工建设绿化带、森林抚育等方式，为野生动物提供安全隐蔽的通道。</w:t>
      </w:r>
    </w:p>
    <w:tbl>
      <w:tblPr>
        <w:tblStyle w:val="30"/>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79"/>
      </w:tblGrid>
      <w:tr w14:paraId="70204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jc w:val="center"/>
        </w:trPr>
        <w:tc>
          <w:tcPr>
            <w:tcW w:w="5000" w:type="dxa"/>
            <w:shd w:val="clear" w:color="auto" w:fill="D8D8D8"/>
            <w:noWrap w:val="0"/>
            <w:vAlign w:val="center"/>
          </w:tcPr>
          <w:p w14:paraId="60E6530D">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专栏7-1重要生态斑块生态网络建设重点工程</w:t>
            </w:r>
          </w:p>
        </w:tc>
      </w:tr>
      <w:tr w14:paraId="28058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jc w:val="center"/>
        </w:trPr>
        <w:tc>
          <w:tcPr>
            <w:tcW w:w="5000" w:type="dxa"/>
            <w:noWrap w:val="0"/>
            <w:vAlign w:val="center"/>
          </w:tcPr>
          <w:p w14:paraId="58100FED">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将市内生态服务价值较高的自然保护区、风景名胜、森林公园、湿地公园等确定为生境斑块，作为市生态网络保护的重点区域。物种在生态系统节点之间迁移会遇到地形、河流等方面的阻碍，根据实际情况，通过最小耗费路径模型来构建生态网络廊道。识别的主要生态斑块包括：湖北随县封江口国家湿地自然公园、七尖峰森林自然公园、花山林场等地。</w:t>
            </w:r>
          </w:p>
        </w:tc>
      </w:tr>
    </w:tbl>
    <w:p w14:paraId="2568EC78">
      <w:pPr>
        <w:keepNext/>
        <w:keepLines/>
        <w:spacing w:line="600" w:lineRule="exact"/>
        <w:ind w:firstLine="643"/>
        <w:outlineLvl w:val="1"/>
        <w:rPr>
          <w:rFonts w:hint="eastAsia" w:ascii="仿宋_GB2312" w:hAnsi="仿宋_GB2312" w:eastAsia="仿宋_GB2312" w:cs="仿宋_GB2312"/>
          <w:b/>
          <w:bCs/>
          <w:sz w:val="32"/>
          <w:szCs w:val="32"/>
        </w:rPr>
      </w:pPr>
      <w:bookmarkStart w:id="78" w:name="_Toc11779"/>
      <w:bookmarkStart w:id="79" w:name="_Toc117533262"/>
      <w:r>
        <w:rPr>
          <w:rFonts w:hint="eastAsia" w:ascii="仿宋_GB2312" w:hAnsi="仿宋_GB2312" w:eastAsia="仿宋_GB2312" w:cs="仿宋_GB2312"/>
          <w:b/>
          <w:bCs/>
          <w:sz w:val="32"/>
          <w:szCs w:val="32"/>
        </w:rPr>
        <w:t>7.2 加强骨干廊道与曾随文化走廊建设</w:t>
      </w:r>
      <w:bookmarkEnd w:id="76"/>
      <w:bookmarkEnd w:id="77"/>
    </w:p>
    <w:p w14:paraId="3068E6AD">
      <w:pPr>
        <w:spacing w:line="600" w:lineRule="exact"/>
        <w:ind w:firstLine="643"/>
        <w:outlineLvl w:val="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7.2.1 主要河流生态廊道建设</w:t>
      </w:r>
    </w:p>
    <w:p w14:paraId="2A6FEE0D">
      <w:pPr>
        <w:widowControl/>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开展河岸造林绿化行动。</w:t>
      </w:r>
      <w:r>
        <w:rPr>
          <w:rFonts w:hint="eastAsia" w:ascii="仿宋_GB2312" w:hAnsi="仿宋_GB2312" w:eastAsia="仿宋_GB2312" w:cs="仿宋_GB2312"/>
          <w:sz w:val="32"/>
          <w:szCs w:val="32"/>
        </w:rPr>
        <w:t>在中心城范围内，沿骨干河道两侧不小于20米处构筑连续开放的公共空间，形成以府河、淮河、溠水、㵐水、漂水、应山河、广水河等为骨架的7条河流廊道；在郊区推进城市开发边界外骨干河道两侧30-50米处建设生态林带，积极推广特色乡土树种，适地种树，有效增加河流流域内的林木绿化率，完善沿河防护林体系，构筑护堤护岸生态屏障，改善沿岸生态环境，打造绿色景观通道。</w:t>
      </w:r>
    </w:p>
    <w:p w14:paraId="75ED64D7">
      <w:pPr>
        <w:widowControl/>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加强河流水域岸线管理保护。</w:t>
      </w:r>
      <w:r>
        <w:rPr>
          <w:rFonts w:hint="eastAsia" w:ascii="仿宋_GB2312" w:hAnsi="仿宋_GB2312" w:eastAsia="仿宋_GB2312" w:cs="仿宋_GB2312"/>
          <w:sz w:val="32"/>
          <w:szCs w:val="32"/>
        </w:rPr>
        <w:t>严格水域岸线等水生态空间管控，依法划定河流管理范围。落实规划岸线分区管理要求，强化岸线保护和节约集约利用。严禁以各种名义侵占河道、围垦湖泊、非法采砂，对岸线乱占滥用、多占少用、占而不用等行为，开展清理整治，恢复河流水域岸线生态功能等工作。</w:t>
      </w:r>
    </w:p>
    <w:p w14:paraId="43B7B268">
      <w:pPr>
        <w:widowControl/>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加强水污染防治。</w:t>
      </w:r>
      <w:r>
        <w:rPr>
          <w:rFonts w:hint="eastAsia" w:ascii="仿宋_GB2312" w:hAnsi="仿宋_GB2312" w:eastAsia="仿宋_GB2312" w:cs="仿宋_GB2312"/>
          <w:sz w:val="32"/>
          <w:szCs w:val="32"/>
        </w:rPr>
        <w:t>明确河流水污染防治目标和任务，统筹水上、岸上污染治理，完善入河排污管控机制和考核体系。排查入河污染源，加强综合防治，严格治理工矿企业污染、城镇生活污染、农业面源污染，改善水环境质量。优化入河排污口布局，实施入河排污口整治。</w:t>
      </w:r>
    </w:p>
    <w:p w14:paraId="7B2A532D">
      <w:pPr>
        <w:widowControl/>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营造河清水洁、岸绿鱼游的良好生态环境。</w:t>
      </w:r>
      <w:r>
        <w:rPr>
          <w:rFonts w:hint="eastAsia" w:ascii="仿宋_GB2312" w:hAnsi="仿宋_GB2312" w:eastAsia="仿宋_GB2312" w:cs="仿宋_GB2312"/>
          <w:sz w:val="32"/>
          <w:szCs w:val="32"/>
        </w:rPr>
        <w:t>加强水环境治理，保障饮用水水源安全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大黑臭水体治理力度，实现河流环境整洁优美、水清岸绿；加强水生态修复，依法划定河流管理范围，强化山水林田湖草沙系统治理；加强执法监管，严厉打击涉河违法行为；加强河流水环境综合整治，推进水环境治理网格化和信息化建设，建立健全水环境风险评估排查、预警预报与响应机制；结合城市总体规划，因地制宜建设亲水生态岸线，加大黑臭水体治理力度，实现河流环境整洁优美、水清岸绿；以生活污水处理、生活垃圾处理为重点，综合整治农村水环境，推进美丽乡村建设。</w:t>
      </w:r>
    </w:p>
    <w:p w14:paraId="56B34A70">
      <w:pPr>
        <w:spacing w:line="600" w:lineRule="exact"/>
        <w:ind w:firstLine="643"/>
        <w:outlineLvl w:val="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7.2.2 主要交通干线廊道建设</w:t>
      </w:r>
    </w:p>
    <w:p w14:paraId="4B0EA5E1">
      <w:pPr>
        <w:widowControl/>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改善生态景观，建设市界门户和交通干线生态景观林带。</w:t>
      </w:r>
      <w:r>
        <w:rPr>
          <w:rFonts w:hint="eastAsia" w:ascii="仿宋_GB2312" w:hAnsi="仿宋_GB2312" w:eastAsia="仿宋_GB2312" w:cs="仿宋_GB2312"/>
          <w:sz w:val="32"/>
          <w:szCs w:val="32"/>
        </w:rPr>
        <w:t>以随州站、随州南站、随县站、广水站、旅游景区、度假区、特色小镇、历史文化名镇名村为重要节点，依托随州市现有主要交通道路构建生态廊道串联沿线城镇，保证自然生态过程的整体性和连续性，减少生物生存、迁移和分布的阻力，保护生物多样性。推进高速公路、铁路、国省道等主要交通干道的沿线宜林区造林绿化，优先在G4213麻城-安康高速公路、G0421许广高速公路、G70福州-银川高速公路、汉丹铁路、宁西铁路、小厉铁路高速、京广铁路开展绿化工作。</w:t>
      </w:r>
    </w:p>
    <w:p w14:paraId="72D23A5D">
      <w:pPr>
        <w:widowControl/>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打造“车在画中行、人在景中游”的效果。</w:t>
      </w:r>
      <w:r>
        <w:rPr>
          <w:rFonts w:hint="eastAsia" w:ascii="仿宋_GB2312" w:hAnsi="仿宋_GB2312" w:eastAsia="仿宋_GB2312" w:cs="仿宋_GB2312"/>
          <w:sz w:val="32"/>
          <w:szCs w:val="32"/>
        </w:rPr>
        <w:t>以公路、铁路为依托采用道路绿化和林带建设相结合的方式构建沿线生态廊道。规划高铁用地廊道按不小于120米控制，普铁干线用地廊道按不小于60米控制，其他铁路用地廊道按不小于50米控制；高速公路廊道控制在80－120米；国道廊道控制在50－100米；省道廊道控制在40－80米。</w:t>
      </w:r>
    </w:p>
    <w:p w14:paraId="3EA2B808">
      <w:pPr>
        <w:widowControl/>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加强沿线城镇村庄绿化美化。</w:t>
      </w:r>
      <w:r>
        <w:rPr>
          <w:rFonts w:hint="eastAsia" w:ascii="仿宋_GB2312" w:hAnsi="仿宋_GB2312" w:eastAsia="仿宋_GB2312" w:cs="仿宋_GB2312"/>
          <w:sz w:val="32"/>
          <w:szCs w:val="32"/>
        </w:rPr>
        <w:t>结合实施乡村振兴战略，充分挖掘生态廊道沿线城镇村庄的绿化潜力，拓展绿化空间，实施规划建绿、见缝插绿、拆违还绿；科学配置阔叶树种、彩叶树种，实施城镇村庄绿化、庭院美化、污水生态净化等工程；通过构建绿色开放空间，满足居民休闲游憩、文化生活需求，大力提升生态宜居水平。</w:t>
      </w:r>
    </w:p>
    <w:p w14:paraId="23AB34D5">
      <w:pPr>
        <w:spacing w:line="600" w:lineRule="exact"/>
        <w:ind w:firstLine="643"/>
        <w:outlineLvl w:val="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7.2.3 曾随文化遗址走廊建设</w:t>
      </w:r>
    </w:p>
    <w:p w14:paraId="6ABDAD92">
      <w:pPr>
        <w:pStyle w:val="237"/>
        <w:spacing w:line="600" w:lineRule="exact"/>
        <w:ind w:firstLine="640"/>
        <w:rPr>
          <w:rFonts w:hint="eastAsia" w:eastAsia="仿宋_GB2312" w:cs="仿宋_GB2312"/>
          <w:sz w:val="32"/>
          <w:szCs w:val="32"/>
          <w:lang w:val="en-US" w:bidi="ar"/>
        </w:rPr>
      </w:pPr>
      <w:r>
        <w:rPr>
          <w:rFonts w:hint="eastAsia" w:eastAsia="仿宋_GB2312" w:cs="仿宋_GB2312"/>
          <w:sz w:val="32"/>
          <w:szCs w:val="32"/>
          <w:lang w:val="en-US" w:bidi="ar"/>
        </w:rPr>
        <w:t>以庙台子遗址、叶家山墓地、义地岗墓群、擂鼓墩古墓群、安居遗址（包括安居城址和羊子山墓群）四处考古遗址为依托，打造考古遗址公园，形成一条曾随文化遗址走廊。站在“全球音乐圣地”的高度，将曾（随）文化走廊建设与炎帝文化、青铜小镇、编钟音乐创业产业园等文旅产业项目建设相结合，着眼长远，提高标准，突出特色，同步推进我市全域旅游发展。</w:t>
      </w:r>
    </w:p>
    <w:tbl>
      <w:tblPr>
        <w:tblStyle w:val="30"/>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79"/>
      </w:tblGrid>
      <w:tr w14:paraId="3606E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10" w:hRule="atLeast"/>
          <w:tblHeader/>
          <w:jc w:val="center"/>
        </w:trPr>
        <w:tc>
          <w:tcPr>
            <w:tcW w:w="5000" w:type="dxa"/>
            <w:shd w:val="clear" w:color="auto" w:fill="D8D8D8"/>
            <w:noWrap w:val="0"/>
            <w:vAlign w:val="center"/>
          </w:tcPr>
          <w:p w14:paraId="13C8ECC3">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专栏7-2骨干廊道与曾随文化走廊建设重点工程</w:t>
            </w:r>
          </w:p>
        </w:tc>
      </w:tr>
      <w:tr w14:paraId="766C9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jc w:val="center"/>
        </w:trPr>
        <w:tc>
          <w:tcPr>
            <w:tcW w:w="5000" w:type="dxa"/>
            <w:noWrap w:val="0"/>
            <w:vAlign w:val="center"/>
          </w:tcPr>
          <w:p w14:paraId="452E995E">
            <w:pPr>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 沿河生态廊道建设重点工程：</w:t>
            </w:r>
            <w:r>
              <w:rPr>
                <w:rFonts w:hint="eastAsia" w:ascii="仿宋_GB2312" w:hAnsi="仿宋_GB2312" w:eastAsia="仿宋_GB2312" w:cs="仿宋_GB2312"/>
                <w:sz w:val="32"/>
                <w:szCs w:val="32"/>
              </w:rPr>
              <w:t>在府河、淮河、溠水、㵐水、漂水、应山河、广水河流域，根据河道两侧滩涂、荒坡荒地等不同河段的立地条件，适地适树，有效增加河流流域内的林木绿化率，改善沿岸生态环境，打造绿色景观通道。加强水域岸线等水生态空间管控，清理整治侵占河道、岸线滥用等突出问题，恢复水域岸线生态功能，恢复水生动物通道和候鸟迁徙通道，保护生物多样性；加强重点河流上下游联动保护，实施生态补水保证生态流量，改善流域水系网格的系统性、整体性和连通性。</w:t>
            </w:r>
          </w:p>
          <w:p w14:paraId="1E25DF3C">
            <w:pPr>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 主要交通干线小尺度生态廊道建设重点工程：</w:t>
            </w:r>
            <w:r>
              <w:rPr>
                <w:rFonts w:hint="eastAsia" w:ascii="仿宋_GB2312" w:hAnsi="仿宋_GB2312" w:eastAsia="仿宋_GB2312" w:cs="仿宋_GB2312"/>
                <w:sz w:val="32"/>
                <w:szCs w:val="32"/>
              </w:rPr>
              <w:t>优先在G4213麻城-安康高速公路、G0421许广高速公路、G70福州-银川高速公路、汉丹铁路、宁西铁路、小厉铁路高速、京广铁路两侧至第一层山脊线或平原区1公里范围内具有重要生态功能、对生态系统完整性和生物多样性保护具有重要影响的可建区域进行建设，串联沿线城镇，推进高速公路、铁路、国省道等主要交通干道的沿线宜林区造林绿化以及沿线城镇村庄绿化美化，结合沿线环境特色打造线性景观。</w:t>
            </w:r>
          </w:p>
          <w:p w14:paraId="7D4402CA">
            <w:pPr>
              <w:spacing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 曾随文化遗址走廊建设重点工程：</w:t>
            </w:r>
            <w:r>
              <w:rPr>
                <w:rFonts w:hint="eastAsia" w:ascii="仿宋_GB2312" w:hAnsi="仿宋_GB2312" w:eastAsia="仿宋_GB2312" w:cs="仿宋_GB2312"/>
                <w:sz w:val="32"/>
                <w:szCs w:val="32"/>
              </w:rPr>
              <w:t>尽快构建考古遗址保护与建设的领导体制机制；高起点编制各考古遗址公园建设规划；加大投入力度，多方筹措考古遗址公园建设资金；立足长远，启动申报随州世界文化遗产，推动实施荆楚大遗址传承发展工程，创建曾随文化遗址国家文物保护利用示范区和实施随州市博物馆国家一级博物馆文化综合提升工程。</w:t>
            </w:r>
          </w:p>
        </w:tc>
      </w:tr>
    </w:tbl>
    <w:p w14:paraId="2B03422D">
      <w:pPr>
        <w:keepNext/>
        <w:keepLines/>
        <w:spacing w:line="600" w:lineRule="exact"/>
        <w:ind w:firstLine="643"/>
        <w:outlineLvl w:val="1"/>
        <w:rPr>
          <w:rFonts w:hint="eastAsia" w:ascii="仿宋_GB2312" w:hAnsi="仿宋_GB2312" w:eastAsia="仿宋_GB2312" w:cs="仿宋_GB2312"/>
          <w:b/>
          <w:bCs/>
          <w:sz w:val="32"/>
          <w:szCs w:val="32"/>
        </w:rPr>
      </w:pPr>
      <w:bookmarkStart w:id="80" w:name="_Toc117533263"/>
      <w:bookmarkStart w:id="81" w:name="_Toc16092"/>
      <w:r>
        <w:rPr>
          <w:rFonts w:hint="eastAsia" w:ascii="仿宋_GB2312" w:hAnsi="仿宋_GB2312" w:eastAsia="仿宋_GB2312" w:cs="仿宋_GB2312"/>
          <w:b/>
          <w:bCs/>
          <w:sz w:val="32"/>
          <w:szCs w:val="32"/>
        </w:rPr>
        <w:t>7.3 主要水库生态廊道建设</w:t>
      </w:r>
      <w:bookmarkEnd w:id="78"/>
      <w:bookmarkEnd w:id="79"/>
    </w:p>
    <w:p w14:paraId="57D2C9B1">
      <w:pPr>
        <w:widowControl/>
        <w:shd w:val="clear" w:color="auto" w:fill="FFFFFF"/>
        <w:spacing w:line="600" w:lineRule="exact"/>
        <w:ind w:firstLine="643"/>
        <w:rPr>
          <w:rFonts w:hint="eastAsia" w:ascii="仿宋_GB2312" w:hAnsi="仿宋_GB2312" w:eastAsia="仿宋_GB2312" w:cs="仿宋_GB2312"/>
          <w:sz w:val="32"/>
          <w:szCs w:val="32"/>
          <w:lang w:bidi="ar"/>
        </w:rPr>
      </w:pPr>
      <w:r>
        <w:rPr>
          <w:rFonts w:hint="eastAsia" w:ascii="仿宋_GB2312" w:hAnsi="仿宋_GB2312" w:eastAsia="仿宋_GB2312" w:cs="仿宋_GB2312"/>
          <w:b/>
          <w:bCs/>
          <w:sz w:val="32"/>
          <w:szCs w:val="32"/>
          <w:lang w:bidi="ar"/>
        </w:rPr>
        <w:t>构建重点水库生态圈。</w:t>
      </w:r>
      <w:r>
        <w:rPr>
          <w:rFonts w:hint="eastAsia" w:ascii="仿宋_GB2312" w:hAnsi="仿宋_GB2312" w:eastAsia="仿宋_GB2312" w:cs="仿宋_GB2312"/>
          <w:sz w:val="32"/>
          <w:szCs w:val="32"/>
          <w:lang w:bidi="ar"/>
        </w:rPr>
        <w:t>以徐家河水库、先觉庙水库、封江口水库、花山水库、白云湖等水库水体为主，构建连接重点河流、自然保护地、森林公园、重要湿地的环水库生态圈及生态缓冲带，增强河流水系的连通性，提升景观连通性和生态统稳定性，优化河流生态网络结构。</w:t>
      </w:r>
    </w:p>
    <w:p w14:paraId="387BE4E3">
      <w:pPr>
        <w:widowControl/>
        <w:spacing w:line="600" w:lineRule="exact"/>
        <w:ind w:firstLine="643"/>
        <w:jc w:val="left"/>
        <w:rPr>
          <w:rFonts w:hint="eastAsia" w:ascii="仿宋_GB2312" w:hAnsi="仿宋_GB2312" w:eastAsia="仿宋_GB2312" w:cs="仿宋_GB2312"/>
          <w:sz w:val="32"/>
          <w:szCs w:val="32"/>
          <w:lang w:bidi="ar"/>
        </w:rPr>
      </w:pPr>
      <w:r>
        <w:rPr>
          <w:rFonts w:hint="eastAsia" w:ascii="仿宋_GB2312" w:hAnsi="仿宋_GB2312" w:eastAsia="仿宋_GB2312" w:cs="仿宋_GB2312"/>
          <w:b/>
          <w:bCs/>
          <w:color w:val="333333"/>
          <w:sz w:val="32"/>
          <w:szCs w:val="32"/>
          <w:shd w:val="clear" w:color="auto" w:fill="FFFFFF"/>
          <w:lang w:bidi="ar"/>
        </w:rPr>
        <w:t>进一步加强河流水库水环境保护工作。</w:t>
      </w:r>
      <w:r>
        <w:rPr>
          <w:rFonts w:hint="eastAsia" w:ascii="仿宋_GB2312" w:hAnsi="仿宋_GB2312" w:eastAsia="仿宋_GB2312" w:cs="仿宋_GB2312"/>
          <w:sz w:val="32"/>
          <w:szCs w:val="32"/>
          <w:lang w:bidi="ar"/>
        </w:rPr>
        <w:t>加强库滨带综合治理，探索库周消落区生态修复，实施库区河流岸线生态修复、生态护岸治理和水生植物修复，恢复库区湿地生态功能。坚持保护优先和自然恢复为主的方针，优先保护水质较好、具有重要饮用水水源或重要生态功能的河流水库。采取预防措施，清理和治理现有和潜在污染源，划定并严守河流水库生态保护红线，严格保护湖滨、库区生态敏感区，留下更多的自然修复空间，防止河流水库生态环境退化。推动河流水库在保护中发展，在发展中保护。</w:t>
      </w:r>
    </w:p>
    <w:p w14:paraId="192A1E73">
      <w:pPr>
        <w:widowControl/>
        <w:spacing w:line="600" w:lineRule="exact"/>
        <w:ind w:firstLine="643"/>
        <w:jc w:val="left"/>
        <w:rPr>
          <w:rFonts w:hint="eastAsia" w:ascii="仿宋_GB2312" w:hAnsi="仿宋_GB2312" w:eastAsia="仿宋_GB2312" w:cs="仿宋_GB2312"/>
          <w:sz w:val="32"/>
          <w:szCs w:val="32"/>
          <w:lang w:bidi="ar"/>
        </w:rPr>
      </w:pPr>
      <w:r>
        <w:rPr>
          <w:rFonts w:hint="eastAsia" w:ascii="仿宋_GB2312" w:hAnsi="仿宋_GB2312" w:eastAsia="仿宋_GB2312" w:cs="仿宋_GB2312"/>
          <w:b/>
          <w:bCs/>
          <w:sz w:val="32"/>
          <w:szCs w:val="32"/>
          <w:lang w:bidi="ar"/>
        </w:rPr>
        <w:t>积极开展水岸带湿地保护和恢复工作。</w:t>
      </w:r>
      <w:r>
        <w:rPr>
          <w:rFonts w:hint="eastAsia" w:ascii="仿宋_GB2312" w:hAnsi="仿宋_GB2312" w:eastAsia="仿宋_GB2312" w:cs="仿宋_GB2312"/>
          <w:sz w:val="32"/>
          <w:szCs w:val="32"/>
          <w:lang w:bidi="ar"/>
        </w:rPr>
        <w:t>在河流主要支流、河口、水岸带，积极推广建设生态湿地系统，种植浮水、挺水、沉水植物，加快营造水生植物带。实施水库堤防改造、植物配置工程，提高水陆交换能力。因地制宜配置和改造农田林网，加强村庄绿化。禁止填河造地、围库造田、围库养殖等缩小水库水面的行为。加强水土流失防治。大力开展生态清洁型小流域建设、水库源头水涵养林和生态公益林建设，有计划地实施退耕还林，禁止采用全坡面全垦方式整地造林。水库集水区内禁止采矿、采石、取土、挖砂等活动。</w:t>
      </w:r>
    </w:p>
    <w:tbl>
      <w:tblPr>
        <w:tblStyle w:val="30"/>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79"/>
      </w:tblGrid>
      <w:tr w14:paraId="33C14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jc w:val="center"/>
        </w:trPr>
        <w:tc>
          <w:tcPr>
            <w:tcW w:w="5000" w:type="dxa"/>
            <w:shd w:val="clear" w:color="auto" w:fill="D8D8D8"/>
            <w:noWrap w:val="0"/>
            <w:vAlign w:val="center"/>
          </w:tcPr>
          <w:p w14:paraId="582DA155">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专栏7-3主要水库生态廊道建设重点工程</w:t>
            </w:r>
          </w:p>
        </w:tc>
      </w:tr>
      <w:tr w14:paraId="0B530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jc w:val="center"/>
        </w:trPr>
        <w:tc>
          <w:tcPr>
            <w:tcW w:w="5000" w:type="dxa"/>
            <w:noWrap w:val="0"/>
            <w:vAlign w:val="center"/>
          </w:tcPr>
          <w:p w14:paraId="15409944">
            <w:pPr>
              <w:pStyle w:val="2"/>
              <w:spacing w:line="600" w:lineRule="exact"/>
              <w:ind w:left="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以徐家河水库、先觉庙水库、封江口水库、花山水库、白云湖等水库水体为主，构建连接重点河流、自然保护地、森林公园、重要湿地的环湖、环库绿道，积极开展水岸带湿地保护和恢复工作，推进河流水库水环境保护工作，加快水生态保护修复重点任务实施进度，有效推动水库生态保护修复工作。</w:t>
            </w:r>
          </w:p>
        </w:tc>
      </w:tr>
    </w:tbl>
    <w:p w14:paraId="47B74F4C">
      <w:pPr>
        <w:pStyle w:val="2"/>
        <w:numPr>
          <w:ilvl w:val="0"/>
          <w:numId w:val="0"/>
        </w:numPr>
        <w:rPr>
          <w:rFonts w:hint="eastAsia"/>
        </w:rPr>
      </w:pPr>
    </w:p>
    <w:p w14:paraId="0AB00206">
      <w:pPr>
        <w:widowControl/>
        <w:numPr>
          <w:ilvl w:val="0"/>
          <w:numId w:val="1"/>
        </w:numPr>
        <w:spacing w:line="600" w:lineRule="exact"/>
        <w:jc w:val="center"/>
        <w:outlineLvl w:val="0"/>
        <w:rPr>
          <w:rFonts w:hint="eastAsia" w:ascii="仿宋_GB2312" w:hAnsi="仿宋_GB2312" w:eastAsia="仿宋_GB2312" w:cs="仿宋_GB2312"/>
          <w:b/>
          <w:bCs/>
          <w:sz w:val="32"/>
          <w:szCs w:val="32"/>
        </w:rPr>
      </w:pPr>
      <w:bookmarkStart w:id="82" w:name="_Toc117533264"/>
      <w:bookmarkStart w:id="83" w:name="_Toc24753"/>
      <w:r>
        <w:rPr>
          <w:rFonts w:hint="eastAsia" w:ascii="仿宋_GB2312" w:hAnsi="仿宋_GB2312" w:eastAsia="仿宋_GB2312" w:cs="仿宋_GB2312"/>
          <w:b/>
          <w:bCs/>
          <w:sz w:val="32"/>
          <w:szCs w:val="32"/>
        </w:rPr>
        <w:t>主要任务与重点区域</w:t>
      </w:r>
      <w:bookmarkEnd w:id="80"/>
      <w:bookmarkEnd w:id="81"/>
    </w:p>
    <w:p w14:paraId="3E9A4ACA">
      <w:pPr>
        <w:keepNext/>
        <w:keepLines/>
        <w:spacing w:line="600" w:lineRule="exact"/>
        <w:ind w:firstLine="643"/>
        <w:outlineLvl w:val="1"/>
        <w:rPr>
          <w:rFonts w:hint="eastAsia" w:ascii="仿宋_GB2312" w:hAnsi="仿宋_GB2312" w:eastAsia="仿宋_GB2312" w:cs="仿宋_GB2312"/>
          <w:b/>
          <w:bCs/>
          <w:sz w:val="32"/>
          <w:szCs w:val="32"/>
        </w:rPr>
      </w:pPr>
      <w:bookmarkStart w:id="84" w:name="_Toc117533265"/>
      <w:bookmarkStart w:id="85" w:name="_Toc17540"/>
      <w:r>
        <w:rPr>
          <w:rFonts w:hint="eastAsia" w:ascii="仿宋_GB2312" w:hAnsi="仿宋_GB2312" w:eastAsia="仿宋_GB2312" w:cs="仿宋_GB2312"/>
          <w:b/>
          <w:bCs/>
          <w:sz w:val="32"/>
          <w:szCs w:val="32"/>
        </w:rPr>
        <w:t>8.1 主要任务</w:t>
      </w:r>
      <w:bookmarkEnd w:id="82"/>
      <w:bookmarkEnd w:id="83"/>
    </w:p>
    <w:p w14:paraId="6BE40926">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根据随州市自然环境现状、生态环境问题以及生态保护修复目标，按照各分区主攻方向，部署全市生态修复重点任务，确定重点区域。</w:t>
      </w:r>
    </w:p>
    <w:p w14:paraId="22C69181">
      <w:pPr>
        <w:spacing w:line="600" w:lineRule="exact"/>
        <w:ind w:firstLine="643"/>
        <w:outlineLvl w:val="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8.1.1 提高生态空间整体质量</w:t>
      </w:r>
    </w:p>
    <w:p w14:paraId="595E5F56">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（1）加强自然生态空间保护</w:t>
      </w:r>
    </w:p>
    <w:p w14:paraId="2E4CA51D">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坚持生态保护和自然恢复为主，以重点生态功能区、生态保护红线、自然保护地为重点，加强对自然生态空间的整体保护和修复，注重创新生态保护修复模式，充分发挥生态系统自我修复能力。优先修复生态保护红线内受损退化用地，严格管理生态控制区内建设行为，加强对限制建设区的规划引导和改造治理，构建具有随州特色的自然保护地体系，实行自然保护地核心保护区与一般控制区差异化管控，制定准入正面清单。定期开展生态状况监测评估，确保依法保护的生态空间功能不降低、面积不减少、性质不改变。</w:t>
      </w:r>
    </w:p>
    <w:p w14:paraId="5081022A">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（2）提升生物多样性水平</w:t>
      </w:r>
    </w:p>
    <w:p w14:paraId="0C52DE49">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优先在全市3个生物多样性保护优先区域开展生物多样性调查、观测和评估，逐步建立多渠道、覆盖全域的生物多样性长期监测网络，探索建立生物多样性数据库，系统摸清全市生物多样性本底。</w:t>
      </w:r>
    </w:p>
    <w:p w14:paraId="60C83BB0">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强重点生物遗传资源、极小种群野生植物、极度濒危野生动物以及城市特有物种的保护和生境修复。适度留野、营造近自然生境，提升城区生物多样性。持续推进重要河流水库生态修复工程，修复水生生物栖息地，促进水生生物多样性恢复。</w:t>
      </w:r>
    </w:p>
    <w:p w14:paraId="2A7A8EC4">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优化生物多样性保护空间体系，通过绿环、绿带、绿廊与大尺度开敞空间相连通，增强生境斑块的连通性，保障生物觅食、活动和迁徙廊道畅通。加强山区、平原地区以及中心城区生物廊道的保护修复，提升城市生物多样性支撑能力。</w:t>
      </w:r>
    </w:p>
    <w:p w14:paraId="686B59B6">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（3）保障河流生态水量</w:t>
      </w:r>
    </w:p>
    <w:p w14:paraId="5E0FBEB9">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严格执行水资源消耗总量和强度双控，统筹协调好生活、生产、生态用水，优化水资源配置，推进水资源合理开发、高效利用和有效保护。</w:t>
      </w:r>
    </w:p>
    <w:p w14:paraId="4F38279C">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针对随州市水资源空间不均、日益短缺的问题，依托随州市7座大型水库、21座中型及各小型水库的优势，借助湖北水利“一号工程”鄂北干渠已经实现通水的机遇，按照“总量控制、节水优先、协调发展、多源互补”原则，加快推进一批重大引调水和水源工程，逐步完善与经济社会发展需求相适应的水资源配置格局；因地制宜实施大水源配置、大水厂建设、大管网延伸，大体量运营的城乡一体化供水工程，解决随州市大部分地区农村供水问题。</w:t>
      </w:r>
    </w:p>
    <w:p w14:paraId="2B83B7FC">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（4）加强重要河流水库生态修复</w:t>
      </w:r>
    </w:p>
    <w:p w14:paraId="1AD4EA30">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面推行落实好河湖长制，严格河湖库形态保护，加强河流水域岸线分区管控与用途管制，严格管控可能影响防洪安全、供水安全和生态安全的项目建设和活动，防范化解沿岸水环境风险。聚集府河、淮河、溠水、㵐水、漂水、应山河、广水河等生态安全地位重要、水环境水生态问题突出的河段和封江口水库、徐家河水库、先觉庙水库、飞沙河水库、许家冲水库、霞家河水库、高峰寺水库等水污染较严重、水生态系统脆弱、功能退化的重要水库，深入推进全流域、全要素水生态环境系统治理和保护修复，加强截污控源、清淤疏浚、调水引流，规范河流生态放养和生态捕捞，持续改善河流水环境，稳步修复河流水生态，积极开展美丽河流建设。</w:t>
      </w:r>
    </w:p>
    <w:p w14:paraId="6C37C554">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持续强化河流空间管控。完成河道和水利工程划界收尾工作，加快推进确权工作，筑牢河流生态保护屏障；推进河流“清四乱”常态化，继续开展“四乱”问题暗访巡查交办，完成水产种质资源保护区非法矮围清理整治任务，严厉打击河道非法采砂，加强涉河（库）项目建设监管，坚决杜绝新增“四乱”问题。</w:t>
      </w:r>
    </w:p>
    <w:p w14:paraId="0D677899">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持续打好碧水保卫战。深入推进碧水保护战主题行动；实施河流综合治理，完成白云湖水环境提升工程、梁家桥水生态连通工程，加快中小河流治理进度，启动府河随州段治理工程；持续开展“示范建设行动”，发挥示范河流示范引领作用；持续推进小微水体治理管护，结合乡村振兴、美丽乡村建设工作布局，农田水利、高标准农田建设项目实施，加强小微水体综合整治，强化小微水体日常保洁管护；加大河流日常保洁力度，做好河流巡查管护工作；深入推进水质水量保障行动，实施水质水量月报告制度，强化水质水量异常提醒制度，严格落实生态流量泄放制度；加强重点水域禁捕退捕管理，加强禁养区、限养区规模畜禽养殖场管控。</w:t>
      </w:r>
    </w:p>
    <w:p w14:paraId="31C31AD3">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（5）推进重要湿地保护与修复</w:t>
      </w:r>
    </w:p>
    <w:p w14:paraId="4E93770C">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严格湿地保护红线管控，强化湿地用途管制和利用监管，明确管控要求。全面保护国家重要湿地、国家湿地公园等重要湿地，持续推进国家湿地公园评估试点、湿地自然保护区和湿地公园建设，优先在徐家河和封江口库区等重要湿地开展退化湿地生态修复与示范，实施湿地生态修复与综合治理，恢复与重建典型湿地植被、重要物种及其生境，改善湿地生态质量，维护湿地生态系统完整性和稳定性。健全湿地监测评价制度，实行重要湿地动态监测，对生态风险和破坏活动进行预警，减少人为因素造成的湿地功能破坏，有效保护和合理利用湿地资源。</w:t>
      </w:r>
    </w:p>
    <w:p w14:paraId="65A1000E">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（6）加强水土流失、土地沙化和石漠化综合防治</w:t>
      </w:r>
    </w:p>
    <w:p w14:paraId="01482716">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桐柏山、淮河流域、府河流域、大洪山、大别山等重要水土保持区，建设生态林，加强现有植被保护，合理开发自然资源，限制开发建设活动，最大限度地减少人为因素造成新的水土流失；重点实施封江口水库、徐家河水库库滨带生态治理及库区土地沙化治理，加强河流上中游坡耕地治理，因地制宜开展生态清洁小流域建设。在桐柏山、大洪山、大别山等重点生态脆弱区，采取封山育林育草、植被管护、人工造林（种草）等多种措施加强石漠化综合治理，重点在大洪山石漠化地区实施封禁保护，促进石漠化地区生态自然修复。</w:t>
      </w:r>
    </w:p>
    <w:p w14:paraId="247DA168">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（7）推进森林总量和质量双提升</w:t>
      </w:r>
    </w:p>
    <w:p w14:paraId="4BFBFBBE">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强生态公益林保护修复。全面加强生态公益林和天然林保护，推动生态脆弱区生态修复，提升森林生态系统质量和稳定性。对徐家河水库、许家冲水库周围水源涵养林、水土保持林采取人工补植与天然更新有机结合的方式，修复地带性森林群落，形成阔叶、针阔混交林、复层林，增强森林的水源涵养和水土保持功能。一级水源保护区内的经济林，实施退果还林，防止农药、化肥施用污染和水土流失，补植阔叶树混交林，提高林分郁闭度，增强森林涵养水源和净化水质的功能。</w:t>
      </w:r>
      <w:bookmarkStart w:id="86" w:name="_Hlk106881162"/>
      <w:r>
        <w:rPr>
          <w:rFonts w:hint="eastAsia" w:ascii="仿宋_GB2312" w:hAnsi="仿宋_GB2312" w:eastAsia="仿宋_GB2312" w:cs="仿宋_GB2312"/>
          <w:sz w:val="32"/>
          <w:szCs w:val="32"/>
        </w:rPr>
        <w:t>保护好、建设好、利用好绿水青山，构筑鄂北生态屏障。探索“林长+”协作模式在“治山理水”中的作用，提高保护能力和管理水平</w:t>
      </w:r>
      <w:bookmarkEnd w:id="84"/>
      <w:r>
        <w:rPr>
          <w:rFonts w:hint="eastAsia" w:ascii="仿宋_GB2312" w:hAnsi="仿宋_GB2312" w:eastAsia="仿宋_GB2312" w:cs="仿宋_GB2312"/>
          <w:sz w:val="32"/>
          <w:szCs w:val="32"/>
        </w:rPr>
        <w:t>。</w:t>
      </w:r>
    </w:p>
    <w:p w14:paraId="3CE63A39">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持续推进低质低效林改造。通过森林抚育、树种结构调整、低质低效林改造、退化林修复等，逐步优化森林资源结构与分布格局，改善林分质量，促进森林蓄积量、森林植被碳密度、总碳储量的逐步增长，提升森林碳汇能力。将稀疏林分补植套种景观树种等，把森林生态修复与景观提升有机结合，形成具有区域森林植被群落特色的生态景观林。加大旅游道路、游步道两侧、主要景区景点、游憩（览）区周边彩化、花化、香化树种的配置，提升森林景观质量和旅游品质，形成“一园一景”。</w:t>
      </w:r>
    </w:p>
    <w:p w14:paraId="542DB4FF">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健全森林生态产品价值实现机制。落实森林资源生态效益补助政策，推动补偿对象和资金来源的多元化；明确公益林产权，化解生态产品供需矛盾，提高公众生态价值认知度和社会参与度。加强对森林资源保护修复活动的监督管理，建立监督检查机制，定期组织开展森林资源调查和动态监测，建立森林资源基础档案和数据管理平台，强化森林资源管理基础性工作。</w:t>
      </w:r>
    </w:p>
    <w:p w14:paraId="0C800EDF">
      <w:pPr>
        <w:pStyle w:val="187"/>
        <w:spacing w:before="0" w:after="0" w:line="600" w:lineRule="exact"/>
        <w:ind w:firstLine="643"/>
        <w:rPr>
          <w:rFonts w:ascii="仿宋_GB2312" w:hAnsi="仿宋_GB2312" w:eastAsia="仿宋_GB2312" w:cs="仿宋_GB2312"/>
          <w:sz w:val="32"/>
          <w:szCs w:val="32"/>
        </w:rPr>
      </w:pPr>
      <w:r>
        <w:rPr>
          <w:rFonts w:hint="eastAsia" w:ascii="仿宋_GB2312" w:hAnsi="仿宋_GB2312" w:eastAsia="仿宋_GB2312" w:cs="仿宋_GB2312"/>
          <w:sz w:val="32"/>
          <w:szCs w:val="32"/>
        </w:rPr>
        <w:t>（8）完善现代水网建设</w:t>
      </w:r>
    </w:p>
    <w:p w14:paraId="036FFF16">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积极谋划水资源配置、农村供水保障、流域综合治理等项目，通过工程措施补齐调水、供水工程短板，全力保障生产生活用水，提升水旱灾害防御能力，为随州高质量发展提供更坚实可靠的水利支撑。一是进一步优化水资源配置，加快推进湖北省鄂中丘陵地区水资源配置之随南大洪山北麓区域水资源配置工程。二是进一步提升农村供水保障水平，加快实施随州市农村供水保障工程，在随县实施“三片十线”工程、曾都实施“库库连通、水厂并网”工程、广水实施“五库连通、三线互补”工程。三是进一步强化流域综合治理，加快推进湖北省府河流域系统治理（随州段）一期工程，不断提升府河生态保护治理能力，实现人水和谐共生。</w:t>
      </w:r>
    </w:p>
    <w:p w14:paraId="77606325">
      <w:pPr>
        <w:spacing w:line="600" w:lineRule="exact"/>
        <w:ind w:firstLine="643"/>
        <w:outlineLvl w:val="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8</w:t>
      </w:r>
      <w:r>
        <w:rPr>
          <w:rFonts w:ascii="仿宋_GB2312" w:hAnsi="仿宋_GB2312" w:eastAsia="仿宋_GB2312" w:cs="仿宋_GB2312"/>
          <w:b/>
          <w:bCs/>
          <w:sz w:val="32"/>
          <w:szCs w:val="32"/>
        </w:rPr>
        <w:t xml:space="preserve">.1.2 </w:t>
      </w:r>
      <w:r>
        <w:rPr>
          <w:rFonts w:hint="eastAsia" w:ascii="仿宋_GB2312" w:hAnsi="仿宋_GB2312" w:eastAsia="仿宋_GB2312" w:cs="仿宋_GB2312"/>
          <w:b/>
          <w:bCs/>
          <w:sz w:val="32"/>
          <w:szCs w:val="32"/>
        </w:rPr>
        <w:t>提升农业空间生态功能</w:t>
      </w:r>
    </w:p>
    <w:p w14:paraId="6E7C4B40">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（1）积极推进全域国土综合整治</w:t>
      </w:r>
    </w:p>
    <w:p w14:paraId="42F1121D">
      <w:pPr>
        <w:widowControl/>
        <w:shd w:val="clear" w:color="auto" w:fill="FFFFFF"/>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以整体推进山水林田湖草沙全要素修复和村庄整治为中心，分析国土空间利用现状与存在问题，合理确定随州市乡村全域国土综合整治的目标与任务，划分国土空间综合整治分区并确定其整治方向，逐步加强农业生产空间保护与生态治理，有序推进农村建设用地盘活与脱贫攻坚，探索农村环境问题治理与人居环境建设，统筹安排重点工程和项目，有效整合资源和引导资金，从而解决乡村发展中面临的耕地碎片化、空间布局无序化、资源利用低效化和生态质量退化等系统性问题，促进经济社会生态的可持续发展。</w:t>
      </w:r>
    </w:p>
    <w:p w14:paraId="42759D5E">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（2）开展耕地提质增效和退化耕地治理</w:t>
      </w:r>
    </w:p>
    <w:p w14:paraId="0209A289">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统筹推进农田基础设施建设、耕地提质改造和污染土壤修复等行动，增加耕地数量，提高耕地质量，改善农田生态。以粮食生产功能区、重要农产品生产保护区和耕地保护为重点，</w:t>
      </w:r>
      <w:r>
        <w:rPr>
          <w:rFonts w:ascii="仿宋_GB2312" w:hAnsi="仿宋_GB2312" w:eastAsia="仿宋_GB2312" w:cs="仿宋_GB2312"/>
          <w:sz w:val="32"/>
          <w:szCs w:val="32"/>
        </w:rPr>
        <w:t>开展减轻或消除主要限制性因素，全面提高农田综合生产能力而开展的田块整治、灌溉与排水、田间道路、农田防护与生态环境保护、农田输配电等农田基础设施建设和土壤改良、障碍土层消除、土壤培肥等农田地力提升活动，建成田块平整、集中连片、设施完善、节水高效、农电配套、宜机作业、土壤肥沃、生态友好、抗灾能力强，与现代农业生产和经营方式相适应的旱涝保收，稳产高产的耕地</w:t>
      </w:r>
      <w:r>
        <w:rPr>
          <w:rFonts w:hint="eastAsia" w:ascii="仿宋_GB2312" w:hAnsi="仿宋_GB2312" w:eastAsia="仿宋_GB2312" w:cs="仿宋_GB2312"/>
          <w:sz w:val="32"/>
          <w:szCs w:val="32"/>
        </w:rPr>
        <w:t>，全面增强粮食综合生产能力。</w:t>
      </w:r>
    </w:p>
    <w:p w14:paraId="355B31B2">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（3）加强农业生态系统保护</w:t>
      </w:r>
    </w:p>
    <w:p w14:paraId="02F340B2">
      <w:pPr>
        <w:widowControl/>
        <w:shd w:val="clear" w:color="auto" w:fill="FFFFFF"/>
        <w:spacing w:line="600" w:lineRule="exact"/>
        <w:ind w:firstLine="640"/>
        <w:rPr>
          <w:rFonts w:hint="eastAsia"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以“生态修复、环境保护、绿色发展”为重点，全力推进绿色农业、生态水系、美丽田园、清洁家园建设，全面提升群众生产生活品质和生态环境质量，将随州建成绿色农业生态系统示范区。制定不同区域的综合整治方向和管制规则，为科学推进农业面源污染治理、优化农业产业结构和生产力布局服务，逐步构建基于环境资源承载力的农业绿色发展格局。</w:t>
      </w:r>
    </w:p>
    <w:p w14:paraId="61327140">
      <w:pPr>
        <w:spacing w:line="600" w:lineRule="exact"/>
        <w:ind w:firstLine="643"/>
        <w:outlineLvl w:val="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8.1.3 改善城镇空间生态品质</w:t>
      </w:r>
    </w:p>
    <w:p w14:paraId="3959615F">
      <w:pPr>
        <w:pStyle w:val="187"/>
        <w:numPr>
          <w:ilvl w:val="0"/>
          <w:numId w:val="2"/>
        </w:numPr>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积极推进公园城市建设</w:t>
      </w:r>
    </w:p>
    <w:p w14:paraId="0E10A680">
      <w:pPr>
        <w:widowControl/>
        <w:shd w:val="clear" w:color="auto" w:fill="FFFFFF"/>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bidi="ar"/>
        </w:rPr>
        <w:t>因地制宜地建设湿地公园、雨水花园等海绵绿地，</w:t>
      </w:r>
      <w:r>
        <w:rPr>
          <w:rFonts w:hint="eastAsia" w:ascii="仿宋_GB2312" w:hAnsi="仿宋_GB2312" w:eastAsia="仿宋_GB2312" w:cs="仿宋_GB2312"/>
          <w:sz w:val="32"/>
          <w:szCs w:val="32"/>
        </w:rPr>
        <w:t>科学规划布局城市绿环、绿廊、绿楔、绿道，优化城市绿地布局，拓展城市绿色空间，开展老旧公园提质改造，提升城市品质，打造公园城市。</w:t>
      </w:r>
      <w:r>
        <w:rPr>
          <w:rFonts w:hint="eastAsia" w:ascii="仿宋_GB2312" w:hAnsi="仿宋_GB2312" w:eastAsia="仿宋_GB2312" w:cs="仿宋_GB2312"/>
          <w:sz w:val="32"/>
          <w:szCs w:val="32"/>
          <w:lang w:bidi="ar"/>
        </w:rPr>
        <w:t>用城市圈内山水资源，布局生态游憩功能为一体的郊野公园、自然保护区等区域公园，将其建设成为集市民家庭休闲、文化艺术、科普教育、户外运动功能为一体的综合性城镇开放空间。强化历史文化保护、塑造城市风貌。健全社会保障服务、优化公共设施布局，加强公共绿地建设与特色文化发展。</w:t>
      </w:r>
    </w:p>
    <w:p w14:paraId="2E9DB1A2">
      <w:pPr>
        <w:pStyle w:val="187"/>
        <w:numPr>
          <w:ilvl w:val="0"/>
          <w:numId w:val="2"/>
        </w:numPr>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加强城镇及周边自然生态资源保护</w:t>
      </w:r>
    </w:p>
    <w:p w14:paraId="08668F7A">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针对城镇及周边生态功能退化的区域，加强生态修复工作。强化自然保护地建设和监管，有序推进全市自然保护地整合优化和勘界立标，开展自然保护地自然资源统一确权登记，逐步落实自然保护地管理机构，初步形成以自然保护区为基础、各类自然公园为补充的自然保护地体系。建立城市群生态环境监管联动机制。联合开展重点区域、流域执法检查，共同打击违法排污问题。互通共享固体废物管理信息，共用互补固废处理处置设施，共同打击跨行政区域非法排放、倾倒、处置危险废物等环境违法犯罪。探索城市群排污权和碳排放交易机制。完善城市群生态环境信用体系。开展跨市突发环境事件联合应急演练，提升城市群生态环境应急管理能力。</w:t>
      </w:r>
    </w:p>
    <w:p w14:paraId="5C56C702">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（3）构建蓝绿交织的多层次生态网络</w:t>
      </w:r>
    </w:p>
    <w:p w14:paraId="0F32B9E8">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依托城市交通道路、水系、水库以及重要生态斑块构建层次鲜明、功能多样、内涵丰富、顺畅便捷的骨干廊道、水库廊道以及重要生态斑块生态网络。将自然系统引入城市，构建多类型、多层次、多功能、成网络的高质量绿色空间体系。完善以绿兴业、以绿惠民政策机制，不断扩大绿色生态空间。着力建设以绿为体、林水相依的绿色景观系统，推动城市内部绿地、水系同外围的河流、森林、湿地、耕地有机连接，构建功能复合、包容联通的城市生态廊道系统。维护山水城格局的连续完整，严格管控城市观山观水的景观视廊以及重要文化遗产的背景区域，促进城市与山水环境交融渗透。</w:t>
      </w:r>
    </w:p>
    <w:p w14:paraId="4C099983">
      <w:pPr>
        <w:spacing w:line="600" w:lineRule="exact"/>
        <w:ind w:firstLine="643"/>
        <w:outlineLvl w:val="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8.1.4 巩固提升整体碳汇能力</w:t>
      </w:r>
    </w:p>
    <w:p w14:paraId="5B6CBED7">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（1）巩固生态系统固碳能力</w:t>
      </w:r>
    </w:p>
    <w:p w14:paraId="7E4B30BD">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结合国土空间规划和生态修复规划编制和实施，构建有利于碳达峰、碳中和的国土空间开发保护格局。通过强化国土空间规划和用途管制，严守生态保护红线，严控生态空间占用，建立自然保护地体系，巩固生态系统碳库功能，防止由碳汇转为碳源。加强以桐柏山、大别山、大洪山等重点生态功能区生态林建设、森林植被资源保护，稳定现有森林植被固碳能力；加大以徐家河、封江口库区和湖群为依托的湿地生态系统保护力度，充分发挥湿地固碳功能。</w:t>
      </w:r>
    </w:p>
    <w:p w14:paraId="010A28B0">
      <w:pPr>
        <w:pStyle w:val="187"/>
        <w:spacing w:before="0" w:after="0" w:line="600" w:lineRule="exact"/>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（2）提升生态系统碳汇能力</w:t>
      </w:r>
    </w:p>
    <w:p w14:paraId="7DA28BE2">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积极实施生态保护修复重点工程，加强府河、淮河、溠水、㵐水、漂水、应山河、广水河等沿河流防护林建设，推进桐柏山、大别山、大洪山等重点区域水源涵养林、水土保持林等生态林建设，合理调整林地结构，提升林分质量，以府河、淮河及其他骨干河流生态缓冲带网（蓝网）及随西北桐柏山-大别山、随东南大洪山生态屏障两屏为重点提升林地碳汇。加强河流湿地保护修复，构建完整多样的湿地生态系统，提升湿地碳汇能力。以随中、随东农村人居环境提升和农业生态保护修复区为重点推进保护性耕作，提升土壤有机碳储量，增加土壤碳汇。</w:t>
      </w:r>
    </w:p>
    <w:p w14:paraId="46FD08EA">
      <w:pPr>
        <w:spacing w:line="600" w:lineRule="exact"/>
        <w:ind w:firstLine="643"/>
        <w:outlineLvl w:val="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8.1.5 打造生态修复特色区域</w:t>
      </w:r>
    </w:p>
    <w:p w14:paraId="4A423D6D">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紧扣“汉襄肱骨，神韵随州”随州城市发展目标定位，以文化旅游高质量发展为第一要务，以创新驱动为首要支撑，以全面深化改革为根本动力，全力推进随州市文化旅游业突破性发展。坚持事业发展和产业，提升“两业并举”，深入实施文化和旅游“五化协同”（品质化、全域化、标准化、融合化、智慧化），遵循生态优先、产城融合、城乡统筹、主客共享基本原则，围绕“旅游+”和“+旅游”，积极探索新业态、新模式、新场景，大力推进文化旅游产业提质增效和转型升级。以发展文旅产业经济为引擎，重点发展文化旅游主导产业，努力形成文化引领、旅游拉动、经济转型、生态改善、生活富裕、体制创新的“六位一体”发展格局，建设文化韵味深厚、旅游服务优质、文旅深度融合发展的国际文旅名城。</w:t>
      </w:r>
    </w:p>
    <w:p w14:paraId="1A8ABEA4">
      <w:pPr>
        <w:keepNext/>
        <w:keepLines/>
        <w:spacing w:line="600" w:lineRule="exact"/>
        <w:ind w:firstLine="643"/>
        <w:outlineLvl w:val="1"/>
        <w:rPr>
          <w:rFonts w:hint="eastAsia" w:ascii="仿宋_GB2312" w:hAnsi="仿宋_GB2312" w:eastAsia="仿宋_GB2312" w:cs="仿宋_GB2312"/>
          <w:b/>
          <w:bCs/>
          <w:sz w:val="32"/>
          <w:szCs w:val="32"/>
        </w:rPr>
      </w:pPr>
      <w:bookmarkStart w:id="87" w:name="_Toc117533266"/>
      <w:bookmarkStart w:id="88" w:name="_Toc10689"/>
      <w:r>
        <w:rPr>
          <w:rFonts w:hint="eastAsia" w:ascii="仿宋_GB2312" w:hAnsi="仿宋_GB2312" w:eastAsia="仿宋_GB2312" w:cs="仿宋_GB2312"/>
          <w:b/>
          <w:bCs/>
          <w:sz w:val="32"/>
          <w:szCs w:val="32"/>
        </w:rPr>
        <w:t>8.2 重点区域</w:t>
      </w:r>
      <w:bookmarkEnd w:id="85"/>
      <w:bookmarkEnd w:id="86"/>
    </w:p>
    <w:p w14:paraId="7DC63845">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统筹考虑生态系统类型和质量、生态功能重要性、生态环境敏感性以及山水林田湖草各要素的空间关联性、系统性和耦合性，基于生态系统受损、退化和破坏程度及生态修复价值和潜力的综合评价，明确随州市国土空间生态保护、生态修复和生态整治的重点区域。</w:t>
      </w:r>
    </w:p>
    <w:p w14:paraId="62F70C77">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桐柏山：加强七尖峰森林公园自然保护地和太白顶风景名胜区生态修复，提高物种栖息地连通性，开展桐柏山水土流失综合治理。</w:t>
      </w:r>
    </w:p>
    <w:p w14:paraId="7D00FA83">
      <w:pPr>
        <w:widowControl/>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封江口水库：重点修复封江口库湾水生态环境，提高库区水生生物多样性，加强湿地生态综合治理，保护和恢复湿地生态系统。</w:t>
      </w:r>
    </w:p>
    <w:p w14:paraId="4992F000">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别山：重点加强大贵寺森林公园、湖北中华山鸟类自然保护区等自然保护地保护修复，改善修复许家冲水库、高峰寺水库等区域水生态环境，提高国家级公益林保护，大力开展区域水土流失综合治理，提升生物多样性。</w:t>
      </w:r>
    </w:p>
    <w:p w14:paraId="2ECC1C6F">
      <w:pPr>
        <w:widowControl/>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淮河流域：重点进行淮河流域水生态环境和湿地生态综合治理，提高沿线森林植被覆盖率，稳步提升森林质量，维护生物多样性。</w:t>
      </w:r>
    </w:p>
    <w:p w14:paraId="7F638B0E">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府河流域：重点修复涢水、均水、浪河水生态环境，完善沿河防护林和缓冲带建设，加强生态流量调控，推进澴潭水库、白果河水库等库区系统治理。</w:t>
      </w:r>
    </w:p>
    <w:p w14:paraId="2AF7F64A">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洪山：重点加强大洪山国家森林公园、随州银杏省级森林公园、随州大洪山省级地质公园等自然保护地保护修复，改善修复大洪山水库、岩子河水库、桃园河水库等区域水生态环境，大力开展区域水土流失和石漠化综合治理。</w:t>
      </w:r>
    </w:p>
    <w:p w14:paraId="17410AAC">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吴山-万和：重点加强吴山镇、万和镇矿山生态修复，大力开展水土流失综合治理。</w:t>
      </w:r>
    </w:p>
    <w:p w14:paraId="7CCB5218">
      <w:pPr>
        <w:widowControl/>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徐家河水库：重点修复徐家河库区水生态环境，推进湿地生态综合治理，加强库区周边土地沙化综合治理，提高国家级公益林保护，稳步提升森林质量，维护生物多样性。</w:t>
      </w:r>
    </w:p>
    <w:p w14:paraId="5098C40D">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平原：重点修复溠水、㵐水、漂水、广水河、应山河水生态环境，完善沿河防护林和缓冲带建设，加强生态流量调控，持续治理平原农业面源污染，提升人居环境品质。</w:t>
      </w:r>
    </w:p>
    <w:p w14:paraId="6FF83C63">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表8-1：随州市生态修复重点区域</w:t>
      </w:r>
    </w:p>
    <w:tbl>
      <w:tblPr>
        <w:tblStyle w:val="3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5"/>
        <w:gridCol w:w="2124"/>
        <w:gridCol w:w="5406"/>
      </w:tblGrid>
      <w:tr w14:paraId="6AA4A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42" w:type="dxa"/>
            <w:noWrap w:val="0"/>
            <w:vAlign w:val="center"/>
          </w:tcPr>
          <w:p w14:paraId="581A986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重点区域</w:t>
            </w:r>
          </w:p>
        </w:tc>
        <w:tc>
          <w:tcPr>
            <w:tcW w:w="1173" w:type="dxa"/>
            <w:noWrap w:val="0"/>
            <w:vAlign w:val="center"/>
          </w:tcPr>
          <w:p w14:paraId="5FB5B4D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涉及范围</w:t>
            </w:r>
          </w:p>
        </w:tc>
        <w:tc>
          <w:tcPr>
            <w:tcW w:w="2985" w:type="dxa"/>
            <w:noWrap w:val="0"/>
            <w:vAlign w:val="center"/>
          </w:tcPr>
          <w:p w14:paraId="29E0454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主要生态问题</w:t>
            </w:r>
          </w:p>
        </w:tc>
      </w:tr>
      <w:tr w14:paraId="21E5D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42" w:type="dxa"/>
            <w:noWrap w:val="0"/>
            <w:vAlign w:val="center"/>
          </w:tcPr>
          <w:p w14:paraId="2598BACB">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桐柏山北部</w:t>
            </w:r>
          </w:p>
        </w:tc>
        <w:tc>
          <w:tcPr>
            <w:tcW w:w="1173" w:type="dxa"/>
            <w:noWrap w:val="0"/>
            <w:vAlign w:val="center"/>
          </w:tcPr>
          <w:p w14:paraId="62D1D806">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万和镇</w:t>
            </w:r>
          </w:p>
        </w:tc>
        <w:tc>
          <w:tcPr>
            <w:tcW w:w="2985" w:type="dxa"/>
            <w:noWrap w:val="0"/>
            <w:vAlign w:val="center"/>
          </w:tcPr>
          <w:p w14:paraId="7A099299">
            <w:pPr>
              <w:spacing w:line="60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存在水土流失和石漠化</w:t>
            </w:r>
          </w:p>
        </w:tc>
      </w:tr>
      <w:tr w14:paraId="48EE7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42" w:type="dxa"/>
            <w:noWrap w:val="0"/>
            <w:vAlign w:val="center"/>
          </w:tcPr>
          <w:p w14:paraId="71176A5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封江口水库</w:t>
            </w:r>
          </w:p>
        </w:tc>
        <w:tc>
          <w:tcPr>
            <w:tcW w:w="1173" w:type="dxa"/>
            <w:noWrap w:val="0"/>
            <w:vAlign w:val="center"/>
          </w:tcPr>
          <w:p w14:paraId="36C651DB">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厉山镇</w:t>
            </w:r>
          </w:p>
        </w:tc>
        <w:tc>
          <w:tcPr>
            <w:tcW w:w="2985" w:type="dxa"/>
            <w:noWrap w:val="0"/>
            <w:vAlign w:val="center"/>
          </w:tcPr>
          <w:p w14:paraId="45EC6349">
            <w:pPr>
              <w:spacing w:line="60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湿地环境遭受破坏，水库水质轻微污染</w:t>
            </w:r>
          </w:p>
        </w:tc>
      </w:tr>
      <w:tr w14:paraId="30D09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5" w:hRule="exact"/>
          <w:jc w:val="center"/>
        </w:trPr>
        <w:tc>
          <w:tcPr>
            <w:tcW w:w="842" w:type="dxa"/>
            <w:noWrap w:val="0"/>
            <w:vAlign w:val="center"/>
          </w:tcPr>
          <w:p w14:paraId="197FA3E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大别山南部</w:t>
            </w:r>
          </w:p>
        </w:tc>
        <w:tc>
          <w:tcPr>
            <w:tcW w:w="1173" w:type="dxa"/>
            <w:noWrap w:val="0"/>
            <w:vAlign w:val="center"/>
          </w:tcPr>
          <w:p w14:paraId="598074B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十里街道办事处、蔡河镇、中华山林场</w:t>
            </w:r>
          </w:p>
        </w:tc>
        <w:tc>
          <w:tcPr>
            <w:tcW w:w="2985" w:type="dxa"/>
            <w:noWrap w:val="0"/>
            <w:vAlign w:val="center"/>
          </w:tcPr>
          <w:p w14:paraId="6205F255">
            <w:pPr>
              <w:spacing w:line="60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森林质量不高，森林病虫害现象显现，外来物种入侵，珍稀物种栖息地连通性有待进一步加强</w:t>
            </w:r>
          </w:p>
        </w:tc>
      </w:tr>
      <w:tr w14:paraId="0FDB3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exact"/>
          <w:jc w:val="center"/>
        </w:trPr>
        <w:tc>
          <w:tcPr>
            <w:tcW w:w="842" w:type="dxa"/>
            <w:noWrap w:val="0"/>
            <w:vAlign w:val="center"/>
          </w:tcPr>
          <w:p w14:paraId="01C1902F">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淮河流域</w:t>
            </w:r>
          </w:p>
        </w:tc>
        <w:tc>
          <w:tcPr>
            <w:tcW w:w="1173" w:type="dxa"/>
            <w:noWrap w:val="0"/>
            <w:vAlign w:val="center"/>
          </w:tcPr>
          <w:p w14:paraId="3BA46C8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淮河镇</w:t>
            </w:r>
          </w:p>
        </w:tc>
        <w:tc>
          <w:tcPr>
            <w:tcW w:w="2985" w:type="dxa"/>
            <w:noWrap w:val="0"/>
            <w:vAlign w:val="center"/>
          </w:tcPr>
          <w:p w14:paraId="04028F28">
            <w:pPr>
              <w:spacing w:line="60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河流湿地功能下降，存在水土流失</w:t>
            </w:r>
          </w:p>
        </w:tc>
      </w:tr>
      <w:tr w14:paraId="433BC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7" w:hRule="exact"/>
          <w:jc w:val="center"/>
        </w:trPr>
        <w:tc>
          <w:tcPr>
            <w:tcW w:w="842" w:type="dxa"/>
            <w:noWrap w:val="0"/>
            <w:vAlign w:val="center"/>
          </w:tcPr>
          <w:p w14:paraId="6C08D085">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府河流域</w:t>
            </w:r>
          </w:p>
        </w:tc>
        <w:tc>
          <w:tcPr>
            <w:tcW w:w="1173" w:type="dxa"/>
            <w:noWrap w:val="0"/>
            <w:vAlign w:val="center"/>
          </w:tcPr>
          <w:p w14:paraId="3C2ADDE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何店镇、安居镇、环潭镇、均川镇</w:t>
            </w:r>
          </w:p>
        </w:tc>
        <w:tc>
          <w:tcPr>
            <w:tcW w:w="2985" w:type="dxa"/>
            <w:noWrap w:val="0"/>
            <w:vAlign w:val="center"/>
          </w:tcPr>
          <w:p w14:paraId="5E835CA2">
            <w:pPr>
              <w:spacing w:line="60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径流量减少，水流动性变差，水环境容量降低</w:t>
            </w:r>
          </w:p>
        </w:tc>
      </w:tr>
      <w:tr w14:paraId="0ED60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0" w:hRule="exact"/>
          <w:jc w:val="center"/>
        </w:trPr>
        <w:tc>
          <w:tcPr>
            <w:tcW w:w="842" w:type="dxa"/>
            <w:noWrap w:val="0"/>
            <w:vAlign w:val="center"/>
          </w:tcPr>
          <w:p w14:paraId="68196149">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大洪山西部</w:t>
            </w:r>
          </w:p>
        </w:tc>
        <w:tc>
          <w:tcPr>
            <w:tcW w:w="1173" w:type="dxa"/>
            <w:noWrap w:val="0"/>
            <w:vAlign w:val="center"/>
          </w:tcPr>
          <w:p w14:paraId="63B5F77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洪山镇、长岗镇</w:t>
            </w:r>
          </w:p>
        </w:tc>
        <w:tc>
          <w:tcPr>
            <w:tcW w:w="2985" w:type="dxa"/>
            <w:noWrap w:val="0"/>
            <w:vAlign w:val="center"/>
          </w:tcPr>
          <w:p w14:paraId="17274AE2">
            <w:pPr>
              <w:spacing w:line="60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存在水土流失，岩溶地区易出现石漠化，生物多样性水平有待进一步提高</w:t>
            </w:r>
          </w:p>
        </w:tc>
      </w:tr>
      <w:tr w14:paraId="419BF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42" w:type="dxa"/>
            <w:noWrap w:val="0"/>
            <w:vAlign w:val="center"/>
          </w:tcPr>
          <w:p w14:paraId="5317250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大洪山东部</w:t>
            </w:r>
          </w:p>
        </w:tc>
        <w:tc>
          <w:tcPr>
            <w:tcW w:w="1173" w:type="dxa"/>
            <w:noWrap w:val="0"/>
            <w:vAlign w:val="center"/>
          </w:tcPr>
          <w:p w14:paraId="168A63E2">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洛阳镇、柳林镇</w:t>
            </w:r>
          </w:p>
        </w:tc>
        <w:tc>
          <w:tcPr>
            <w:tcW w:w="2985" w:type="dxa"/>
            <w:noWrap w:val="0"/>
            <w:vAlign w:val="center"/>
          </w:tcPr>
          <w:p w14:paraId="31BB7C7E">
            <w:pPr>
              <w:spacing w:line="60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存在水土流失，森林质量有待提高</w:t>
            </w:r>
          </w:p>
        </w:tc>
      </w:tr>
      <w:tr w14:paraId="583D8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42" w:type="dxa"/>
            <w:noWrap w:val="0"/>
            <w:vAlign w:val="center"/>
          </w:tcPr>
          <w:p w14:paraId="4301BA1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吴山-万和</w:t>
            </w:r>
          </w:p>
        </w:tc>
        <w:tc>
          <w:tcPr>
            <w:tcW w:w="1173" w:type="dxa"/>
            <w:noWrap w:val="0"/>
            <w:vAlign w:val="center"/>
          </w:tcPr>
          <w:p w14:paraId="3408AB4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吴山镇、万和镇</w:t>
            </w:r>
          </w:p>
        </w:tc>
        <w:tc>
          <w:tcPr>
            <w:tcW w:w="2985" w:type="dxa"/>
            <w:noWrap w:val="0"/>
            <w:vAlign w:val="center"/>
          </w:tcPr>
          <w:p w14:paraId="79A1C8FC">
            <w:pPr>
              <w:spacing w:line="60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矿区地质环境问题严重</w:t>
            </w:r>
          </w:p>
        </w:tc>
      </w:tr>
      <w:tr w14:paraId="475C3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3" w:hRule="exact"/>
          <w:jc w:val="center"/>
        </w:trPr>
        <w:tc>
          <w:tcPr>
            <w:tcW w:w="842" w:type="dxa"/>
            <w:noWrap w:val="0"/>
            <w:vAlign w:val="center"/>
          </w:tcPr>
          <w:p w14:paraId="510557D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徐家河水库</w:t>
            </w:r>
          </w:p>
        </w:tc>
        <w:tc>
          <w:tcPr>
            <w:tcW w:w="1173" w:type="dxa"/>
            <w:noWrap w:val="0"/>
            <w:vAlign w:val="center"/>
          </w:tcPr>
          <w:p w14:paraId="672204E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长岭镇、马坪镇</w:t>
            </w:r>
          </w:p>
        </w:tc>
        <w:tc>
          <w:tcPr>
            <w:tcW w:w="2985" w:type="dxa"/>
            <w:noWrap w:val="0"/>
            <w:vAlign w:val="center"/>
          </w:tcPr>
          <w:p w14:paraId="13DF9016">
            <w:pPr>
              <w:spacing w:line="60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河流湿地环境遭受破坏，水质轻微污染，存在土地沙化</w:t>
            </w:r>
          </w:p>
        </w:tc>
      </w:tr>
      <w:tr w14:paraId="6BB5A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2" w:hRule="exact"/>
          <w:jc w:val="center"/>
        </w:trPr>
        <w:tc>
          <w:tcPr>
            <w:tcW w:w="842" w:type="dxa"/>
            <w:noWrap w:val="0"/>
            <w:vAlign w:val="center"/>
          </w:tcPr>
          <w:p w14:paraId="5F79266B">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平原</w:t>
            </w:r>
          </w:p>
        </w:tc>
        <w:tc>
          <w:tcPr>
            <w:tcW w:w="1173" w:type="dxa"/>
            <w:noWrap w:val="0"/>
            <w:vAlign w:val="center"/>
          </w:tcPr>
          <w:p w14:paraId="40C181C3">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唐县镇、尚市镇、万店镇、杨寨镇、李店镇</w:t>
            </w:r>
          </w:p>
        </w:tc>
        <w:tc>
          <w:tcPr>
            <w:tcW w:w="2985" w:type="dxa"/>
            <w:noWrap w:val="0"/>
            <w:vAlign w:val="center"/>
          </w:tcPr>
          <w:p w14:paraId="6A3AB454">
            <w:pPr>
              <w:spacing w:line="600" w:lineRule="exact"/>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存在农业面源污染，水质污染，生境破碎化，人居环境有待提升</w:t>
            </w:r>
          </w:p>
        </w:tc>
      </w:tr>
      <w:bookmarkEnd w:id="87"/>
    </w:tbl>
    <w:p w14:paraId="65AB061D">
      <w:pPr>
        <w:spacing w:line="600" w:lineRule="exact"/>
        <w:ind w:firstLine="640"/>
        <w:rPr>
          <w:rFonts w:hint="eastAsia" w:ascii="仿宋_GB2312" w:hAnsi="仿宋_GB2312" w:eastAsia="仿宋_GB2312" w:cs="仿宋_GB2312"/>
          <w:sz w:val="32"/>
          <w:szCs w:val="32"/>
        </w:rPr>
      </w:pPr>
    </w:p>
    <w:p w14:paraId="07155539">
      <w:pPr>
        <w:pStyle w:val="184"/>
        <w:numPr>
          <w:ilvl w:val="0"/>
          <w:numId w:val="1"/>
        </w:numPr>
        <w:spacing w:before="0" w:after="0" w:line="600" w:lineRule="exact"/>
        <w:ind w:left="0" w:firstLine="0"/>
        <w:jc w:val="center"/>
        <w:rPr>
          <w:rFonts w:hint="eastAsia" w:ascii="仿宋_GB2312" w:hAnsi="仿宋_GB2312" w:eastAsia="仿宋_GB2312" w:cs="仿宋_GB2312"/>
          <w:sz w:val="32"/>
          <w:szCs w:val="32"/>
        </w:rPr>
      </w:pPr>
      <w:bookmarkStart w:id="89" w:name="_Toc16857"/>
      <w:r>
        <w:rPr>
          <w:rFonts w:hint="eastAsia" w:ascii="仿宋_GB2312" w:hAnsi="仿宋_GB2312" w:eastAsia="仿宋_GB2312" w:cs="仿宋_GB2312"/>
          <w:sz w:val="32"/>
          <w:szCs w:val="32"/>
        </w:rPr>
        <w:t>重点工程</w:t>
      </w:r>
      <w:bookmarkEnd w:id="88"/>
      <w:bookmarkEnd w:id="89"/>
    </w:p>
    <w:p w14:paraId="36A7662C">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随州市资源环境特点及生态系统特征，针对主要生态环境问题及生态安全格局构建的要求，坚持山水林田湖草生命共同体理念，按照“保护重要生态空间、整治失序低效空间、修复损毁退化空间”的原则，注重自然地理单元的连续性，完整性等要求，聚焦生态修复的重点区，部署生态修复重点工程。</w:t>
      </w:r>
    </w:p>
    <w:p w14:paraId="57908763">
      <w:pPr>
        <w:keepNext/>
        <w:keepLines/>
        <w:spacing w:line="600" w:lineRule="exact"/>
        <w:ind w:firstLine="643"/>
        <w:outlineLvl w:val="1"/>
        <w:rPr>
          <w:rFonts w:hint="eastAsia" w:ascii="仿宋_GB2312" w:hAnsi="仿宋_GB2312" w:eastAsia="仿宋_GB2312" w:cs="仿宋_GB2312"/>
        </w:rPr>
      </w:pPr>
      <w:bookmarkStart w:id="90" w:name="_Toc117533268"/>
      <w:bookmarkStart w:id="91" w:name="_Toc29782"/>
      <w:r>
        <w:rPr>
          <w:rFonts w:hint="eastAsia" w:ascii="仿宋_GB2312" w:hAnsi="仿宋_GB2312" w:eastAsia="仿宋_GB2312" w:cs="仿宋_GB2312"/>
          <w:b/>
          <w:bCs/>
          <w:sz w:val="32"/>
          <w:szCs w:val="32"/>
        </w:rPr>
        <w:t>9.</w:t>
      </w:r>
      <w:r>
        <w:rPr>
          <w:rFonts w:ascii="仿宋_GB2312" w:hAnsi="仿宋_GB2312" w:eastAsia="仿宋_GB2312" w:cs="仿宋_GB2312"/>
          <w:b/>
          <w:bCs/>
          <w:sz w:val="32"/>
          <w:szCs w:val="32"/>
        </w:rPr>
        <w:t>1</w:t>
      </w:r>
      <w:r>
        <w:rPr>
          <w:rFonts w:hint="eastAsia" w:ascii="仿宋_GB2312" w:hAnsi="仿宋_GB2312" w:eastAsia="仿宋_GB2312" w:cs="仿宋_GB2312"/>
          <w:b/>
          <w:bCs/>
          <w:sz w:val="32"/>
          <w:szCs w:val="32"/>
        </w:rPr>
        <w:t xml:space="preserve"> 桐柏山-大别山水土保持和生物多样性保护修复区重点工程</w:t>
      </w:r>
      <w:bookmarkEnd w:id="90"/>
      <w:bookmarkEnd w:id="91"/>
    </w:p>
    <w:p w14:paraId="412CD59B">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严格保护天然林和公益林，开展生态林建设，全面加强阔叶林和针阔混交林的培育，科学开展天然次生林提质；以预防保护为主增强区域水土保持能力，加强对现有植被的保护，促进生态自我修复，在水土流失严重地区，开展以小流域为单元的综合治理；加强库区及周边生产生活污染防治，建设生态缓冲带，减少对库区生态环境的威胁；对整个封江口水源地涉及的流域范围进行水污染防治和水生态综合治理；统筹开展湿地系统治理，保护和修复区域内受损的湿地系统空间；在黑洞湾水库、花山水库、飞沙河水库、许家冲水库、高峰寺水库、霞家河水库等主要水库周边，开展破碎裸露山体生态治理；加强七尖峰森林公园、大贵寺森林公园和湖北中华山鸟类自然保护区建设，开展自然生态系统、野生动物重要栖息地保护与修复，维护区域生物多样性水平。</w:t>
      </w:r>
    </w:p>
    <w:tbl>
      <w:tblPr>
        <w:tblStyle w:val="30"/>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79"/>
      </w:tblGrid>
      <w:tr w14:paraId="78777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jc w:val="center"/>
        </w:trPr>
        <w:tc>
          <w:tcPr>
            <w:tcW w:w="5000" w:type="dxa"/>
            <w:shd w:val="clear" w:color="auto" w:fill="D8D8D8"/>
            <w:noWrap w:val="0"/>
            <w:vAlign w:val="center"/>
          </w:tcPr>
          <w:p w14:paraId="5C0777BC">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专栏9-</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桐柏山</w:t>
            </w:r>
            <w:r>
              <w:rPr>
                <w:rFonts w:ascii="仿宋_GB2312" w:hAnsi="仿宋_GB2312" w:eastAsia="仿宋_GB2312" w:cs="仿宋_GB2312"/>
                <w:sz w:val="32"/>
                <w:szCs w:val="32"/>
              </w:rPr>
              <w:t>-大别山水土保持和生物多样性保护修复区重点工程</w:t>
            </w:r>
          </w:p>
        </w:tc>
      </w:tr>
      <w:tr w14:paraId="40E45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000" w:type="dxa"/>
            <w:noWrap w:val="0"/>
            <w:vAlign w:val="center"/>
          </w:tcPr>
          <w:p w14:paraId="2F506335">
            <w:pPr>
              <w:numPr>
                <w:ilvl w:val="0"/>
                <w:numId w:val="3"/>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桐柏山山水林田湖草沙生态保护修复工程：</w:t>
            </w:r>
            <w:r>
              <w:rPr>
                <w:rFonts w:hint="eastAsia" w:ascii="仿宋_GB2312" w:hAnsi="仿宋_GB2312" w:eastAsia="仿宋_GB2312" w:cs="仿宋_GB2312"/>
                <w:bCs/>
                <w:sz w:val="32"/>
                <w:szCs w:val="32"/>
              </w:rPr>
              <w:t>在万和镇、厉山镇、殷店镇等乡镇开展生态防护林建设、河流渠道水源涵养林建设、优良林木种质资源保护及利用、七尖峰森林公园和湖北随县封江口国家湿地公园自然保护区保护修复、漂水和㵐水流域综合修复、可持续发展生态农业建设等项目。</w:t>
            </w:r>
          </w:p>
          <w:p w14:paraId="11F8539B">
            <w:pPr>
              <w:numPr>
                <w:ilvl w:val="0"/>
                <w:numId w:val="3"/>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桐柏山生物多样性保护工程：</w:t>
            </w:r>
            <w:r>
              <w:rPr>
                <w:rFonts w:hint="eastAsia" w:ascii="仿宋_GB2312" w:hAnsi="仿宋_GB2312" w:eastAsia="仿宋_GB2312" w:cs="仿宋_GB2312"/>
                <w:bCs/>
                <w:sz w:val="32"/>
                <w:szCs w:val="32"/>
              </w:rPr>
              <w:t>主要在七尖峰森林公园、湖北随县封江口国家湿地公园自然保护地开展天然林保护、生态林建设、</w:t>
            </w:r>
            <w:r>
              <w:rPr>
                <w:rFonts w:ascii="仿宋_GB2312" w:hAnsi="仿宋_GB2312" w:eastAsia="仿宋_GB2312" w:cs="仿宋_GB2312"/>
                <w:bCs/>
                <w:sz w:val="32"/>
                <w:szCs w:val="32"/>
              </w:rPr>
              <w:t>生态湿地建设、</w:t>
            </w:r>
            <w:r>
              <w:rPr>
                <w:rFonts w:hint="eastAsia" w:ascii="仿宋_GB2312" w:hAnsi="仿宋_GB2312" w:eastAsia="仿宋_GB2312" w:cs="仿宋_GB2312"/>
                <w:bCs/>
                <w:sz w:val="32"/>
                <w:szCs w:val="32"/>
              </w:rPr>
              <w:t>野生动物救护及栖息地保护修复、</w:t>
            </w:r>
            <w:r>
              <w:rPr>
                <w:rFonts w:ascii="仿宋_GB2312" w:hAnsi="仿宋_GB2312" w:eastAsia="仿宋_GB2312" w:cs="仿宋_GB2312"/>
                <w:bCs/>
                <w:sz w:val="32"/>
                <w:szCs w:val="32"/>
              </w:rPr>
              <w:t>生态缓冲带及生态廊道建设、</w:t>
            </w:r>
            <w:r>
              <w:rPr>
                <w:rFonts w:hint="eastAsia" w:ascii="仿宋_GB2312" w:hAnsi="仿宋_GB2312" w:eastAsia="仿宋_GB2312" w:cs="仿宋_GB2312"/>
                <w:bCs/>
                <w:sz w:val="32"/>
                <w:szCs w:val="32"/>
              </w:rPr>
              <w:t>森林病虫害防治及森林质量提升、古树名木保护等项目。</w:t>
            </w:r>
          </w:p>
          <w:p w14:paraId="0A062509">
            <w:pPr>
              <w:numPr>
                <w:ilvl w:val="0"/>
                <w:numId w:val="3"/>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桐柏山水土流失综合治理工程：</w:t>
            </w:r>
            <w:r>
              <w:rPr>
                <w:rFonts w:hint="eastAsia" w:ascii="仿宋_GB2312" w:hAnsi="仿宋_GB2312" w:eastAsia="仿宋_GB2312" w:cs="仿宋_GB2312"/>
                <w:bCs/>
                <w:sz w:val="32"/>
                <w:szCs w:val="32"/>
              </w:rPr>
              <w:t>在万和镇、厉山镇、殷店镇等乡镇开展封山育林、森林抚育、退化林修复、生态林建设、全面提高森林质量，在漂水、㵐水等主要河流两岸生态覆绿，在花鹿沟水库、天河口水库、封江口水库等主要水库进行水生态综合治理。</w:t>
            </w:r>
          </w:p>
          <w:p w14:paraId="49530829">
            <w:pPr>
              <w:numPr>
                <w:ilvl w:val="0"/>
                <w:numId w:val="3"/>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封江口水库水土流失综合治理工程：</w:t>
            </w:r>
            <w:r>
              <w:rPr>
                <w:rFonts w:hint="eastAsia" w:ascii="仿宋_GB2312" w:hAnsi="仿宋_GB2312" w:eastAsia="仿宋_GB2312" w:cs="仿宋_GB2312"/>
                <w:bCs/>
                <w:sz w:val="32"/>
                <w:szCs w:val="32"/>
              </w:rPr>
              <w:t>加大对封江口库区的生态自然修复和预防保护。严格实施林地红线管理、用途管制、林木限额采伐红线，凭证采伐。建设生态林，改善森林群落结构和健康水平，改善栖息地及生境质量，提升水源涵养、生物多样性保护和森林固碳能力等综合生态服务功能。</w:t>
            </w:r>
          </w:p>
          <w:p w14:paraId="3FC5F120">
            <w:pPr>
              <w:numPr>
                <w:ilvl w:val="0"/>
                <w:numId w:val="3"/>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封江口水库库滨带综合治理工程：</w:t>
            </w:r>
            <w:r>
              <w:rPr>
                <w:rFonts w:hint="eastAsia" w:ascii="仿宋_GB2312" w:hAnsi="仿宋_GB2312" w:eastAsia="仿宋_GB2312" w:cs="仿宋_GB2312"/>
                <w:bCs/>
                <w:sz w:val="32"/>
                <w:szCs w:val="32"/>
              </w:rPr>
              <w:t>在封江口库区的库周消落带进行人工造林、植草等，通过消落带基底、水质等生境条件的改善和物种的恢复、保护，逐步恢复消落区的结构和功能；逐步关停与搬迁库区缓冲带内现有的畜禽养殖污染源，现有村落实现零排放，禁止新建畜禽养殖及新建住宅、禁止污染性农田耕种。</w:t>
            </w:r>
          </w:p>
          <w:p w14:paraId="5979B7DA">
            <w:pPr>
              <w:numPr>
                <w:ilvl w:val="0"/>
                <w:numId w:val="3"/>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封江口环库区湿地生态保护修复工程：</w:t>
            </w:r>
            <w:r>
              <w:rPr>
                <w:rFonts w:hint="eastAsia" w:ascii="仿宋_GB2312" w:hAnsi="仿宋_GB2312" w:eastAsia="仿宋_GB2312" w:cs="仿宋_GB2312"/>
                <w:bCs/>
                <w:sz w:val="32"/>
                <w:szCs w:val="32"/>
              </w:rPr>
              <w:t>主要对封江口水库湿地区域进行保护与修复，按照“保总量、降破碎、促连通”的思路，统筹开展湿地系统治理，主要采取植被修复、生态护岸治理、珍稀动植物栖息地恢复和重建、人工生态湿地系统构建、湿地生态景观建设等措施，保护和修复区域内受损的湿地系统空间，增大湿地系统的生态空间面积，聚合散落湿地生态系统服务功能。</w:t>
            </w:r>
          </w:p>
          <w:p w14:paraId="67714459">
            <w:pPr>
              <w:numPr>
                <w:ilvl w:val="0"/>
                <w:numId w:val="3"/>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封江口水库水生态环境综合修复工程：</w:t>
            </w:r>
            <w:r>
              <w:rPr>
                <w:rFonts w:hint="eastAsia" w:ascii="仿宋_GB2312" w:hAnsi="仿宋_GB2312" w:eastAsia="仿宋_GB2312" w:cs="仿宋_GB2312"/>
                <w:bCs/>
                <w:sz w:val="32"/>
                <w:szCs w:val="32"/>
              </w:rPr>
              <w:t>对整个封江口水源地涉及的流域范围进行水污染防治和水生态综合治理。实施人工湿地水质净化工程。在封江口水库七处支流入湖口建设生态湿地，配套建设生态浮岛。对水库周边及上游支流来水进行强化净化，改善来水水质。开展河流缓冲带生态保护修复工程。在桂家台湖心岛建设涵养林。实施水环境监管能力建设工程，新建封江口水库水质自动监测标准站、水质自动监测微站；建设封江口水库水环境预警平台，设置环境监控点。完成</w:t>
            </w:r>
            <w:r>
              <w:rPr>
                <w:rFonts w:hint="eastAsia" w:ascii="仿宋_GB2312" w:hAnsi="仿宋_GB2312" w:eastAsia="仿宋_GB2312" w:cs="仿宋_GB2312"/>
                <w:bCs/>
                <w:sz w:val="32"/>
                <w:szCs w:val="32"/>
                <w:lang w:val="en-US" w:eastAsia="zh-CN"/>
              </w:rPr>
              <w:t>对</w:t>
            </w:r>
            <w:r>
              <w:rPr>
                <w:rFonts w:hint="eastAsia" w:ascii="仿宋_GB2312" w:hAnsi="仿宋_GB2312" w:eastAsia="仿宋_GB2312" w:cs="仿宋_GB2312"/>
                <w:bCs/>
                <w:sz w:val="32"/>
                <w:szCs w:val="32"/>
              </w:rPr>
              <w:t>水源地内存在污染</w:t>
            </w:r>
            <w:r>
              <w:rPr>
                <w:rFonts w:hint="eastAsia" w:ascii="仿宋_GB2312" w:hAnsi="仿宋_GB2312" w:eastAsia="仿宋_GB2312" w:cs="仿宋_GB2312"/>
                <w:bCs/>
                <w:sz w:val="32"/>
                <w:szCs w:val="32"/>
                <w:lang w:val="en-US" w:eastAsia="zh-CN"/>
              </w:rPr>
              <w:t>的</w:t>
            </w:r>
            <w:r>
              <w:rPr>
                <w:rFonts w:hint="eastAsia" w:ascii="仿宋_GB2312" w:hAnsi="仿宋_GB2312" w:eastAsia="仿宋_GB2312" w:cs="仿宋_GB2312"/>
                <w:bCs/>
                <w:sz w:val="32"/>
                <w:szCs w:val="32"/>
              </w:rPr>
              <w:t>厂矿企业进行搬迁改造</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一、二级保护区移民搬迁</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库区河道清淤疏浚</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整个水源地进行水土保持治理</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水生态修复和检测</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水产养殖污染综合治理工程；流域内农村面源污染治理。</w:t>
            </w:r>
          </w:p>
          <w:p w14:paraId="44E60930">
            <w:pPr>
              <w:numPr>
                <w:ilvl w:val="0"/>
                <w:numId w:val="3"/>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㵐水流域防洪设施建设工程：</w:t>
            </w:r>
            <w:r>
              <w:rPr>
                <w:rFonts w:hint="eastAsia" w:ascii="仿宋_GB2312" w:hAnsi="仿宋_GB2312" w:eastAsia="仿宋_GB2312" w:cs="仿宋_GB2312"/>
                <w:bCs/>
                <w:sz w:val="32"/>
                <w:szCs w:val="32"/>
              </w:rPr>
              <w:t>㵐水流域部分堤防无护坡、护脚，且预制砼块护坡损毁严重，右堤部分堤防渗漏严重，规划以修复加固为主，生态护坡，对㵐水一桥至二桥段堤防进行防渗处理治理。</w:t>
            </w:r>
          </w:p>
          <w:p w14:paraId="4CA0D2FC">
            <w:pPr>
              <w:numPr>
                <w:ilvl w:val="0"/>
                <w:numId w:val="3"/>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大别山区水土流失综合治理工程：</w:t>
            </w:r>
            <w:r>
              <w:rPr>
                <w:rFonts w:hint="eastAsia" w:ascii="仿宋_GB2312" w:hAnsi="仿宋_GB2312" w:eastAsia="仿宋_GB2312" w:cs="仿宋_GB2312"/>
                <w:bCs/>
                <w:sz w:val="32"/>
                <w:szCs w:val="32"/>
              </w:rPr>
              <w:t>开展水土流失综合治理，大力实施低产低效林改造项目，结合立地条件，科学采取更替、补植、抚育、封育等四种改造方式，促进森林生态系统正向演替。加大森林保护力度，减少人为乱砍乱伐，建设生态林，全面提高森林质量。</w:t>
            </w:r>
          </w:p>
          <w:p w14:paraId="1F561047">
            <w:pPr>
              <w:numPr>
                <w:ilvl w:val="0"/>
                <w:numId w:val="3"/>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大别山区河流湿地生态修复工程：</w:t>
            </w:r>
            <w:r>
              <w:rPr>
                <w:rFonts w:hint="eastAsia" w:ascii="仿宋_GB2312" w:hAnsi="仿宋_GB2312" w:eastAsia="仿宋_GB2312" w:cs="仿宋_GB2312"/>
                <w:bCs/>
                <w:sz w:val="32"/>
                <w:szCs w:val="32"/>
              </w:rPr>
              <w:t>在广水河、应山河等主要河流及黑洞湾水库、花山水库、飞沙河水库、许家冲水库、高峰寺水库、霞家河水库等主要水库实施生态修复及综合治理，开展水生态环境综合治理、河道疏浚、生态护岸、河滨生态隔离缓冲带建设、湿地保护和修复、水生生物多样性保护、周边裸露山体修复等项目。</w:t>
            </w:r>
          </w:p>
          <w:p w14:paraId="2EBC2274">
            <w:pPr>
              <w:numPr>
                <w:ilvl w:val="0"/>
                <w:numId w:val="3"/>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大别山山水林田湖草沙生态保护修复工程：</w:t>
            </w:r>
            <w:r>
              <w:rPr>
                <w:rFonts w:hint="eastAsia" w:ascii="仿宋_GB2312" w:hAnsi="仿宋_GB2312" w:eastAsia="仿宋_GB2312" w:cs="仿宋_GB2312"/>
                <w:bCs/>
                <w:sz w:val="32"/>
                <w:szCs w:val="32"/>
              </w:rPr>
              <w:t>以大别山生态修复和保护为主线，按照整体保护、系统修复、综合治理的要求，在广水河、应山河等重要河流及黑河湾水库、花山水库、飞沙河水库、许家冲水库、高峰寺水库、霞家河水库等主要水库所在乡镇开展防护林和生态林建设、生态小流域建设、河流综合治理、库区生态湿地建设、历史遗留矿山生态修复、水土流失综合治理、森林资源保护与质量提升、地质灾害预防及恢复治理、农田生态整治、农业面源污染防治、城镇污水全过程系统治理等项目。</w:t>
            </w:r>
          </w:p>
          <w:p w14:paraId="04A86C29">
            <w:pPr>
              <w:numPr>
                <w:ilvl w:val="0"/>
                <w:numId w:val="3"/>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大别山生物多样性保护工程：</w:t>
            </w:r>
            <w:r>
              <w:rPr>
                <w:rFonts w:hint="eastAsia" w:ascii="仿宋_GB2312" w:hAnsi="仿宋_GB2312" w:eastAsia="仿宋_GB2312" w:cs="仿宋_GB2312"/>
                <w:bCs/>
                <w:sz w:val="32"/>
                <w:szCs w:val="32"/>
              </w:rPr>
              <w:t>在大贵寺森林公园、湖北中华山鸟类自然保护区及其他重点生态功能区实施生物多样性保护，主要开展自然保护地建设、野生动植物群落及栖息地保护恢复、天然林保护、生态林建设、森林抚育及质量提升、森林病虫害及外来物种防治、生态管控区农用地和建设用地整治等项目。</w:t>
            </w:r>
          </w:p>
          <w:p w14:paraId="1B1F0A03">
            <w:pPr>
              <w:numPr>
                <w:ilvl w:val="0"/>
                <w:numId w:val="3"/>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大别山重要水源地水土保持工程：</w:t>
            </w:r>
            <w:r>
              <w:rPr>
                <w:rFonts w:hint="eastAsia" w:ascii="仿宋_GB2312" w:hAnsi="仿宋_GB2312" w:eastAsia="仿宋_GB2312" w:cs="仿宋_GB2312"/>
                <w:bCs/>
                <w:sz w:val="32"/>
                <w:szCs w:val="32"/>
              </w:rPr>
              <w:t>主要包括先觉庙水库、飞沙河水库、许家冲水库、霞家河水库、高峰寺水库等水库型水源地，区内中低山区森林覆盖率高，丘陵岗地人口密集，垦殖率高，水土流失相对严重。应以封禁治理为主，构建以水源涵养林和水土保持林为主体的水源地生态林体系；实施丘陵岗地坡耕地改造，建设以截排水沟、塘堰为主的径流调控工程，发展特色经济林。</w:t>
            </w:r>
          </w:p>
          <w:p w14:paraId="5023CDAD">
            <w:pPr>
              <w:numPr>
                <w:ilvl w:val="0"/>
                <w:numId w:val="3"/>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大别山坡耕地水土流失综合治理工程：</w:t>
            </w:r>
            <w:r>
              <w:rPr>
                <w:rFonts w:hint="eastAsia" w:ascii="仿宋_GB2312" w:hAnsi="仿宋_GB2312" w:eastAsia="仿宋_GB2312" w:cs="仿宋_GB2312"/>
                <w:bCs/>
                <w:sz w:val="32"/>
                <w:szCs w:val="32"/>
              </w:rPr>
              <w:t>通过坡改梯等工程整治土地，适宜的坡耕地改造成梯田，配套道路、水系，距离村庄远、坡度较大、土层较薄、缺少水源的坡耕地发展经济林果或种植水土保持林草，改善坡耕地生态环境；开展以坡耕地改造为重点的小流城综合治理，在流域源头区，通过封禁治理、疏林补植，形成乔、灌、草相结合的立体防护体系；大力开展水土流失综合治理，严禁开荒和破坏生态，维护生态平衡。</w:t>
            </w:r>
          </w:p>
          <w:p w14:paraId="14358D22">
            <w:pPr>
              <w:numPr>
                <w:ilvl w:val="0"/>
                <w:numId w:val="3"/>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浉河综合治理工程：</w:t>
            </w:r>
            <w:r>
              <w:rPr>
                <w:rFonts w:hint="eastAsia" w:ascii="仿宋_GB2312" w:hAnsi="仿宋_GB2312" w:eastAsia="仿宋_GB2312" w:cs="仿宋_GB2312"/>
                <w:bCs/>
                <w:sz w:val="32"/>
                <w:szCs w:val="32"/>
              </w:rPr>
              <w:t>加大对浉河生态自然修复和预防保护，按照“保总量、降破碎、促连通”的思路，统筹开展浉河水生态系统治理，主要采取植被修复、生态护岸治理、珍稀动植物栖息地恢复和重建、浉河生态景观建设等措施，增加区域内森林质量，保护和修复区域内受损的生态系统功能。</w:t>
            </w:r>
          </w:p>
          <w:p w14:paraId="143698CC">
            <w:pPr>
              <w:numPr>
                <w:ilvl w:val="0"/>
                <w:numId w:val="3"/>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浆溪店河河道治理工程：</w:t>
            </w:r>
            <w:r>
              <w:rPr>
                <w:rFonts w:hint="eastAsia" w:ascii="仿宋_GB2312" w:hAnsi="仿宋_GB2312" w:eastAsia="仿宋_GB2312" w:cs="仿宋_GB2312"/>
                <w:bCs/>
                <w:sz w:val="32"/>
                <w:szCs w:val="32"/>
              </w:rPr>
              <w:t>浆溪店河位于吴店镇，山高坡陡，不利于修建蓄水工程，该片需调整作物种植结构，发展节水避灾农业；加强水源涵养、封育保护和自然修复，全面预防水土流失；修复河流</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提升水质，恢复自然岸线、进行河道清障，建设生态护堤。</w:t>
            </w:r>
          </w:p>
          <w:p w14:paraId="759246EC">
            <w:pPr>
              <w:numPr>
                <w:ilvl w:val="0"/>
                <w:numId w:val="3"/>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水库水闸除险加固工程：</w:t>
            </w:r>
            <w:r>
              <w:rPr>
                <w:rFonts w:hint="eastAsia" w:ascii="仿宋_GB2312" w:hAnsi="仿宋_GB2312" w:eastAsia="仿宋_GB2312" w:cs="仿宋_GB2312"/>
                <w:bCs/>
                <w:sz w:val="32"/>
                <w:szCs w:val="32"/>
              </w:rPr>
              <w:t>整修进出口段、拆除重建拦河坝及冲砂闸、新建消能段及海漫段，更新闸门及启闭设施、增设观测和监测设施。主要涉及新峰水库、封江口水库、天河口水库、游河水库、唐王水库、鲁城河水库、龙脉水库、两河口水库、花山水库、先觉庙水库、许家冲水库、高峰寺水库、霞家河水库、大洪山水库、罗河水库、青林水库、桃园河水库等主要水库。</w:t>
            </w:r>
          </w:p>
        </w:tc>
      </w:tr>
    </w:tbl>
    <w:p w14:paraId="185DBAF5">
      <w:pPr>
        <w:keepNext/>
        <w:keepLines/>
        <w:spacing w:line="600" w:lineRule="exact"/>
        <w:ind w:firstLine="643"/>
        <w:outlineLvl w:val="1"/>
        <w:rPr>
          <w:rFonts w:hint="eastAsia" w:ascii="仿宋_GB2312" w:hAnsi="仿宋_GB2312" w:eastAsia="仿宋_GB2312" w:cs="仿宋_GB2312"/>
          <w:b/>
          <w:bCs/>
          <w:sz w:val="32"/>
          <w:szCs w:val="32"/>
        </w:rPr>
      </w:pPr>
      <w:bookmarkStart w:id="92" w:name="_Toc117533269"/>
      <w:bookmarkStart w:id="93" w:name="_Toc13826"/>
      <w:r>
        <w:rPr>
          <w:rFonts w:hint="eastAsia" w:ascii="仿宋_GB2312" w:hAnsi="仿宋_GB2312" w:eastAsia="仿宋_GB2312" w:cs="仿宋_GB2312"/>
          <w:b/>
          <w:bCs/>
          <w:sz w:val="32"/>
          <w:szCs w:val="32"/>
        </w:rPr>
        <w:t>9.</w:t>
      </w:r>
      <w:r>
        <w:rPr>
          <w:rFonts w:ascii="仿宋_GB2312" w:hAnsi="仿宋_GB2312" w:eastAsia="仿宋_GB2312" w:cs="仿宋_GB2312"/>
          <w:b/>
          <w:bCs/>
          <w:sz w:val="32"/>
          <w:szCs w:val="32"/>
        </w:rPr>
        <w:t>2</w:t>
      </w:r>
      <w:r>
        <w:rPr>
          <w:rFonts w:hint="eastAsia" w:ascii="仿宋_GB2312" w:hAnsi="仿宋_GB2312" w:eastAsia="仿宋_GB2312" w:cs="仿宋_GB2312"/>
          <w:b/>
          <w:bCs/>
          <w:sz w:val="32"/>
          <w:szCs w:val="32"/>
        </w:rPr>
        <w:t xml:space="preserve"> 随东北淮河区水土保持和湿地保护修复区重点工程</w:t>
      </w:r>
      <w:bookmarkEnd w:id="92"/>
      <w:bookmarkEnd w:id="93"/>
    </w:p>
    <w:p w14:paraId="3C28D3A8">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积极推进天然林保护、公益林管理、水土流失综合治理；精准实施森林抚育和退化林修复，稳步提升森林生态系统质量；加强湖北随州淮河国家湿地公园自然保护地建设与管理，维护随东北淮河区域生物多样性；通过开展湿地植被恢复、岸线生态化改造、疏浚清淤等，加强淮河湿地保护和退化湿地修复；加强淮河流域及永民河水库、双河水库、游河水库水生态环境综合整治，主要在流域及库区开展岸线治理和生态综合修复，维护和增强流域及库区周边的水土保持能力。</w:t>
      </w:r>
    </w:p>
    <w:tbl>
      <w:tblPr>
        <w:tblStyle w:val="30"/>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79"/>
      </w:tblGrid>
      <w:tr w14:paraId="40EDB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jc w:val="center"/>
        </w:trPr>
        <w:tc>
          <w:tcPr>
            <w:tcW w:w="5000" w:type="dxa"/>
            <w:shd w:val="clear" w:color="auto" w:fill="D8D8D8"/>
            <w:noWrap w:val="0"/>
            <w:vAlign w:val="center"/>
          </w:tcPr>
          <w:p w14:paraId="2803891E">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专栏9-</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随东北淮河区水土保持和湿地保护修复区重点工程</w:t>
            </w:r>
          </w:p>
        </w:tc>
      </w:tr>
      <w:tr w14:paraId="6A123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4" w:hRule="atLeast"/>
          <w:jc w:val="center"/>
        </w:trPr>
        <w:tc>
          <w:tcPr>
            <w:tcW w:w="5000" w:type="dxa"/>
            <w:noWrap w:val="0"/>
            <w:vAlign w:val="center"/>
          </w:tcPr>
          <w:p w14:paraId="409A6F30">
            <w:pPr>
              <w:numPr>
                <w:ilvl w:val="0"/>
                <w:numId w:val="4"/>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随东北淮河区水土流失综合治理工程：</w:t>
            </w:r>
            <w:r>
              <w:rPr>
                <w:rFonts w:hint="eastAsia" w:ascii="仿宋_GB2312" w:hAnsi="仿宋_GB2312" w:eastAsia="仿宋_GB2312" w:cs="仿宋_GB2312"/>
                <w:bCs/>
                <w:sz w:val="32"/>
                <w:szCs w:val="32"/>
              </w:rPr>
              <w:t>在淮河镇、草店镇、小林镇等乡镇科学开展森林经营，科学营造生态林和经济林，不断强化森林资源保护，充分发挥森林多种功能，在淮河流域及永民河水库、双河水库、游河水库等主要河库周边进行科学复绿，维护和增强流域及库区周边的水土保持能力。</w:t>
            </w:r>
          </w:p>
          <w:p w14:paraId="1207E2D8">
            <w:pPr>
              <w:numPr>
                <w:ilvl w:val="0"/>
                <w:numId w:val="4"/>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随东北淮河河流湿地生态修复工程：</w:t>
            </w:r>
            <w:r>
              <w:rPr>
                <w:rFonts w:hint="eastAsia" w:ascii="仿宋_GB2312" w:hAnsi="仿宋_GB2312" w:eastAsia="仿宋_GB2312" w:cs="仿宋_GB2312"/>
                <w:bCs/>
                <w:sz w:val="32"/>
                <w:szCs w:val="32"/>
              </w:rPr>
              <w:t>在随州市内的淮河河流沿线乡镇及永民河水库、双河水库、游河水库等主要水库所在乡镇实施生态修复及综合治理，主要开展水生态环境综合治理、河道疏浚、生态护岸、河滨生态隔离缓冲带建设、湿地保护和修复、水生生物多样性保护、周边裸露山体修复等项目。</w:t>
            </w:r>
          </w:p>
          <w:p w14:paraId="0586F12C">
            <w:pPr>
              <w:numPr>
                <w:ilvl w:val="0"/>
                <w:numId w:val="4"/>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游河综合治理工程</w:t>
            </w:r>
            <w:r>
              <w:rPr>
                <w:rFonts w:hint="eastAsia" w:ascii="仿宋_GB2312" w:hAnsi="仿宋_GB2312" w:eastAsia="仿宋_GB2312" w:cs="仿宋_GB2312"/>
                <w:bCs/>
                <w:sz w:val="32"/>
                <w:szCs w:val="32"/>
              </w:rPr>
              <w:t>：对游河流域进行综合治理，开展河床清淤、加固河堤护坡、配套灌溉排涝设施、转变高耗水农田灌溉方式、扩大抗旱、耐旱、节水作物种，提高均水河流域农田灌溉水有效利用系数，加强区内再生水的利用率。将草店游河水库与小林镇双河水库、淮河镇永民河水库进行“三库联通”，在双河水库兴建万吨级水厂，与淮河镇、草店镇并网，也可直接对两镇（湾）进行管网延伸（两条线），以满足随州市北部片区的供水。</w:t>
            </w:r>
          </w:p>
        </w:tc>
      </w:tr>
    </w:tbl>
    <w:p w14:paraId="7C6022EA">
      <w:pPr>
        <w:keepNext/>
        <w:keepLines/>
        <w:spacing w:line="600" w:lineRule="exact"/>
        <w:ind w:firstLine="643"/>
        <w:outlineLvl w:val="1"/>
        <w:rPr>
          <w:rFonts w:hint="eastAsia" w:ascii="仿宋_GB2312" w:hAnsi="仿宋_GB2312" w:eastAsia="仿宋_GB2312" w:cs="仿宋_GB2312"/>
          <w:b/>
          <w:bCs/>
          <w:sz w:val="32"/>
          <w:szCs w:val="32"/>
        </w:rPr>
      </w:pPr>
      <w:bookmarkStart w:id="94" w:name="_Toc18751"/>
      <w:bookmarkStart w:id="95" w:name="_Toc117533270"/>
      <w:r>
        <w:rPr>
          <w:rFonts w:hint="eastAsia" w:ascii="仿宋_GB2312" w:hAnsi="仿宋_GB2312" w:eastAsia="仿宋_GB2312" w:cs="仿宋_GB2312"/>
          <w:b/>
          <w:bCs/>
          <w:sz w:val="32"/>
          <w:szCs w:val="32"/>
        </w:rPr>
        <w:t>9.</w:t>
      </w:r>
      <w:r>
        <w:rPr>
          <w:rFonts w:ascii="仿宋_GB2312" w:hAnsi="仿宋_GB2312" w:eastAsia="仿宋_GB2312" w:cs="仿宋_GB2312"/>
          <w:b/>
          <w:bCs/>
          <w:sz w:val="32"/>
          <w:szCs w:val="32"/>
        </w:rPr>
        <w:t>3</w:t>
      </w:r>
      <w:r>
        <w:rPr>
          <w:rFonts w:hint="eastAsia" w:ascii="仿宋_GB2312" w:hAnsi="仿宋_GB2312" w:eastAsia="仿宋_GB2312" w:cs="仿宋_GB2312"/>
          <w:b/>
          <w:bCs/>
          <w:sz w:val="32"/>
          <w:szCs w:val="32"/>
        </w:rPr>
        <w:t xml:space="preserve"> 府河-大洪山水土保持和生物多样性保护修复区重点工程</w:t>
      </w:r>
      <w:bookmarkEnd w:id="94"/>
      <w:bookmarkEnd w:id="95"/>
    </w:p>
    <w:p w14:paraId="49ABEC99">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强天然林保护，推进困难立地造林，精准提升森林质量；完善府河沿河防护林和生态缓冲带建设，加快受损岸线修复，实施水质-水量-水生态联合调度，加强府河生态流量调控，推进涢水、溠水、均水、浪河、府河河流综合治理与修复，强化区域面源污染防控，保护水体生态系统，防止水华发生；加强府河河道综合治理，恢复和保持河流水系的自然连通和流动性，增强水体自净能力。加固府河流域防洪设施，兴建满足50、20年一遇防洪标准堤防；加快实施管网改造延伸工程，完善水厂配套设施；开展大洪山国家森林公园、随州银杏省级森林公园、随州大洪山省级地质公园自然保护地的建设与管理，有效提升生物生境质量和水平，改善生物栖息地环境，维护生物多样性；在涢水、大洪山水库、岩子河水库、青林水库、桃园河水库进行流域综合治理，修复河水水质，改善生境；重点解决洛阳镇区段的防洪减灾问题，提升河道泄洪防灾能力。</w:t>
      </w:r>
    </w:p>
    <w:tbl>
      <w:tblPr>
        <w:tblStyle w:val="30"/>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79"/>
      </w:tblGrid>
      <w:tr w14:paraId="7CBF8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jc w:val="center"/>
        </w:trPr>
        <w:tc>
          <w:tcPr>
            <w:tcW w:w="5000" w:type="dxa"/>
            <w:shd w:val="clear" w:color="auto" w:fill="D8D8D8"/>
            <w:noWrap w:val="0"/>
            <w:vAlign w:val="center"/>
          </w:tcPr>
          <w:p w14:paraId="68FA30CF">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专栏9-</w:t>
            </w:r>
            <w:r>
              <w:rPr>
                <w:rFonts w:ascii="仿宋_GB2312" w:hAnsi="仿宋_GB2312" w:eastAsia="仿宋_GB2312" w:cs="仿宋_GB2312"/>
                <w:sz w:val="32"/>
                <w:szCs w:val="32"/>
              </w:rPr>
              <w:t>3</w:t>
            </w:r>
            <w:r>
              <w:rPr>
                <w:rFonts w:hint="eastAsia" w:ascii="仿宋_GB2312" w:hAnsi="仿宋_GB2312" w:eastAsia="仿宋_GB2312" w:cs="仿宋_GB2312"/>
                <w:sz w:val="32"/>
                <w:szCs w:val="32"/>
              </w:rPr>
              <w:t>府河</w:t>
            </w:r>
            <w:r>
              <w:rPr>
                <w:rFonts w:ascii="仿宋_GB2312" w:hAnsi="仿宋_GB2312" w:eastAsia="仿宋_GB2312" w:cs="仿宋_GB2312"/>
                <w:sz w:val="32"/>
                <w:szCs w:val="32"/>
              </w:rPr>
              <w:t>-大洪山水土保持和生物多样性保护修复区重点工程</w:t>
            </w:r>
          </w:p>
        </w:tc>
      </w:tr>
      <w:tr w14:paraId="044D2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0" w:hRule="atLeast"/>
          <w:jc w:val="center"/>
        </w:trPr>
        <w:tc>
          <w:tcPr>
            <w:tcW w:w="5000" w:type="dxa"/>
            <w:noWrap w:val="0"/>
            <w:vAlign w:val="center"/>
          </w:tcPr>
          <w:p w14:paraId="7127CC7B">
            <w:pPr>
              <w:numPr>
                <w:ilvl w:val="0"/>
                <w:numId w:val="5"/>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府河流域水土流失综合治理工程：</w:t>
            </w:r>
            <w:r>
              <w:rPr>
                <w:rFonts w:hint="eastAsia" w:ascii="仿宋_GB2312" w:hAnsi="仿宋_GB2312" w:eastAsia="仿宋_GB2312" w:cs="仿宋_GB2312"/>
                <w:bCs/>
                <w:sz w:val="32"/>
                <w:szCs w:val="32"/>
              </w:rPr>
              <w:t>在何店镇、府河镇、安居镇、环潭镇、均川镇、南郊办事处、淅河镇等乡镇营造水土保持林，开发经果林，推进低产低效林改造，建设生态林，提高森林质量与效益，开展涢水、溠水、均水、浪河等主要河流和澴潭水库、罗河水库、清水河水库等主要水库水生态综合治理、坡耕地改造。</w:t>
            </w:r>
          </w:p>
          <w:p w14:paraId="0B443E25">
            <w:pPr>
              <w:numPr>
                <w:ilvl w:val="0"/>
                <w:numId w:val="5"/>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随州市府河河道治理工程：</w:t>
            </w:r>
            <w:r>
              <w:rPr>
                <w:rFonts w:hint="eastAsia" w:ascii="仿宋_GB2312" w:hAnsi="仿宋_GB2312" w:eastAsia="仿宋_GB2312" w:cs="仿宋_GB2312"/>
                <w:bCs/>
                <w:sz w:val="32"/>
                <w:szCs w:val="32"/>
              </w:rPr>
              <w:t>加强对府河镇、淅河镇、经济开发区、东城办事处、西城办事处、南郊办事处、安居镇、环潭镇等乡镇进行水系自然形态的保护，避免盲目截弯取直，禁止明河改暗渠、填湖造地、违法取砂等破坏行为。综合整治城市黑臭水体，全面实施控源截污，强化排水口、管道和检查井的系统治理，科学开展水体清淤，恢复和保持河流水系的自然连通和流动性。因地制宜改造渠化河道，恢复自然岸线、滩涂和滨水植被群落，增强水体自净能力。</w:t>
            </w:r>
          </w:p>
          <w:p w14:paraId="41412733">
            <w:pPr>
              <w:numPr>
                <w:ilvl w:val="0"/>
                <w:numId w:val="5"/>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涢水水生态环境综合修复工程：</w:t>
            </w:r>
            <w:r>
              <w:rPr>
                <w:rFonts w:hint="eastAsia" w:ascii="仿宋_GB2312" w:hAnsi="仿宋_GB2312" w:eastAsia="仿宋_GB2312" w:cs="仿宋_GB2312"/>
                <w:bCs/>
                <w:sz w:val="32"/>
                <w:szCs w:val="32"/>
              </w:rPr>
              <w:t>在安居镇、环潭镇、洪山镇、长岗镇等乡镇进行水污染生态综合治理，开展截污控污，河底清淤，改善河道环境；进行河坡值草坪（灌木），水边栽植物，修建滨水绿化，起到对岸坡的防护效果；推进水土流失防治、维护和增强单元内的水土保持功能；加强水系连通及生态流量调度，恢复和保持河流水系的自然连通和流动性。</w:t>
            </w:r>
          </w:p>
          <w:p w14:paraId="7DE1EDD4">
            <w:pPr>
              <w:numPr>
                <w:ilvl w:val="0"/>
                <w:numId w:val="5"/>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均水综合治理和生态修复工程：</w:t>
            </w:r>
            <w:r>
              <w:rPr>
                <w:rFonts w:hint="eastAsia" w:ascii="仿宋_GB2312" w:hAnsi="仿宋_GB2312" w:eastAsia="仿宋_GB2312" w:cs="仿宋_GB2312"/>
                <w:bCs/>
                <w:sz w:val="32"/>
                <w:szCs w:val="32"/>
              </w:rPr>
              <w:t>在均川镇等乡镇进行水生态修复工程，严格落实罗河水库泄放生态流量的实施方案，确保水库大坝断面下泄生态流量；对罗河水库上游及入库重要支流、库汊进行控源截污整治，实施重要入库口生态改造、水生植物群落恢复；加强均水河流水系的纵向与横向连通，逐步为恢复水体连通和满足河道正常生态流量需求创造条件；推进河流生态修复治理，构建生态驳岸修复河道；实施清淤疏挖工程，恢复河道畅通，改善河道生境。</w:t>
            </w:r>
          </w:p>
          <w:p w14:paraId="44C5B6D6">
            <w:pPr>
              <w:numPr>
                <w:ilvl w:val="0"/>
                <w:numId w:val="5"/>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浪河综合治理和生态修复工程：</w:t>
            </w:r>
            <w:r>
              <w:rPr>
                <w:rFonts w:hint="eastAsia" w:ascii="仿宋_GB2312" w:hAnsi="仿宋_GB2312" w:eastAsia="仿宋_GB2312" w:cs="仿宋_GB2312"/>
                <w:bCs/>
                <w:sz w:val="32"/>
                <w:szCs w:val="32"/>
              </w:rPr>
              <w:t>在何店镇、淅河镇等乡镇进行水生态修复工程，严格落实白果河水库泄放生态流量的实施方案，确保水库大坝断面下泄生态流量；完成对白果河水库上游及入库重要支流、库汊进行控源截污整治；推行浪河生态示范河坝试点建设，保证在蓄水的同时维持河道上、下水流的连续性；对已硬化、渠化且存在破损的岸坡采用锁扣式生态护坡进行生态化改造，构建水陆结合区重要生态屏障；适度开展河岸滨水带建设，打造亲水生态岸线；采取湿地建设、湿生植物种植，达到修复河水水质，改善河道生境。</w:t>
            </w:r>
          </w:p>
          <w:p w14:paraId="61777CF4">
            <w:pPr>
              <w:numPr>
                <w:ilvl w:val="0"/>
                <w:numId w:val="5"/>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清水河河道综合治理工程：</w:t>
            </w:r>
            <w:r>
              <w:rPr>
                <w:rFonts w:hint="eastAsia" w:ascii="仿宋_GB2312" w:hAnsi="仿宋_GB2312" w:eastAsia="仿宋_GB2312" w:cs="仿宋_GB2312"/>
                <w:bCs/>
                <w:sz w:val="32"/>
                <w:szCs w:val="32"/>
              </w:rPr>
              <w:t>对清水河流域进行水系综合整治。大力开展河道疏浚，清理河道及河岸垃圾，建设污水处理设施；进行河流两岸植被恢复，实现两岸生态防护；综合整治清水河水库水源保护区内污染源，对区域取水口上游两侧实施生态修复工程；建设水源涵养林，综合提升区域生态环境，保护生物多样性。</w:t>
            </w:r>
          </w:p>
          <w:p w14:paraId="0FEC5F48">
            <w:pPr>
              <w:numPr>
                <w:ilvl w:val="0"/>
                <w:numId w:val="5"/>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府河流域防洪设施建设工程</w:t>
            </w:r>
            <w:r>
              <w:rPr>
                <w:rFonts w:hint="eastAsia" w:ascii="仿宋_GB2312" w:hAnsi="仿宋_GB2312" w:eastAsia="仿宋_GB2312" w:cs="仿宋_GB2312"/>
                <w:bCs/>
                <w:sz w:val="32"/>
                <w:szCs w:val="32"/>
              </w:rPr>
              <w:t>：府河下游基本无成形堤防。规划在左、右岸分别兴建满足50、20年一遇防洪标准堤防。</w:t>
            </w:r>
          </w:p>
          <w:p w14:paraId="2F07B176">
            <w:pPr>
              <w:numPr>
                <w:ilvl w:val="0"/>
                <w:numId w:val="5"/>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曾都区管网改造配套供水工程：</w:t>
            </w:r>
            <w:r>
              <w:rPr>
                <w:rFonts w:hint="eastAsia" w:ascii="仿宋_GB2312" w:hAnsi="仿宋_GB2312" w:eastAsia="仿宋_GB2312" w:cs="仿宋_GB2312"/>
                <w:bCs/>
                <w:sz w:val="32"/>
                <w:szCs w:val="32"/>
              </w:rPr>
              <w:t>加快实施曾都区府河镇、何店镇、淅河镇等</w:t>
            </w:r>
            <w:r>
              <w:rPr>
                <w:rFonts w:hint="eastAsia" w:ascii="仿宋_GB2312" w:hAnsi="仿宋_GB2312" w:eastAsia="仿宋_GB2312" w:cs="仿宋_GB2312"/>
                <w:bCs/>
                <w:sz w:val="32"/>
                <w:szCs w:val="32"/>
                <w:lang w:val="en-US" w:eastAsia="zh-CN"/>
              </w:rPr>
              <w:t>乡镇</w:t>
            </w:r>
            <w:r>
              <w:rPr>
                <w:rFonts w:hint="eastAsia" w:ascii="仿宋_GB2312" w:hAnsi="仿宋_GB2312" w:eastAsia="仿宋_GB2312" w:cs="仿宋_GB2312"/>
                <w:bCs/>
                <w:sz w:val="32"/>
                <w:szCs w:val="32"/>
              </w:rPr>
              <w:t>管网改造延伸工程，完善水厂配套设施，基本消除城中村、老旧城区和城乡接合部生活污水收集处理设施空白区，基本消除黑臭水体，实现区域生活污水治理全覆盖，形成水源共享、管网互通、资源互补的城乡一体化供水格局。</w:t>
            </w:r>
          </w:p>
          <w:p w14:paraId="3ED93823">
            <w:pPr>
              <w:numPr>
                <w:ilvl w:val="0"/>
                <w:numId w:val="5"/>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大洪山山水林田湖草沙生态保护修复工程：</w:t>
            </w:r>
            <w:r>
              <w:rPr>
                <w:rFonts w:hint="eastAsia" w:ascii="仿宋_GB2312" w:hAnsi="仿宋_GB2312" w:eastAsia="仿宋_GB2312" w:cs="仿宋_GB2312"/>
                <w:bCs/>
                <w:sz w:val="32"/>
                <w:szCs w:val="32"/>
              </w:rPr>
              <w:t>聚焦裸露山体、森林、流域等问题突出区域的生态修复需求，整治失序低效空间，修复损毁退化空间，系统推进重点区域生态修复，在洪山镇、长岗镇、三里岗镇、柳林镇、洛阳镇等乡镇开展天然林和公益林保护、营造生态林、不断强化森林资源保护，充分发挥森林多种功能；在涢水、大洪山水库、岩子河水库、青林水库、桃园河水库等主要河库进行流域综合治理，修复河水水质，改善生境；整治农田生态、防治农业面源污染，改善大洪山区域整体面貌；修复历史遗留矿山生态，预防及恢复治理地质灾害，打造大洪山“山青、水绿、湾蓝、廊碧”的生态景观。</w:t>
            </w:r>
          </w:p>
          <w:p w14:paraId="08DFC02C">
            <w:pPr>
              <w:numPr>
                <w:ilvl w:val="0"/>
                <w:numId w:val="5"/>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大洪山生物多样性保护工程：</w:t>
            </w:r>
            <w:r>
              <w:rPr>
                <w:rFonts w:hint="eastAsia" w:ascii="仿宋_GB2312" w:hAnsi="仿宋_GB2312" w:eastAsia="仿宋_GB2312" w:cs="仿宋_GB2312"/>
                <w:bCs/>
                <w:sz w:val="32"/>
                <w:szCs w:val="32"/>
              </w:rPr>
              <w:t>在大洪山国家森林公园、随州银杏省级森林公园、随州大洪山省级地质公园自然保护地及其他重要生态功能区开展天然林和公益林保护、珍稀野生动植物保护，生态林建设，生境质量提高，自然保护地间连通性增强，生物迁徙通道建立，生物多样性保护、森林病虫害防治、森林质量提升、古树名木保护等项目。</w:t>
            </w:r>
          </w:p>
          <w:p w14:paraId="7C139E6A">
            <w:pPr>
              <w:numPr>
                <w:ilvl w:val="0"/>
                <w:numId w:val="5"/>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大洪山水土流失综合治理工程：</w:t>
            </w:r>
            <w:r>
              <w:rPr>
                <w:rFonts w:hint="eastAsia" w:ascii="仿宋_GB2312" w:hAnsi="仿宋_GB2312" w:eastAsia="仿宋_GB2312" w:cs="仿宋_GB2312"/>
                <w:bCs/>
                <w:sz w:val="32"/>
                <w:szCs w:val="32"/>
              </w:rPr>
              <w:t>在大洪山水库、岩子河水库、青林水库等主要水库周边科学开展森林经营，科学营造经济林和水源涵养林，有效提高水库周边森林质量；在洪山镇、长岗镇、三里岗镇、柳林镇、洛阳镇等乡镇，以小流域为单元，实施坡耕地综合整治，配套坡面水系和表层小泉小水蓄引灌工程，荒坡地营造水土保持林；在岩溶地区，结合立地条件，种植乡土先锋树种；在大洪山区域，加强天然林保护和生态林建设，维护和增强单元内的水土保持功能。</w:t>
            </w:r>
          </w:p>
          <w:p w14:paraId="2CA1003C">
            <w:pPr>
              <w:numPr>
                <w:ilvl w:val="0"/>
                <w:numId w:val="5"/>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漳水综合治理和生态修复工程：</w:t>
            </w:r>
            <w:r>
              <w:rPr>
                <w:rFonts w:hint="eastAsia" w:ascii="仿宋_GB2312" w:hAnsi="仿宋_GB2312" w:eastAsia="仿宋_GB2312" w:cs="仿宋_GB2312"/>
                <w:bCs/>
                <w:sz w:val="32"/>
                <w:szCs w:val="32"/>
              </w:rPr>
              <w:t>在三里岗镇、柳林镇、洛阳镇等乡镇进行水生态修复工程，对流域河道淤塞，沿河两岸河堤崩塌以及河岸裸露地表进行治理，推进排水渠清淤整治，对局部渠段进行浆砌石护坡整治，对沿线进行绿化改造，提升区域协调性</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改善水生态环境；加强漳水河流水系的纵向与横向连通，逐步为恢复水体连通和满足河道正常生态流量需求创造条件；</w:t>
            </w:r>
          </w:p>
          <w:p w14:paraId="30AA3D8D">
            <w:pPr>
              <w:numPr>
                <w:ilvl w:val="0"/>
                <w:numId w:val="5"/>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曾都区洛阳镇防洪工程：</w:t>
            </w:r>
            <w:r>
              <w:rPr>
                <w:rFonts w:hint="eastAsia" w:ascii="仿宋_GB2312" w:hAnsi="仿宋_GB2312" w:eastAsia="仿宋_GB2312" w:cs="仿宋_GB2312"/>
                <w:bCs/>
                <w:sz w:val="32"/>
                <w:szCs w:val="32"/>
              </w:rPr>
              <w:t>在洛阳镇区段西南开山凿河修路：新开分洪河道，修建镇西南外环旅游公路连接高速路口，解决洛阳镇区段的防洪减灾问题，提升河道泄洪防灾能力，基本消除镇村内涝现象。开展流域岸线修复，优先采用本土物种，建设河道两侧植被缓冲带和隔离带。</w:t>
            </w:r>
          </w:p>
          <w:p w14:paraId="7ABC298B">
            <w:pPr>
              <w:numPr>
                <w:ilvl w:val="0"/>
                <w:numId w:val="5"/>
              </w:numPr>
              <w:tabs>
                <w:tab w:val="left" w:pos="312"/>
              </w:tabs>
              <w:spacing w:line="600" w:lineRule="exact"/>
              <w:ind w:left="0" w:firstLine="643"/>
              <w:rPr>
                <w:rFonts w:hint="eastAsia" w:ascii="仿宋_GB2312" w:hAnsi="仿宋_GB2312" w:eastAsia="仿宋_GB2312" w:cs="仿宋_GB2312"/>
                <w:bCs/>
                <w:sz w:val="32"/>
                <w:szCs w:val="32"/>
              </w:rPr>
            </w:pPr>
            <w:r>
              <w:rPr>
                <w:rFonts w:ascii="仿宋_GB2312" w:hAnsi="仿宋_GB2312" w:eastAsia="仿宋_GB2312" w:cs="仿宋_GB2312"/>
                <w:b/>
                <w:sz w:val="32"/>
                <w:szCs w:val="32"/>
              </w:rPr>
              <w:t>随南大洪山北麓区域水资源配置工程</w:t>
            </w:r>
            <w:r>
              <w:rPr>
                <w:rFonts w:hint="eastAsia" w:ascii="仿宋_GB2312" w:hAnsi="仿宋_GB2312" w:eastAsia="仿宋_GB2312" w:cs="仿宋_GB2312"/>
                <w:b/>
                <w:sz w:val="32"/>
                <w:szCs w:val="32"/>
              </w:rPr>
              <w:t>：</w:t>
            </w:r>
            <w:r>
              <w:rPr>
                <w:rFonts w:ascii="仿宋_GB2312" w:hAnsi="仿宋_GB2312" w:eastAsia="仿宋_GB2312" w:cs="仿宋_GB2312"/>
                <w:bCs/>
                <w:sz w:val="32"/>
                <w:szCs w:val="32"/>
              </w:rPr>
              <w:t>从大洪山水库向罗河水库、白果河水库和桃园河水库引水，渠首设计取水流量为10立方米每秒，建设内容主要包括42公里干渠、1.2公里暗涵、2公里倒虹吸、38公里隧洞、10公里分水支洞等。工程建成后将有效解决罗河灌区、白果河灌区、桃园河灌区及沿途小型灌区的灌溉供水，以及沿线7个镇（洪山镇、长岗镇、三里岗镇、均川镇、柳林镇、何店镇、洛阳镇）的生活供水不足问题，改善受水区的灌溉、生活供水及生态用水条件。</w:t>
            </w:r>
          </w:p>
        </w:tc>
      </w:tr>
    </w:tbl>
    <w:p w14:paraId="039640C3">
      <w:pPr>
        <w:keepNext/>
        <w:keepLines/>
        <w:spacing w:line="600" w:lineRule="exact"/>
        <w:ind w:firstLine="643"/>
        <w:outlineLvl w:val="1"/>
        <w:rPr>
          <w:rFonts w:hint="eastAsia" w:ascii="仿宋_GB2312" w:hAnsi="仿宋_GB2312" w:eastAsia="仿宋_GB2312" w:cs="仿宋_GB2312"/>
          <w:b/>
          <w:bCs/>
          <w:sz w:val="32"/>
          <w:szCs w:val="32"/>
        </w:rPr>
      </w:pPr>
      <w:bookmarkStart w:id="96" w:name="_Toc117533271"/>
      <w:bookmarkStart w:id="97" w:name="_Toc7094"/>
      <w:r>
        <w:rPr>
          <w:rFonts w:hint="eastAsia" w:ascii="仿宋_GB2312" w:hAnsi="仿宋_GB2312" w:eastAsia="仿宋_GB2312" w:cs="仿宋_GB2312"/>
          <w:b/>
          <w:bCs/>
          <w:sz w:val="32"/>
          <w:szCs w:val="32"/>
        </w:rPr>
        <w:t>9.</w:t>
      </w:r>
      <w:r>
        <w:rPr>
          <w:rFonts w:ascii="仿宋_GB2312" w:hAnsi="仿宋_GB2312" w:eastAsia="仿宋_GB2312" w:cs="仿宋_GB2312"/>
          <w:b/>
          <w:bCs/>
          <w:sz w:val="32"/>
          <w:szCs w:val="32"/>
        </w:rPr>
        <w:t>4</w:t>
      </w:r>
      <w:r>
        <w:rPr>
          <w:rFonts w:hint="eastAsia" w:ascii="仿宋_GB2312" w:hAnsi="仿宋_GB2312" w:eastAsia="仿宋_GB2312" w:cs="仿宋_GB2312"/>
          <w:b/>
          <w:bCs/>
          <w:sz w:val="32"/>
          <w:szCs w:val="32"/>
        </w:rPr>
        <w:t xml:space="preserve"> 徐家河水库农林提升与水生态修复区重点工程</w:t>
      </w:r>
      <w:bookmarkEnd w:id="96"/>
      <w:bookmarkEnd w:id="97"/>
    </w:p>
    <w:p w14:paraId="2A713BF4">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推进徐家河库区公益林和天然林建设和管理，建立土地沙化综合治理体系，维护和增强单元内的水土保持功能；在湖北广水徐家河湿地公园自然保护地实施保护与修复，改善生态环境，为动植物创造良好的生存空间；在徐家河库区核心区加强库滨带综合治理，探索库周消落区生态修复，实施库区河流岸线生态修复、生态护岸治理和水生植物修复；在环徐家河库区农村和城郊区域，结合水土资源保护、生态隔离带建设等推进小流域综合治理，有效控制徐家河水库污染问题；对徐家河水库湿地区域进行保护与修复，开展湿地系统治理，保护和修复库区内受损的湿地生态系统空间；以徐家河水库为水源新建水厂，为各项目村提供安全饮用水；推进高标准农田建设和美丽乡村工程，广泛开展全域国土综合整治，统筹农用地整治、土壤改良、生态修复、人居环境整治、面源污染防治等建设，保护乡村原生植被和自然风貌，全面改善农村人居生态环境。</w:t>
      </w:r>
    </w:p>
    <w:tbl>
      <w:tblPr>
        <w:tblStyle w:val="30"/>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79"/>
      </w:tblGrid>
      <w:tr w14:paraId="1E380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jc w:val="center"/>
        </w:trPr>
        <w:tc>
          <w:tcPr>
            <w:tcW w:w="5000" w:type="dxa"/>
            <w:shd w:val="clear" w:color="auto" w:fill="D8D8D8"/>
            <w:noWrap w:val="0"/>
            <w:vAlign w:val="center"/>
          </w:tcPr>
          <w:p w14:paraId="0A469570">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专栏9-</w:t>
            </w:r>
            <w:r>
              <w:rPr>
                <w:rFonts w:ascii="仿宋_GB2312" w:hAnsi="仿宋_GB2312" w:eastAsia="仿宋_GB2312" w:cs="仿宋_GB2312"/>
                <w:sz w:val="32"/>
                <w:szCs w:val="32"/>
              </w:rPr>
              <w:t>4</w:t>
            </w:r>
            <w:r>
              <w:rPr>
                <w:rFonts w:hint="eastAsia" w:ascii="仿宋_GB2312" w:hAnsi="仿宋_GB2312" w:eastAsia="仿宋_GB2312" w:cs="仿宋_GB2312"/>
                <w:sz w:val="32"/>
                <w:szCs w:val="32"/>
              </w:rPr>
              <w:t>徐家河水库农林提升与水生态修复区重点工程</w:t>
            </w:r>
          </w:p>
        </w:tc>
      </w:tr>
      <w:tr w14:paraId="23AC1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5000" w:type="dxa"/>
            <w:noWrap w:val="0"/>
            <w:vAlign w:val="center"/>
          </w:tcPr>
          <w:p w14:paraId="21D42367">
            <w:pPr>
              <w:numPr>
                <w:ilvl w:val="0"/>
                <w:numId w:val="6"/>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徐家河水库生物多样性保护工程：</w:t>
            </w:r>
            <w:r>
              <w:rPr>
                <w:rFonts w:hint="eastAsia" w:ascii="仿宋_GB2312" w:hAnsi="仿宋_GB2312" w:eastAsia="仿宋_GB2312" w:cs="仿宋_GB2312"/>
                <w:bCs/>
                <w:sz w:val="32"/>
                <w:szCs w:val="32"/>
              </w:rPr>
              <w:t>在湖北广水徐家河湿地公园自然保护地及其他重点生态功能区实施生物多样性保护，主要开展自然保护地建设、野生动植物群落及栖息地保护恢复、天然林保护、生态林建设、森林抚育及质量提升、森林病虫害及外来物种防治、生态管控区农用地和建设用地整治等项目。</w:t>
            </w:r>
          </w:p>
          <w:p w14:paraId="1AB208E7">
            <w:pPr>
              <w:numPr>
                <w:ilvl w:val="0"/>
                <w:numId w:val="6"/>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徐家河水库土地沙化综合治理工程：</w:t>
            </w:r>
            <w:r>
              <w:rPr>
                <w:rFonts w:hint="eastAsia" w:ascii="仿宋_GB2312" w:hAnsi="仿宋_GB2312" w:eastAsia="仿宋_GB2312" w:cs="仿宋_GB2312"/>
                <w:bCs/>
                <w:sz w:val="32"/>
                <w:szCs w:val="32"/>
              </w:rPr>
              <w:t>库区内强化生态林、天然林建设和管理，精心组织，精准落界，精细管护，确保公益林和天然林面积不减少；结合农村环境综合整治等项目建设，建立土地沙化综合治理体系，维护和增强单元内的水土保持功能；把生态建设与经济发展结合起来，改善区域生态状况，促进经济和社会可持续发展。</w:t>
            </w:r>
          </w:p>
          <w:p w14:paraId="442EB74A">
            <w:pPr>
              <w:numPr>
                <w:ilvl w:val="0"/>
                <w:numId w:val="6"/>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徐家河水库库滨带综合治理工程：</w:t>
            </w:r>
            <w:r>
              <w:rPr>
                <w:rFonts w:hint="eastAsia" w:ascii="仿宋_GB2312" w:hAnsi="仿宋_GB2312" w:eastAsia="仿宋_GB2312" w:cs="仿宋_GB2312"/>
                <w:bCs/>
                <w:sz w:val="32"/>
                <w:szCs w:val="32"/>
              </w:rPr>
              <w:t>在徐家河库区的库周消落带进行人工造林、植草等，通过消落带基底、水质等生境条件的改善和物种的恢复、保护，逐步恢复消落区的结构和功能；逐步关停与搬迁库区缓冲带内现有的畜禽养殖污染源、现有村落实现零排放，禁止新建畜禽养殖及新建住宅、禁止污染性农田耕种。</w:t>
            </w:r>
          </w:p>
          <w:p w14:paraId="0F754FCA">
            <w:pPr>
              <w:numPr>
                <w:ilvl w:val="0"/>
                <w:numId w:val="6"/>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徐家河水库环库区湿地生态保护修复工程：</w:t>
            </w:r>
            <w:r>
              <w:rPr>
                <w:rFonts w:hint="eastAsia" w:ascii="仿宋_GB2312" w:hAnsi="仿宋_GB2312" w:eastAsia="仿宋_GB2312" w:cs="仿宋_GB2312"/>
                <w:bCs/>
                <w:sz w:val="32"/>
                <w:szCs w:val="32"/>
              </w:rPr>
              <w:t>主要对徐家河水库湿地区域进行保护与修复，开展湿地系统治理，主要采取岸线生态修复、构建生态绿道、防护林建设、珍稀野生动植物保护、水系连通、生态补水、人工生态湿地系统构建、湿地生态景观建设等措施，保护和修复库区内受损的湿地生态系统空间，恢复湿地生态系统服务功能。</w:t>
            </w:r>
          </w:p>
          <w:p w14:paraId="09DE1AD6">
            <w:pPr>
              <w:numPr>
                <w:ilvl w:val="0"/>
                <w:numId w:val="6"/>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徐家河水库水生态环境综合修复工程：</w:t>
            </w:r>
            <w:r>
              <w:rPr>
                <w:rFonts w:hint="eastAsia" w:ascii="仿宋_GB2312" w:hAnsi="仿宋_GB2312" w:eastAsia="仿宋_GB2312" w:cs="仿宋_GB2312"/>
                <w:bCs/>
                <w:sz w:val="32"/>
                <w:szCs w:val="32"/>
              </w:rPr>
              <w:t>开展徐家河库区水生态环境修复与保护，有效控制徐家河水库污染及富营养化问题，库区内实施河道治理工程，生态岸线治理、湖滨带植被恢复、水生植被保护区建立、水系连通及生态流量调度、截污控污等项目。</w:t>
            </w:r>
          </w:p>
          <w:p w14:paraId="38F63E44">
            <w:pPr>
              <w:numPr>
                <w:ilvl w:val="0"/>
                <w:numId w:val="6"/>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长岭镇平林水厂新建工程：</w:t>
            </w:r>
            <w:r>
              <w:rPr>
                <w:rFonts w:hint="eastAsia" w:ascii="仿宋_GB2312" w:hAnsi="仿宋_GB2312" w:eastAsia="仿宋_GB2312" w:cs="仿宋_GB2312"/>
                <w:bCs/>
                <w:sz w:val="32"/>
                <w:szCs w:val="32"/>
              </w:rPr>
              <w:t>以徐家河水库为水源，建设进村主管、进湾配水支管及进户管线，为各村更换水源，提供安全饮用水；供水范围为平林周边自然湾。</w:t>
            </w:r>
          </w:p>
          <w:p w14:paraId="45FE205F">
            <w:pPr>
              <w:numPr>
                <w:ilvl w:val="0"/>
                <w:numId w:val="6"/>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徐家河高标准农田建设工程：</w:t>
            </w:r>
            <w:r>
              <w:rPr>
                <w:rFonts w:hint="eastAsia" w:ascii="仿宋_GB2312" w:hAnsi="仿宋_GB2312" w:eastAsia="仿宋_GB2312" w:cs="仿宋_GB2312"/>
                <w:bCs/>
                <w:sz w:val="32"/>
                <w:szCs w:val="32"/>
              </w:rPr>
              <w:t>涉及长岭镇、马坪镇、关庙镇、余店镇等乡镇，为减轻或消除主要限制性因素，全面提高农田综合生产能力而开展的田块整治、灌溉与排水、田间道路、农田防护与生态环境保护、农田输配电等农田基础设施建设和土壤改良、障碍土层消除、土壤培肥等农田地力提升活动，加强建设管理，突出抓好耕地保护，切实增强农田防灾抗灾减灾能力。</w:t>
            </w:r>
          </w:p>
          <w:p w14:paraId="00BE35D8">
            <w:pPr>
              <w:numPr>
                <w:ilvl w:val="0"/>
                <w:numId w:val="6"/>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徐家河美丽乡村工程：</w:t>
            </w:r>
            <w:r>
              <w:rPr>
                <w:rFonts w:hint="eastAsia" w:ascii="仿宋_GB2312" w:hAnsi="仿宋_GB2312" w:eastAsia="仿宋_GB2312" w:cs="仿宋_GB2312"/>
                <w:bCs/>
                <w:sz w:val="32"/>
                <w:szCs w:val="32"/>
              </w:rPr>
              <w:t>在长岭镇、马坪镇、关庙镇、余店镇等乡镇进行美丽乡村工程，基本措施包括建设生活污水收集处理设施、建设微动力污水处理设施、巩固提升通村通湾公路水平、建设农村公共服务场所、完善垃圾处理收集体系，建设垃圾分类阳光堆积房等项目等。</w:t>
            </w:r>
          </w:p>
          <w:p w14:paraId="33F0C571">
            <w:pPr>
              <w:numPr>
                <w:ilvl w:val="0"/>
                <w:numId w:val="6"/>
              </w:numPr>
              <w:tabs>
                <w:tab w:val="left" w:pos="312"/>
              </w:tabs>
              <w:spacing w:line="600" w:lineRule="exact"/>
              <w:ind w:left="0" w:firstLine="643"/>
              <w:rPr>
                <w:rFonts w:hint="eastAsia"/>
              </w:rPr>
            </w:pPr>
            <w:r>
              <w:rPr>
                <w:rFonts w:hint="eastAsia" w:ascii="仿宋_GB2312" w:hAnsi="仿宋_GB2312" w:eastAsia="仿宋_GB2312" w:cs="仿宋_GB2312"/>
                <w:b/>
                <w:sz w:val="32"/>
                <w:szCs w:val="32"/>
              </w:rPr>
              <w:t>乡村水环境治理工程：</w:t>
            </w:r>
            <w:r>
              <w:rPr>
                <w:rFonts w:hint="eastAsia" w:ascii="仿宋_GB2312" w:hAnsi="仿宋_GB2312" w:eastAsia="仿宋_GB2312" w:cs="仿宋_GB2312"/>
                <w:bCs/>
                <w:sz w:val="32"/>
                <w:szCs w:val="32"/>
              </w:rPr>
              <w:t>在长岭镇、马坪镇、关庙镇、余店镇等乡镇进行水环境治理工程，</w:t>
            </w:r>
            <w:r>
              <w:rPr>
                <w:rFonts w:hint="eastAsia" w:ascii="仿宋_GB2312" w:hAnsi="仿宋_GB2312" w:eastAsia="仿宋_GB2312" w:cs="仿宋_GB2312"/>
                <w:bCs/>
                <w:sz w:val="32"/>
                <w:szCs w:val="32"/>
                <w:lang w:val="en-US" w:eastAsia="zh-CN"/>
              </w:rPr>
              <w:t>建设</w:t>
            </w:r>
            <w:r>
              <w:rPr>
                <w:rFonts w:hint="eastAsia" w:ascii="仿宋_GB2312" w:hAnsi="仿宋_GB2312" w:eastAsia="仿宋_GB2312" w:cs="仿宋_GB2312"/>
                <w:bCs/>
                <w:sz w:val="32"/>
                <w:szCs w:val="32"/>
              </w:rPr>
              <w:t>农户无害化厕所建设，在人口比较集中的村庄新建污水处理站，在人口相对集中的村湾建设联户污水处理设施，在分散农户村组建设单独污水处理设施。全面落实河湖长制在村级的实施，整治乡村河渠水系。加大村湾河道、沟塘整治疏浚力度，重点整治污水塘、臭水沟，提高引排和自净能力。加快河网生态化改造</w:t>
            </w:r>
            <w:r>
              <w:rPr>
                <w:rFonts w:ascii="仿宋_GB2312" w:hAnsi="仿宋_GB2312" w:eastAsia="仿宋_GB2312" w:cs="仿宋_GB2312"/>
                <w:bCs/>
                <w:sz w:val="32"/>
                <w:szCs w:val="32"/>
              </w:rPr>
              <w:t>，实施农村生态清洁小流域建设，推进中小河流综合整治和水系连通试点。</w:t>
            </w:r>
          </w:p>
        </w:tc>
      </w:tr>
    </w:tbl>
    <w:p w14:paraId="19EBEF9F">
      <w:pPr>
        <w:keepNext/>
        <w:keepLines/>
        <w:spacing w:line="600" w:lineRule="exact"/>
        <w:ind w:firstLine="643"/>
        <w:outlineLvl w:val="1"/>
        <w:rPr>
          <w:rFonts w:hint="eastAsia" w:ascii="仿宋_GB2312" w:hAnsi="仿宋_GB2312" w:eastAsia="仿宋_GB2312" w:cs="仿宋_GB2312"/>
          <w:b/>
          <w:bCs/>
          <w:sz w:val="32"/>
          <w:szCs w:val="32"/>
        </w:rPr>
      </w:pPr>
      <w:bookmarkStart w:id="98" w:name="_Toc117533272"/>
      <w:bookmarkStart w:id="99" w:name="_Toc246"/>
      <w:r>
        <w:rPr>
          <w:rFonts w:hint="eastAsia" w:ascii="仿宋_GB2312" w:hAnsi="仿宋_GB2312" w:eastAsia="仿宋_GB2312" w:cs="仿宋_GB2312"/>
          <w:b/>
          <w:bCs/>
          <w:sz w:val="32"/>
          <w:szCs w:val="32"/>
        </w:rPr>
        <w:t>9.</w:t>
      </w:r>
      <w:r>
        <w:rPr>
          <w:rFonts w:ascii="仿宋_GB2312" w:hAnsi="仿宋_GB2312" w:eastAsia="仿宋_GB2312" w:cs="仿宋_GB2312"/>
          <w:b/>
          <w:bCs/>
          <w:sz w:val="32"/>
          <w:szCs w:val="32"/>
        </w:rPr>
        <w:t>5</w:t>
      </w:r>
      <w:r>
        <w:rPr>
          <w:rFonts w:hint="eastAsia" w:ascii="仿宋_GB2312" w:hAnsi="仿宋_GB2312" w:eastAsia="仿宋_GB2312" w:cs="仿宋_GB2312"/>
          <w:b/>
          <w:bCs/>
          <w:sz w:val="32"/>
          <w:szCs w:val="32"/>
        </w:rPr>
        <w:t xml:space="preserve"> 农村人居环境提升和农业生态保护修复区重点工程</w:t>
      </w:r>
      <w:bookmarkEnd w:id="98"/>
      <w:bookmarkEnd w:id="99"/>
    </w:p>
    <w:p w14:paraId="34A4A584">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展植被恢复及生境改善工程，增强森林涵养水源和净化水质的功能；在漂水、㵐水、溠水流域开展水环境综合治理工程，在流域周边建设沿河绿化景观带、恢复岸坡植被覆盖，对河道沿岸的危石进行清理，河底进行清淤；在河道两岸分别兴建满足</w:t>
      </w:r>
      <w:r>
        <w:rPr>
          <w:rFonts w:ascii="仿宋_GB2312" w:hAnsi="仿宋_GB2312" w:eastAsia="仿宋_GB2312" w:cs="仿宋_GB2312"/>
          <w:sz w:val="32"/>
          <w:szCs w:val="32"/>
        </w:rPr>
        <w:t>50、20年一遇防洪标准堤防，保障流域安全。建设重要</w:t>
      </w:r>
      <w:r>
        <w:rPr>
          <w:rFonts w:hint="eastAsia" w:ascii="仿宋_GB2312" w:hAnsi="仿宋_GB2312" w:eastAsia="仿宋_GB2312" w:cs="仿宋_GB2312"/>
          <w:sz w:val="32"/>
          <w:szCs w:val="32"/>
        </w:rPr>
        <w:t>河流</w:t>
      </w:r>
      <w:r>
        <w:rPr>
          <w:rFonts w:ascii="仿宋_GB2312" w:hAnsi="仿宋_GB2312" w:eastAsia="仿宋_GB2312" w:cs="仿宋_GB2312"/>
          <w:sz w:val="32"/>
          <w:szCs w:val="32"/>
        </w:rPr>
        <w:t>连通工程，有效增强河</w:t>
      </w:r>
      <w:r>
        <w:rPr>
          <w:rFonts w:hint="eastAsia" w:ascii="仿宋_GB2312" w:hAnsi="仿宋_GB2312" w:eastAsia="仿宋_GB2312" w:cs="仿宋_GB2312"/>
          <w:sz w:val="32"/>
          <w:szCs w:val="32"/>
        </w:rPr>
        <w:t>流</w:t>
      </w:r>
      <w:r>
        <w:rPr>
          <w:rFonts w:ascii="仿宋_GB2312" w:hAnsi="仿宋_GB2312" w:eastAsia="仿宋_GB2312" w:cs="仿宋_GB2312"/>
          <w:sz w:val="32"/>
          <w:szCs w:val="32"/>
        </w:rPr>
        <w:t>连通性、水体流动性，增加水环境容量；开展高标准农田建设，防控畜禽养殖等农业面源污染，提升农田生态功能，推进美丽乡村工程，改善农村人居生态环境</w:t>
      </w:r>
      <w:r>
        <w:rPr>
          <w:rFonts w:hint="eastAsia" w:ascii="仿宋_GB2312" w:hAnsi="仿宋_GB2312" w:eastAsia="仿宋_GB2312" w:cs="仿宋_GB2312"/>
          <w:sz w:val="32"/>
          <w:szCs w:val="32"/>
        </w:rPr>
        <w:t>。</w:t>
      </w:r>
    </w:p>
    <w:tbl>
      <w:tblPr>
        <w:tblStyle w:val="30"/>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79"/>
      </w:tblGrid>
      <w:tr w14:paraId="36F92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jc w:val="center"/>
        </w:trPr>
        <w:tc>
          <w:tcPr>
            <w:tcW w:w="5000" w:type="dxa"/>
            <w:shd w:val="clear" w:color="auto" w:fill="D8D8D8"/>
            <w:noWrap w:val="0"/>
            <w:vAlign w:val="center"/>
          </w:tcPr>
          <w:p w14:paraId="63AF2C0C">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专栏9-</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农村人居环境提升和农业生态保护修复区重点工程</w:t>
            </w:r>
          </w:p>
        </w:tc>
      </w:tr>
      <w:tr w14:paraId="69194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jc w:val="center"/>
        </w:trPr>
        <w:tc>
          <w:tcPr>
            <w:tcW w:w="5000" w:type="dxa"/>
            <w:noWrap w:val="0"/>
            <w:vAlign w:val="center"/>
          </w:tcPr>
          <w:p w14:paraId="76D744EE">
            <w:pPr>
              <w:numPr>
                <w:ilvl w:val="0"/>
                <w:numId w:val="7"/>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随中土地沙化综合治理工程：</w:t>
            </w:r>
            <w:r>
              <w:rPr>
                <w:rFonts w:hint="eastAsia" w:ascii="仿宋_GB2312" w:hAnsi="仿宋_GB2312" w:eastAsia="仿宋_GB2312" w:cs="仿宋_GB2312"/>
                <w:bCs/>
                <w:sz w:val="32"/>
                <w:szCs w:val="32"/>
              </w:rPr>
              <w:t>以自然恢复和人工辅助修复为主，开展植被恢复、生境改善、生态林建设，滨岸植被缓冲带恢复、生境恢复等工程；通过封滩育草、人工种植、设置围栏等措施，减少人为活动和牲畜对区内植被的破坏，保护生态系统和自然景观的完整性，发挥生态系统的涵养水源、防止土壤退化、调节气候和蓄水分洪方面的生态功能和作用。</w:t>
            </w:r>
          </w:p>
          <w:p w14:paraId="3C7136D7">
            <w:pPr>
              <w:numPr>
                <w:ilvl w:val="0"/>
                <w:numId w:val="7"/>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漂水综合治理和生态修复工程：</w:t>
            </w:r>
            <w:r>
              <w:rPr>
                <w:rFonts w:hint="eastAsia" w:ascii="仿宋_GB2312" w:hAnsi="仿宋_GB2312" w:eastAsia="仿宋_GB2312" w:cs="仿宋_GB2312"/>
                <w:bCs/>
                <w:sz w:val="32"/>
                <w:szCs w:val="32"/>
              </w:rPr>
              <w:t>在漂水段优化绿植、建设漂水生态湿地公园，通过“绿化”和“造景”相结合的建设方案，建设沿河绿化景观带、恢复岸坡植被覆盖；对流域生态系统的特点和野生群体生存状况展开调查，以生态修复为目标制定合理的增殖放流方案和物种恢复计划，并在方案实行后根据跟踪监测结果进行效果评估和及时的科学调整；加强面源污染治理，改善农村人居环境。</w:t>
            </w:r>
          </w:p>
          <w:p w14:paraId="29894B34">
            <w:pPr>
              <w:numPr>
                <w:ilvl w:val="0"/>
                <w:numId w:val="7"/>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㵐水河流域水生态综合治理工程：</w:t>
            </w:r>
            <w:r>
              <w:rPr>
                <w:rFonts w:hint="eastAsia" w:ascii="仿宋_GB2312" w:hAnsi="仿宋_GB2312" w:eastAsia="仿宋_GB2312" w:cs="仿宋_GB2312"/>
                <w:bCs/>
                <w:sz w:val="32"/>
                <w:szCs w:val="32"/>
              </w:rPr>
              <w:t>在㵐水流域进行水环境综合治理，在流域周边开展植被修复，完成造林绿化、难利用地生态修复、低效退化林改造；对㵐水河道沿岸的危石进行清理，对淤积严重区域进行疏浚；因地制宜综合防控农田面源污染、治理畜禽养殖污染，提升农村生态环境。</w:t>
            </w:r>
          </w:p>
          <w:p w14:paraId="2A15BCC7">
            <w:pPr>
              <w:numPr>
                <w:ilvl w:val="0"/>
                <w:numId w:val="7"/>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溠水河流域水生态综合治理工程：</w:t>
            </w:r>
            <w:r>
              <w:rPr>
                <w:rFonts w:hint="eastAsia" w:ascii="仿宋_GB2312" w:hAnsi="仿宋_GB2312" w:eastAsia="仿宋_GB2312" w:cs="仿宋_GB2312"/>
                <w:bCs/>
                <w:sz w:val="32"/>
                <w:szCs w:val="32"/>
              </w:rPr>
              <w:t>在溠水流域进行水生态修复工程，开展生态护岸，水生植物栽植，生态绿化，防洪排涝、截污控污、河底清淤、土地沙化防治、生态补水等项目，在保证河道综合治理运行功能的前提下，结合各片区定位，采用控源截污-内源治理-生态修复的治理思路。</w:t>
            </w:r>
          </w:p>
          <w:p w14:paraId="7B16B635">
            <w:pPr>
              <w:numPr>
                <w:ilvl w:val="0"/>
                <w:numId w:val="7"/>
              </w:numPr>
              <w:tabs>
                <w:tab w:val="left" w:pos="312"/>
              </w:tabs>
              <w:spacing w:line="600" w:lineRule="exact"/>
              <w:ind w:left="0" w:firstLine="643"/>
              <w:rPr>
                <w:rFonts w:ascii="仿宋_GB2312" w:hAnsi="仿宋_GB2312" w:eastAsia="仿宋_GB2312" w:cs="仿宋_GB2312"/>
                <w:bCs/>
                <w:sz w:val="32"/>
                <w:szCs w:val="32"/>
              </w:rPr>
            </w:pPr>
            <w:bookmarkStart w:id="100" w:name="_Hlk106910741"/>
            <w:r>
              <w:rPr>
                <w:rFonts w:hint="eastAsia" w:ascii="仿宋_GB2312" w:hAnsi="仿宋_GB2312" w:eastAsia="仿宋_GB2312" w:cs="仿宋_GB2312"/>
                <w:b/>
                <w:sz w:val="32"/>
                <w:szCs w:val="32"/>
              </w:rPr>
              <w:t>随县“三片十线”工程</w:t>
            </w:r>
            <w:bookmarkEnd w:id="100"/>
            <w:r>
              <w:rPr>
                <w:rFonts w:hint="eastAsia" w:ascii="仿宋_GB2312" w:hAnsi="仿宋_GB2312" w:eastAsia="仿宋_GB2312" w:cs="仿宋_GB2312"/>
                <w:b/>
                <w:sz w:val="32"/>
                <w:szCs w:val="32"/>
              </w:rPr>
              <w:t>：</w:t>
            </w:r>
            <w:r>
              <w:rPr>
                <w:rFonts w:hint="eastAsia" w:ascii="仿宋_GB2312" w:hAnsi="仿宋_GB2312" w:eastAsia="仿宋_GB2312" w:cs="仿宋_GB2312"/>
                <w:bCs/>
                <w:sz w:val="32"/>
                <w:szCs w:val="32"/>
              </w:rPr>
              <w:t>随南片新建大洪山水厂，覆盖洪山、环潭、均川、安居、新街镇。随中片依托鄂北水资源配置二期工程在建的唐王水厂，向吴山镇、唐县镇、万福店农场进行管网延伸；新建黑龙口水厂，覆盖万福店农场及唐县镇西部4个行政村；对黑屋湾水厂进行改建，覆盖新街镇；对沙河口水厂进行扩建，覆盖尚市镇全镇、唐县镇2个行政村（华宝山村和水府庙村）和万和镇南部片区5个行政村；对天河口水厂进行改建，覆盖高城镇、殷店镇；对合河水厂及新城水厂进行改建，共同覆盖太白顶风景区和万和镇除南部片区5村外的其它区域。随北片计划将小林镇双河水库、淮河镇永民河水库和草店游河水库进行“三库联通”，在双河水库兴建万吨级水厂，与淮河镇、草店镇并网。</w:t>
            </w:r>
          </w:p>
          <w:p w14:paraId="7F61402B">
            <w:pPr>
              <w:numPr>
                <w:ilvl w:val="0"/>
                <w:numId w:val="7"/>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防洪设施建设工程：</w:t>
            </w:r>
            <w:r>
              <w:rPr>
                <w:rFonts w:hint="eastAsia" w:ascii="仿宋_GB2312" w:hAnsi="仿宋_GB2312" w:eastAsia="仿宋_GB2312" w:cs="仿宋_GB2312"/>
                <w:bCs/>
                <w:sz w:val="32"/>
                <w:szCs w:val="32"/>
              </w:rPr>
              <w:t>漂水、溠水流域基本无成形堤防，规则在左、右岸分别兴建满足50、20年一遇防洪标准堤防，堤顶宽度12米。</w:t>
            </w:r>
          </w:p>
          <w:p w14:paraId="276B6DEB">
            <w:pPr>
              <w:numPr>
                <w:ilvl w:val="0"/>
                <w:numId w:val="7"/>
              </w:numPr>
              <w:tabs>
                <w:tab w:val="left" w:pos="312"/>
              </w:tabs>
              <w:spacing w:line="600" w:lineRule="exact"/>
              <w:ind w:left="0" w:firstLine="643"/>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随中高标准农田建设工程：</w:t>
            </w:r>
            <w:r>
              <w:rPr>
                <w:rFonts w:hint="eastAsia" w:ascii="仿宋_GB2312" w:hAnsi="仿宋_GB2312" w:eastAsia="仿宋_GB2312" w:cs="仿宋_GB2312"/>
                <w:bCs/>
                <w:sz w:val="32"/>
                <w:szCs w:val="32"/>
              </w:rPr>
              <w:t>涉及高城镇、尚市镇、唐县镇、新街镇、万福店等乡镇，进行高标准农田建设，为减轻或消除主要限制性因素，全面提高农田综合生产能力而开展的田块整治、灌溉与排水、田间道路、农田防护与生态环境保护、农田输配电等农田基础设施建设和土壤改良、障碍土层消除、土壤培肥等农田地力提升活动，加快补齐农业基础设施短板，为保障国家粮食安全提供坚实基础。</w:t>
            </w:r>
          </w:p>
          <w:p w14:paraId="6C50D702">
            <w:pPr>
              <w:numPr>
                <w:ilvl w:val="0"/>
                <w:numId w:val="7"/>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随中美丽乡村工程：</w:t>
            </w:r>
            <w:r>
              <w:rPr>
                <w:rFonts w:hint="eastAsia" w:ascii="仿宋_GB2312" w:hAnsi="仿宋_GB2312" w:eastAsia="仿宋_GB2312" w:cs="仿宋_GB2312"/>
                <w:bCs/>
                <w:sz w:val="32"/>
                <w:szCs w:val="32"/>
              </w:rPr>
              <w:t>优先在万福店农场（凤凰山村、玉皇庙村等）、唐县镇（砂子岗村、桃园村等）、尚市镇（有余村等）、新街镇（苏湾村等）等村落进行美丽乡村工程，基本措施包括乡镇污水处理厂污水管道延伸、微动力污水处理点建设、人工湿地建设、村湾内道路建设（含绿化、亮化工程)、垃圾中转站新建或提升、垃圾分类亭建设、垃圾运输车（侧挂车)配置等。</w:t>
            </w:r>
          </w:p>
          <w:p w14:paraId="5031F71B">
            <w:pPr>
              <w:numPr>
                <w:ilvl w:val="0"/>
                <w:numId w:val="7"/>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随中厕所革命工程：</w:t>
            </w:r>
            <w:r>
              <w:rPr>
                <w:rFonts w:hint="eastAsia" w:ascii="仿宋_GB2312" w:hAnsi="仿宋_GB2312" w:eastAsia="仿宋_GB2312" w:cs="仿宋_GB2312"/>
                <w:bCs/>
                <w:sz w:val="32"/>
                <w:szCs w:val="32"/>
              </w:rPr>
              <w:t>优先在万福店农场、唐县镇、尚市镇、新街镇等村落进行厕所革命工程，科学制定实施方案，合理选择改厕模式，严格执行改厕流程</w:t>
            </w:r>
            <w:r>
              <w:rPr>
                <w:rFonts w:ascii="仿宋_GB2312" w:hAnsi="仿宋_GB2312" w:eastAsia="仿宋_GB2312" w:cs="仿宋_GB2312"/>
                <w:bCs/>
                <w:sz w:val="32"/>
                <w:szCs w:val="32"/>
              </w:rPr>
              <w:t>，建立长效管护机制。全面完成农户无害化厕所新建、改建提升任务，完成农村公共厕所、乡镇公共厕所改造任务</w:t>
            </w:r>
            <w:r>
              <w:rPr>
                <w:rFonts w:hint="eastAsia" w:ascii="仿宋_GB2312" w:hAnsi="仿宋_GB2312" w:eastAsia="仿宋_GB2312" w:cs="仿宋_GB2312"/>
                <w:bCs/>
                <w:sz w:val="32"/>
                <w:szCs w:val="32"/>
              </w:rPr>
              <w:t>，</w:t>
            </w:r>
            <w:r>
              <w:rPr>
                <w:rFonts w:ascii="仿宋_GB2312" w:hAnsi="仿宋_GB2312" w:eastAsia="仿宋_GB2312" w:cs="仿宋_GB2312"/>
                <w:bCs/>
                <w:sz w:val="32"/>
                <w:szCs w:val="32"/>
              </w:rPr>
              <w:t>实现厕所粪污资源化利用全覆盖。</w:t>
            </w:r>
          </w:p>
          <w:p w14:paraId="7E59EBD0">
            <w:pPr>
              <w:numPr>
                <w:ilvl w:val="0"/>
                <w:numId w:val="7"/>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随东土地沙化综合治理工程：</w:t>
            </w:r>
            <w:r>
              <w:rPr>
                <w:rFonts w:hint="eastAsia" w:ascii="仿宋_GB2312" w:hAnsi="仿宋_GB2312" w:eastAsia="仿宋_GB2312" w:cs="仿宋_GB2312"/>
                <w:bCs/>
                <w:sz w:val="32"/>
                <w:szCs w:val="32"/>
              </w:rPr>
              <w:t>加强对现有植被的保护，科学营造生态林，促进生态自我修复，主要任务以保育保护为主，辅以综合治理，实现生态自我修复，推进水源地生态清洁小流域建设，建立可行的水土保持生态补偿制度，以达到提高水源涵养功能、控制土地沙化、保障区域社会经济可持续发展的目的。</w:t>
            </w:r>
          </w:p>
          <w:p w14:paraId="31F6F5CF">
            <w:pPr>
              <w:numPr>
                <w:ilvl w:val="0"/>
                <w:numId w:val="7"/>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应山河水系综合治理工程：</w:t>
            </w:r>
            <w:r>
              <w:rPr>
                <w:rFonts w:hint="eastAsia" w:ascii="仿宋_GB2312" w:hAnsi="仿宋_GB2312" w:eastAsia="仿宋_GB2312" w:cs="仿宋_GB2312"/>
                <w:bCs/>
                <w:sz w:val="32"/>
                <w:szCs w:val="32"/>
              </w:rPr>
              <w:t>在应山河流域进行水环境综合治理，对河道环境进行改善，开展河道、河岸等方面的治理工作，通过对河道清淤、清障、扩宽、河岸护坡、新建防浪墙，使河道行洪标准满足法律法规要求，对重要支流入河口</w:t>
            </w:r>
            <w:r>
              <w:rPr>
                <w:rFonts w:hint="eastAsia" w:ascii="仿宋_GB2312" w:hAnsi="仿宋_GB2312" w:eastAsia="仿宋_GB2312" w:cs="仿宋_GB2312"/>
                <w:bCs/>
                <w:sz w:val="32"/>
                <w:szCs w:val="32"/>
                <w:lang w:val="en-US" w:eastAsia="zh-CN"/>
              </w:rPr>
              <w:t>进行</w:t>
            </w:r>
            <w:r>
              <w:rPr>
                <w:rFonts w:hint="eastAsia" w:ascii="仿宋_GB2312" w:hAnsi="仿宋_GB2312" w:eastAsia="仿宋_GB2312" w:cs="仿宋_GB2312"/>
                <w:bCs/>
                <w:sz w:val="32"/>
                <w:szCs w:val="32"/>
              </w:rPr>
              <w:t>整治，对污染源进行处理，减少污水排污口排污量。对沿岸集镇岸线和沿岸农田防崩岸进行整治，改善农村人居环境。</w:t>
            </w:r>
          </w:p>
          <w:p w14:paraId="61F7FAC5">
            <w:pPr>
              <w:numPr>
                <w:ilvl w:val="0"/>
                <w:numId w:val="7"/>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广水河水系综合治理工程：</w:t>
            </w:r>
            <w:r>
              <w:rPr>
                <w:rFonts w:hint="eastAsia" w:ascii="仿宋_GB2312" w:hAnsi="仿宋_GB2312" w:eastAsia="仿宋_GB2312" w:cs="仿宋_GB2312"/>
                <w:bCs/>
                <w:sz w:val="32"/>
                <w:szCs w:val="32"/>
              </w:rPr>
              <w:t>在广水河流域进行水污染防治和水生态综合治理，对河道环境进行改善，通过对河道清淤、清障、扩宽、河岸护坡及配套建筑物建设，使河道行洪标准满足法律法规要求；建设生态护岸，栽植水生植物，控制污染源，提高河道防洪、排水和排污能力，实现“河畅、水清、岸绿、安全、生态”目标。</w:t>
            </w:r>
          </w:p>
          <w:p w14:paraId="032BDD52">
            <w:pPr>
              <w:numPr>
                <w:ilvl w:val="0"/>
                <w:numId w:val="7"/>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广水市管网延伸工程：</w:t>
            </w:r>
            <w:r>
              <w:rPr>
                <w:rFonts w:hint="eastAsia" w:ascii="仿宋_GB2312" w:hAnsi="仿宋_GB2312" w:eastAsia="仿宋_GB2312" w:cs="仿宋_GB2312"/>
                <w:bCs/>
                <w:sz w:val="32"/>
                <w:szCs w:val="32"/>
              </w:rPr>
              <w:t>利用中线水厂的供水能力对陈巷镇、李店镇、十里街道办事处、太平镇等镇办原管网未辐射的村进行管网延伸，扩大供水范围，改善农村供水条件。利用东线水厂对杨寨镇、广水街道办事处未通水的村庄进行管网延伸。</w:t>
            </w:r>
          </w:p>
          <w:p w14:paraId="1F2F5271">
            <w:pPr>
              <w:numPr>
                <w:ilvl w:val="0"/>
                <w:numId w:val="7"/>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随东高标准农田建设工程：</w:t>
            </w:r>
            <w:r>
              <w:rPr>
                <w:rFonts w:hint="eastAsia" w:ascii="仿宋_GB2312" w:hAnsi="仿宋_GB2312" w:eastAsia="仿宋_GB2312" w:cs="仿宋_GB2312"/>
                <w:bCs/>
                <w:sz w:val="32"/>
                <w:szCs w:val="32"/>
              </w:rPr>
              <w:t>涉及城郊街办、骆店镇、陈巷镇、十里街道办事处、李店镇、太平镇、广水街道办事处、杨寨镇等乡镇，进行高标准农田建设，为减轻或消除主要限制性因素，全面提高农田综合生产能力而开展的田块整治、灌溉与排水、田间道路、农田防护与生态环境保护、农田输配电等农田基础设施建设和土壤改良、障碍土层消除、土壤培肥等农田地力提升活动，聚焦重点区域，统筹整合资金，加大建设力度。</w:t>
            </w:r>
          </w:p>
          <w:p w14:paraId="7D1F2501">
            <w:pPr>
              <w:numPr>
                <w:ilvl w:val="0"/>
                <w:numId w:val="7"/>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随东美丽乡村工程：</w:t>
            </w:r>
            <w:r>
              <w:rPr>
                <w:rFonts w:hint="eastAsia" w:ascii="仿宋_GB2312" w:hAnsi="仿宋_GB2312" w:eastAsia="仿宋_GB2312" w:cs="仿宋_GB2312"/>
                <w:bCs/>
                <w:sz w:val="32"/>
                <w:szCs w:val="32"/>
              </w:rPr>
              <w:t>在城郊街办、骆店镇、陈巷镇、十里街道办事处、李店镇、太平镇、广水街道办事处、杨寨镇等乡镇进行美丽乡村工程，基本措施包括乡镇污水处理厂污水管道延伸、新增微动力污水处理点、人工湿地建设、村湾内道路建设、垃圾中转站、垃圾亭建设、小型垃圾收集车、垃圾侧挂车购置、村庄道路绿化、美化、排水工程等其他相关项目。</w:t>
            </w:r>
          </w:p>
          <w:p w14:paraId="09693CA7">
            <w:pPr>
              <w:numPr>
                <w:ilvl w:val="0"/>
                <w:numId w:val="7"/>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随东村庄绿化工程：</w:t>
            </w:r>
            <w:r>
              <w:rPr>
                <w:rFonts w:hint="eastAsia" w:ascii="仿宋_GB2312" w:hAnsi="仿宋_GB2312" w:eastAsia="仿宋_GB2312" w:cs="仿宋_GB2312"/>
                <w:bCs/>
                <w:sz w:val="32"/>
                <w:szCs w:val="32"/>
              </w:rPr>
              <w:t>在城郊街办、骆店镇、陈巷镇、十里街道办事处、李店镇、太平镇、广水街道办事处、杨寨镇等乡镇进行村庄绿化工程，严格保护乡村古树名木，大力实施乡村增绿工程，统筹推进村旁、路旁、宅旁、水旁及农村零星空闲地绿化，实现应绿尽绿。</w:t>
            </w:r>
          </w:p>
          <w:p w14:paraId="29688B91">
            <w:pPr>
              <w:numPr>
                <w:ilvl w:val="0"/>
                <w:numId w:val="7"/>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广水市武胜关镇全域国土综合整治项目：</w:t>
            </w:r>
            <w:r>
              <w:rPr>
                <w:rFonts w:hint="eastAsia"/>
              </w:rPr>
              <w:t xml:space="preserve"> </w:t>
            </w:r>
            <w:r>
              <w:rPr>
                <w:rFonts w:hint="eastAsia" w:ascii="仿宋_GB2312" w:hAnsi="仿宋_GB2312" w:eastAsia="仿宋_GB2312" w:cs="仿宋_GB2312"/>
                <w:bCs/>
                <w:sz w:val="32"/>
                <w:szCs w:val="32"/>
              </w:rPr>
              <w:t>该项目涉及武胜关镇九个行政村，项目规划面积为</w:t>
            </w:r>
            <w:r>
              <w:rPr>
                <w:rFonts w:ascii="仿宋_GB2312" w:hAnsi="仿宋_GB2312" w:eastAsia="仿宋_GB2312" w:cs="仿宋_GB2312"/>
                <w:bCs/>
                <w:sz w:val="32"/>
                <w:szCs w:val="32"/>
              </w:rPr>
              <w:t>9村的行政面积。项目区总面积10.34万亩，其中耕地面积1.37万亩，预计建设后耕地面积1.51万亩，新增耕地1318.08亩，新增耕地率9.58%。</w:t>
            </w:r>
            <w:r>
              <w:rPr>
                <w:rFonts w:hint="eastAsia" w:ascii="仿宋_GB2312" w:hAnsi="仿宋_GB2312" w:eastAsia="仿宋_GB2312" w:cs="仿宋_GB2312"/>
                <w:bCs/>
                <w:sz w:val="32"/>
                <w:szCs w:val="32"/>
              </w:rPr>
              <w:t>项目主要实施三大工程。（</w:t>
            </w:r>
            <w:r>
              <w:rPr>
                <w:rFonts w:ascii="仿宋_GB2312" w:hAnsi="仿宋_GB2312" w:eastAsia="仿宋_GB2312" w:cs="仿宋_GB2312"/>
                <w:bCs/>
                <w:sz w:val="32"/>
                <w:szCs w:val="32"/>
              </w:rPr>
              <w:t>1）农用地综合整治工程：主要完成农田提质改造8451.92亩、未利用地开发76.99亩和旱地改水田985.04亩。（2）建设用地综合整治工程：主要完成建设用地拆旧1645.83亩、对拆迁居民点实施以奖代补（涉及1927户村民）、特色旧房保护与修缮405户、现有农村道路拓宽与新建50.89千米，并以村集并点为中心配套完成公共服务与基础设施建设优化工程。（3）生态保护修复与环境整治工程：主要完成河道岸线整治和生态修复17.46千米、林地生态修复509.81亩、废弃采矿用地生态修复31.30亩、历史文化景观保护与修复638.55亩，并在18个集并点内进行基础设施及景观建设。</w:t>
            </w:r>
          </w:p>
          <w:p w14:paraId="235AA604">
            <w:pPr>
              <w:numPr>
                <w:ilvl w:val="0"/>
                <w:numId w:val="7"/>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随县柳林镇全域国土综合整治项目：</w:t>
            </w:r>
            <w:r>
              <w:rPr>
                <w:rFonts w:hint="eastAsia"/>
              </w:rPr>
              <w:t xml:space="preserve"> </w:t>
            </w:r>
            <w:r>
              <w:rPr>
                <w:rFonts w:hint="eastAsia" w:ascii="仿宋_GB2312" w:hAnsi="仿宋_GB2312" w:eastAsia="仿宋_GB2312" w:cs="仿宋_GB2312"/>
                <w:bCs/>
                <w:sz w:val="32"/>
                <w:szCs w:val="32"/>
              </w:rPr>
              <w:t>随县柳林镇全域国土综合整治项目涉及</w:t>
            </w:r>
            <w:r>
              <w:rPr>
                <w:rFonts w:ascii="仿宋_GB2312" w:hAnsi="仿宋_GB2312" w:eastAsia="仿宋_GB2312" w:cs="仿宋_GB2312"/>
                <w:bCs/>
                <w:sz w:val="32"/>
                <w:szCs w:val="32"/>
              </w:rPr>
              <w:t>4个行政村，建设规模10.99万亩，其中耕地面积1.45万亩，计划总投资约4.32亿元，共涉及项目32个，其中：统筹各部门和企业、合作社投资项目21个，自筹资金项目11个。计划新增耕地占补平衡指标121.74亩，增减挂钩指标1088.15亩，旱改水水田指标149.82亩</w:t>
            </w:r>
            <w:r>
              <w:rPr>
                <w:rFonts w:hint="eastAsia" w:ascii="仿宋_GB2312" w:hAnsi="仿宋_GB2312" w:eastAsia="仿宋_GB2312" w:cs="仿宋_GB2312"/>
                <w:bCs/>
                <w:sz w:val="32"/>
                <w:szCs w:val="32"/>
              </w:rPr>
              <w:t>。</w:t>
            </w:r>
          </w:p>
          <w:p w14:paraId="2D10D149">
            <w:pPr>
              <w:numPr>
                <w:ilvl w:val="0"/>
                <w:numId w:val="7"/>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 xml:space="preserve">广水市余店镇全域国土综合整治项目： </w:t>
            </w:r>
            <w:r>
              <w:rPr>
                <w:rFonts w:hint="eastAsia" w:ascii="仿宋_GB2312" w:hAnsi="仿宋_GB2312" w:eastAsia="仿宋_GB2312" w:cs="仿宋_GB2312"/>
                <w:bCs/>
                <w:sz w:val="32"/>
                <w:szCs w:val="32"/>
              </w:rPr>
              <w:t>该项目位于湖北省广水市余店镇，涉及卢畈村、英姿寨、古城村、王家冲村、白雀村、金盘村、双楼村、豹子岭等</w:t>
            </w:r>
            <w:r>
              <w:rPr>
                <w:rFonts w:ascii="仿宋_GB2312" w:hAnsi="仿宋_GB2312" w:eastAsia="仿宋_GB2312" w:cs="仿宋_GB2312"/>
                <w:bCs/>
                <w:sz w:val="32"/>
                <w:szCs w:val="32"/>
              </w:rPr>
              <w:t>8个行政村，项目区建设规模5万亩，可新增耕地面积3300亩，预计建设期3年。</w:t>
            </w:r>
            <w:r>
              <w:rPr>
                <w:rFonts w:hint="eastAsia" w:ascii="仿宋_GB2312" w:hAnsi="仿宋_GB2312" w:eastAsia="仿宋_GB2312" w:cs="仿宋_GB2312"/>
                <w:bCs/>
                <w:sz w:val="32"/>
                <w:szCs w:val="32"/>
              </w:rPr>
              <w:t>一是水生态环境整治。通过河道、坑塘整治、旧沟渠疏通、生态护坡、小型污水处理站建设等工程建设，改善水体处于富营养化状态，</w:t>
            </w:r>
            <w:r>
              <w:rPr>
                <w:rFonts w:hint="eastAsia" w:ascii="仿宋_GB2312" w:hAnsi="仿宋_GB2312" w:eastAsia="仿宋_GB2312" w:cs="仿宋_GB2312"/>
                <w:bCs/>
                <w:sz w:val="32"/>
                <w:szCs w:val="32"/>
                <w:lang w:val="en-US" w:eastAsia="zh-CN"/>
              </w:rPr>
              <w:t>控制</w:t>
            </w:r>
            <w:r>
              <w:rPr>
                <w:rFonts w:hint="eastAsia" w:ascii="仿宋_GB2312" w:hAnsi="仿宋_GB2312" w:eastAsia="仿宋_GB2312" w:cs="仿宋_GB2312"/>
                <w:bCs/>
                <w:sz w:val="32"/>
                <w:szCs w:val="32"/>
              </w:rPr>
              <w:t>水体有恶化趋势。二是生态农田整治。建成生态农田，实现集中连片、设施配套、高产稳产、生态良好、抗灾能力强，满足现代农业生产和特色农业经营方式的要求。三是美丽乡村建设。通过村庄与基础设施、古村落保护、村庄道路等工程建设，和自然湾与村落进行拆旧与集并，建成后项目区范围内形成</w:t>
            </w:r>
            <w:r>
              <w:rPr>
                <w:rFonts w:ascii="仿宋_GB2312" w:hAnsi="仿宋_GB2312" w:eastAsia="仿宋_GB2312" w:cs="仿宋_GB2312"/>
                <w:bCs/>
                <w:sz w:val="32"/>
                <w:szCs w:val="32"/>
              </w:rPr>
              <w:t>13个基本生活圈（点），配备卫生室、便利店、幼儿园、室外运动场与文娱活动室等生活设施，辐射方圆2</w:t>
            </w:r>
            <w:r>
              <w:rPr>
                <w:rFonts w:hint="eastAsia" w:ascii="仿宋_GB2312" w:hAnsi="仿宋_GB2312" w:eastAsia="仿宋_GB2312" w:cs="仿宋_GB2312"/>
                <w:bCs/>
                <w:sz w:val="32"/>
                <w:szCs w:val="32"/>
              </w:rPr>
              <w:t>公里</w:t>
            </w:r>
            <w:r>
              <w:rPr>
                <w:rFonts w:ascii="仿宋_GB2312" w:hAnsi="仿宋_GB2312" w:eastAsia="仿宋_GB2312" w:cs="仿宋_GB2312"/>
                <w:bCs/>
                <w:sz w:val="32"/>
                <w:szCs w:val="32"/>
              </w:rPr>
              <w:t>范围，满足2500-4500人的生活所需；形成2个较大规模生活圈，配备小学、养老院、医院、图书馆、大型超市、文娱中心等生活设施，辐射方圆10</w:t>
            </w:r>
            <w:r>
              <w:rPr>
                <w:rFonts w:hint="eastAsia" w:ascii="仿宋_GB2312" w:hAnsi="仿宋_GB2312" w:eastAsia="仿宋_GB2312" w:cs="仿宋_GB2312"/>
                <w:bCs/>
                <w:sz w:val="32"/>
                <w:szCs w:val="32"/>
              </w:rPr>
              <w:t>公里</w:t>
            </w:r>
            <w:r>
              <w:rPr>
                <w:rFonts w:ascii="仿宋_GB2312" w:hAnsi="仿宋_GB2312" w:eastAsia="仿宋_GB2312" w:cs="仿宋_GB2312"/>
                <w:bCs/>
                <w:sz w:val="32"/>
                <w:szCs w:val="32"/>
              </w:rPr>
              <w:t>范围，满足10000人以上的生活所需。将形成现代化的新农村，吸引外出人员返乡与外来人员定居</w:t>
            </w:r>
            <w:r>
              <w:rPr>
                <w:rFonts w:hint="eastAsia" w:ascii="仿宋_GB2312" w:hAnsi="仿宋_GB2312" w:eastAsia="仿宋_GB2312" w:cs="仿宋_GB2312"/>
                <w:bCs/>
                <w:sz w:val="32"/>
                <w:szCs w:val="32"/>
              </w:rPr>
              <w:t>。</w:t>
            </w:r>
          </w:p>
          <w:p w14:paraId="26BCA4F0">
            <w:pPr>
              <w:numPr>
                <w:ilvl w:val="0"/>
                <w:numId w:val="7"/>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随县尚市镇全域国土综合整治试点项目：</w:t>
            </w:r>
            <w:r>
              <w:rPr>
                <w:rFonts w:hint="eastAsia" w:ascii="仿宋_GB2312" w:hAnsi="仿宋_GB2312" w:eastAsia="仿宋_GB2312" w:cs="仿宋_GB2312"/>
                <w:bCs/>
                <w:sz w:val="32"/>
                <w:szCs w:val="32"/>
              </w:rPr>
              <w:t>该项目位于随县尚市镇的龙脉村和星河村</w:t>
            </w:r>
            <w:r>
              <w:rPr>
                <w:rFonts w:ascii="仿宋_GB2312" w:hAnsi="仿宋_GB2312" w:eastAsia="仿宋_GB2312" w:cs="仿宋_GB2312"/>
                <w:bCs/>
                <w:sz w:val="32"/>
                <w:szCs w:val="32"/>
              </w:rPr>
              <w:t>2个村，项目区建设规模3万亩，可新增耕地面积1274亩。</w:t>
            </w:r>
            <w:r>
              <w:rPr>
                <w:rFonts w:hint="eastAsia" w:ascii="仿宋_GB2312" w:hAnsi="仿宋_GB2312" w:eastAsia="仿宋_GB2312" w:cs="仿宋_GB2312"/>
                <w:bCs/>
                <w:sz w:val="32"/>
                <w:szCs w:val="32"/>
              </w:rPr>
              <w:t>一是村庄环境综合整治。项目区将拆旧地块</w:t>
            </w:r>
            <w:r>
              <w:rPr>
                <w:rFonts w:ascii="仿宋_GB2312" w:hAnsi="仿宋_GB2312" w:eastAsia="仿宋_GB2312" w:cs="仿宋_GB2312"/>
                <w:bCs/>
                <w:sz w:val="32"/>
                <w:szCs w:val="32"/>
              </w:rPr>
              <w:t>70个，面积约为113亩，对8个整治自然湾的320户住户进行屋面整体亮化、门窗更换和屋顶面翻新；解决村民日常生活的需求和村庄环境的改善；二是农用地综合整治。对杜家河和泉水河两岸区约5000亩耕地进行土地平整；进行面积约为1159.5亩的土地开发、3个地块（8个图斑）提质改造（旱改水）；完善项目区牡丹产业及油桃产业区域配套设施；三是生态环境综合整治。对杜家河、泉水河进行小流域生态整治，利用原有坑塘作为净化池58处，在农田排水沟的尾端设置净化池130座，种植栎</w:t>
            </w:r>
            <w:r>
              <w:rPr>
                <w:rFonts w:hint="eastAsia" w:ascii="仿宋_GB2312" w:hAnsi="仿宋_GB2312" w:eastAsia="仿宋_GB2312" w:cs="仿宋_GB2312"/>
                <w:bCs/>
                <w:sz w:val="32"/>
                <w:szCs w:val="32"/>
              </w:rPr>
              <w:t>树</w:t>
            </w:r>
            <w:r>
              <w:rPr>
                <w:rFonts w:ascii="仿宋_GB2312" w:hAnsi="仿宋_GB2312" w:eastAsia="仿宋_GB2312" w:cs="仿宋_GB2312"/>
                <w:bCs/>
                <w:sz w:val="32"/>
                <w:szCs w:val="32"/>
              </w:rPr>
              <w:t>60000棵，马尾松20000棵，并“村旁、宅旁、水旁、路旁”等四旁进行绿化改善项目区生态环境</w:t>
            </w:r>
            <w:r>
              <w:rPr>
                <w:rFonts w:hint="eastAsia" w:ascii="仿宋_GB2312" w:hAnsi="仿宋_GB2312" w:eastAsia="仿宋_GB2312" w:cs="仿宋_GB2312"/>
                <w:bCs/>
                <w:sz w:val="32"/>
                <w:szCs w:val="32"/>
              </w:rPr>
              <w:t>。</w:t>
            </w:r>
          </w:p>
          <w:p w14:paraId="74216F6D">
            <w:pPr>
              <w:numPr>
                <w:ilvl w:val="0"/>
                <w:numId w:val="7"/>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 xml:space="preserve">广水市蔡河镇全域国土综合整治： </w:t>
            </w:r>
            <w:r>
              <w:rPr>
                <w:rFonts w:hint="eastAsia" w:ascii="仿宋_GB2312" w:hAnsi="仿宋_GB2312" w:eastAsia="仿宋_GB2312" w:cs="仿宋_GB2312"/>
                <w:bCs/>
                <w:sz w:val="32"/>
                <w:szCs w:val="32"/>
              </w:rPr>
              <w:t>该项目主要位于广水市蔡河镇楼坊村、黄土关村、南界村，均属于集聚提升型村庄，项目区建设规模</w:t>
            </w:r>
            <w:r>
              <w:rPr>
                <w:rFonts w:ascii="仿宋_GB2312" w:hAnsi="仿宋_GB2312" w:eastAsia="仿宋_GB2312" w:cs="仿宋_GB2312"/>
                <w:bCs/>
                <w:sz w:val="32"/>
                <w:szCs w:val="32"/>
              </w:rPr>
              <w:t>8.54万亩。</w:t>
            </w:r>
            <w:r>
              <w:rPr>
                <w:rFonts w:hint="eastAsia" w:ascii="仿宋_GB2312" w:hAnsi="仿宋_GB2312" w:eastAsia="仿宋_GB2312" w:cs="仿宋_GB2312"/>
                <w:bCs/>
                <w:sz w:val="32"/>
                <w:szCs w:val="32"/>
              </w:rPr>
              <w:t>为切实解决项目区耕地碎片化、空间布局无序化、土地资源利用低效化及生态质量退化等问题，优化项目区生产、生活、生态空间，助推乡村振兴和生态文明建设，本项目布设了农田生态整治工程、耕地占补平衡工程、耕地提质改造（旱改水）工程、生态修复（草</w:t>
            </w:r>
            <w:r>
              <w:rPr>
                <w:rFonts w:ascii="仿宋_GB2312" w:hAnsi="仿宋_GB2312" w:eastAsia="仿宋_GB2312" w:cs="仿宋_GB2312"/>
                <w:bCs/>
                <w:sz w:val="32"/>
                <w:szCs w:val="32"/>
              </w:rPr>
              <w:t>-林）工程、拆迁集并工程、道路提档升级工程、生态廊道修复、飞沙河湿地公园、黄土关文化园、楼坊国家乡村公园、凤凰谷循环产业园、龙卧寨森林康养乐园等工程</w:t>
            </w:r>
            <w:r>
              <w:rPr>
                <w:rFonts w:hint="eastAsia" w:ascii="仿宋_GB2312" w:hAnsi="仿宋_GB2312" w:eastAsia="仿宋_GB2312" w:cs="仿宋_GB2312"/>
                <w:bCs/>
                <w:sz w:val="32"/>
                <w:szCs w:val="32"/>
              </w:rPr>
              <w:t>。</w:t>
            </w:r>
          </w:p>
        </w:tc>
      </w:tr>
    </w:tbl>
    <w:p w14:paraId="3388C594">
      <w:pPr>
        <w:keepNext/>
        <w:keepLines/>
        <w:spacing w:line="600" w:lineRule="exact"/>
        <w:ind w:firstLine="643"/>
        <w:outlineLvl w:val="1"/>
        <w:rPr>
          <w:rFonts w:hint="eastAsia" w:ascii="仿宋_GB2312" w:hAnsi="仿宋_GB2312" w:eastAsia="仿宋_GB2312" w:cs="仿宋_GB2312"/>
          <w:b/>
          <w:bCs/>
          <w:sz w:val="32"/>
          <w:szCs w:val="32"/>
        </w:rPr>
      </w:pPr>
      <w:bookmarkStart w:id="101" w:name="_Toc117533273"/>
      <w:r>
        <w:rPr>
          <w:rFonts w:hint="eastAsia" w:ascii="仿宋_GB2312" w:hAnsi="仿宋_GB2312" w:eastAsia="仿宋_GB2312" w:cs="仿宋_GB2312"/>
          <w:b/>
          <w:bCs/>
          <w:sz w:val="32"/>
          <w:szCs w:val="32"/>
        </w:rPr>
        <w:t>9.</w:t>
      </w:r>
      <w:r>
        <w:rPr>
          <w:rFonts w:ascii="仿宋_GB2312" w:hAnsi="仿宋_GB2312" w:eastAsia="仿宋_GB2312" w:cs="仿宋_GB2312"/>
          <w:b/>
          <w:bCs/>
          <w:sz w:val="32"/>
          <w:szCs w:val="32"/>
        </w:rPr>
        <w:t xml:space="preserve">6 </w:t>
      </w:r>
      <w:r>
        <w:rPr>
          <w:rFonts w:hint="eastAsia" w:ascii="仿宋_GB2312" w:hAnsi="仿宋_GB2312" w:eastAsia="仿宋_GB2312" w:cs="仿宋_GB2312"/>
          <w:b/>
          <w:bCs/>
          <w:sz w:val="32"/>
          <w:szCs w:val="32"/>
        </w:rPr>
        <w:t>城镇生态修复区重点工程</w:t>
      </w:r>
      <w:bookmarkEnd w:id="101"/>
    </w:p>
    <w:p w14:paraId="4E6F651D">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形成统一调配水源的网络化工程，提升城市蓄水能力，统筹区域水资源配置；加强城镇污水处理厂及配套管网建设，提升出水水质，保障用水安全；广泛开展全域国土综合整治，实施生态环境保护修复，分类引导城镇低效用地再开发，加块城市更新速度。坚持科学规划布局、合理配置资源，完善配套基础设施，优化生态环境，建设美丽城镇，切实推动城镇集中地区生态品质提升，提高居民幸福感。</w:t>
      </w:r>
    </w:p>
    <w:tbl>
      <w:tblPr>
        <w:tblStyle w:val="30"/>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79"/>
      </w:tblGrid>
      <w:tr w14:paraId="57CBC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jc w:val="center"/>
        </w:trPr>
        <w:tc>
          <w:tcPr>
            <w:tcW w:w="5000" w:type="dxa"/>
            <w:shd w:val="clear" w:color="auto" w:fill="D8D8D8"/>
            <w:noWrap w:val="0"/>
            <w:vAlign w:val="center"/>
          </w:tcPr>
          <w:p w14:paraId="609F3313">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专栏9-</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城镇生态修复区重点工程</w:t>
            </w:r>
          </w:p>
        </w:tc>
      </w:tr>
      <w:tr w14:paraId="65482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5000" w:type="dxa"/>
            <w:noWrap w:val="0"/>
            <w:vAlign w:val="center"/>
          </w:tcPr>
          <w:p w14:paraId="372F5B18">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厉山-淅河城镇土地沙化综合治理工程：</w:t>
            </w:r>
            <w:r>
              <w:rPr>
                <w:rFonts w:hint="eastAsia" w:ascii="仿宋_GB2312" w:hAnsi="仿宋_GB2312" w:eastAsia="仿宋_GB2312" w:cs="仿宋_GB2312"/>
                <w:bCs/>
                <w:sz w:val="32"/>
                <w:szCs w:val="32"/>
              </w:rPr>
              <w:t>因地制宜地建设小型雨水集蓄工程和缓洪拦沙工程，并形成能够统一调配水源的网络化工程；增加土壤入渗等措施，充分利用雨洪资源，降低城区径流模数，缓解排洪压力；加大旧城区的改造，将其改造成秩序井然、环境优美的生活小区；实行垃圾袋装化，统一使用可降塑料袋，封堵过去居民住宅的垃圾道，取消新建建筑的垃圾道，对城区生活垃圾实行专人专车收集、集中处理；开展护岸工程和沟头防护工程，针对沙土区河流河床不稳，滩岸易冲塌的特点，采取低重力式浆砌石挡土墙护岸。对开敞式排水沟，要根据实际情况兴建挡水建筑物。</w:t>
            </w:r>
          </w:p>
          <w:p w14:paraId="32262ED2">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厉山-淅河城镇人居环境整治工程：</w:t>
            </w:r>
            <w:r>
              <w:rPr>
                <w:rFonts w:hint="eastAsia" w:ascii="仿宋_GB2312" w:hAnsi="仿宋_GB2312" w:eastAsia="仿宋_GB2312" w:cs="仿宋_GB2312"/>
                <w:bCs/>
                <w:sz w:val="32"/>
                <w:szCs w:val="32"/>
              </w:rPr>
              <w:t>重点整治厉山-淅河城镇中心城区挥发性有机物、施工扬尘、餐饮油烟等大气面源污染；完善老旧小区化粪池配套设施，新建管网实行雨污分流，规范对接城区主管网；推进城镇污水管网全覆盖，加快推进城市雨污分流改造，配套建设污水收集管网，建成污泥无害化处理厂，提高污泥无害化和资源化处置能力。建立城市黑臭水体档案，按照“一水一策”原则，编制整治方案，明确整治目标、重点任务、整治措施和实施周期，并拟定各年度整治计划。</w:t>
            </w:r>
          </w:p>
          <w:p w14:paraId="60E3877C">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城北污水处理厂等3个尾水水质提升工程：</w:t>
            </w:r>
            <w:r>
              <w:rPr>
                <w:rFonts w:hint="eastAsia" w:ascii="仿宋_GB2312" w:hAnsi="仿宋_GB2312" w:eastAsia="仿宋_GB2312" w:cs="仿宋_GB2312"/>
                <w:bCs/>
                <w:sz w:val="32"/>
                <w:szCs w:val="32"/>
              </w:rPr>
              <w:t>新建占地面积约150亩，处理能力1万吨/天的大型人工湿地尾水处理系统，进一步削减尾水中的有机物和氮、磷等能够导致水体富营养化的可溶性无机物，提升出水水质、城市蓄水能力，统筹区域水资源配置，保障河流生态流量。</w:t>
            </w:r>
          </w:p>
          <w:p w14:paraId="465A2F7F">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城南污水处理厂尾水水质提升工程：</w:t>
            </w:r>
            <w:r>
              <w:rPr>
                <w:rFonts w:hint="eastAsia" w:ascii="仿宋_GB2312" w:hAnsi="仿宋_GB2312" w:eastAsia="仿宋_GB2312" w:cs="仿宋_GB2312"/>
                <w:bCs/>
                <w:sz w:val="32"/>
                <w:szCs w:val="32"/>
              </w:rPr>
              <w:t>新建占地面积约750亩，处理能力5万吨/天的大型人工湿地尾水处理系统，进一步削减尾水中的有机物和氮、磷等能够导致水体富营养化的可溶性无机物，提升出水水质。加强城镇污水处理厂及配套管网建设，提升污水处理厂运行管理水平，污水处理厂排放标准全部提高到一级A标准。</w:t>
            </w:r>
          </w:p>
          <w:p w14:paraId="5D1BE5BB">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随州市城市污水处理厂尾水水质提升工程：</w:t>
            </w:r>
            <w:r>
              <w:rPr>
                <w:rFonts w:hint="eastAsia" w:ascii="仿宋_GB2312" w:hAnsi="仿宋_GB2312" w:eastAsia="仿宋_GB2312" w:cs="仿宋_GB2312"/>
                <w:bCs/>
                <w:sz w:val="32"/>
                <w:szCs w:val="32"/>
              </w:rPr>
              <w:t>新建占地面积约1500亩，处理能力10万吨天的大型人工湿地尾水处理系统，进一步削减尾水中的有机物和氮、磷等能够导致水体富营养化的可溶性无机物，提升出水水质。</w:t>
            </w:r>
          </w:p>
          <w:p w14:paraId="1CB318F0">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随州市城区供水管网改造工程：</w:t>
            </w:r>
            <w:r>
              <w:rPr>
                <w:rFonts w:hint="eastAsia" w:ascii="仿宋_GB2312" w:hAnsi="仿宋_GB2312" w:eastAsia="仿宋_GB2312" w:cs="仿宋_GB2312"/>
                <w:bCs/>
                <w:sz w:val="32"/>
                <w:szCs w:val="32"/>
              </w:rPr>
              <w:t>城市供水管网改造升级，对老城区主干道50千米进行改造，全部更换为DN400-DN800球墨铸铁管道；对老城区次干道、巷道及消防道老旧供水管道进行改造，全部更换为DN100-DN400球墨铸铁管道，降低管网漏失率。</w:t>
            </w:r>
          </w:p>
          <w:p w14:paraId="540EEFEE">
            <w:pPr>
              <w:numPr>
                <w:ilvl w:val="0"/>
                <w:numId w:val="8"/>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随州高新区污水管网改造工程：</w:t>
            </w:r>
            <w:r>
              <w:rPr>
                <w:rFonts w:hint="eastAsia" w:ascii="仿宋_GB2312" w:hAnsi="仿宋_GB2312" w:eastAsia="仿宋_GB2312" w:cs="仿宋_GB2312"/>
                <w:bCs/>
                <w:sz w:val="32"/>
                <w:szCs w:val="32"/>
              </w:rPr>
              <w:t>主要完成高新区城东片区污水管网建设工程，包含城东污水管网（鹿鹤大道至污水处理厂段）、二号渠（文帝大道至交通大道段）、解放东路（裕民自建小区污水口至解放东路段）、黄鹤酒业（漂水至青年东路段）等。</w:t>
            </w:r>
          </w:p>
          <w:p w14:paraId="39027A54">
            <w:pPr>
              <w:numPr>
                <w:ilvl w:val="0"/>
                <w:numId w:val="8"/>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曾都“库库连通，水厂并网”工程：</w:t>
            </w:r>
            <w:r>
              <w:rPr>
                <w:rFonts w:hint="eastAsia" w:ascii="仿宋_GB2312" w:hAnsi="仿宋_GB2312" w:eastAsia="仿宋_GB2312" w:cs="仿宋_GB2312"/>
                <w:bCs/>
                <w:sz w:val="32"/>
                <w:szCs w:val="32"/>
              </w:rPr>
              <w:t>规划“一镇一网”、“多镇一网”的供水模式，实施“库库连通，水厂并网”工程。玉龙、羊子山、凉亭和寨湾四水厂连通，并网延伸，对随州市西城、东城、南郊、北郊</w:t>
            </w:r>
            <w:bookmarkStart w:id="102" w:name="_GoBack"/>
            <w:bookmarkEnd w:id="102"/>
            <w:r>
              <w:rPr>
                <w:rFonts w:hint="eastAsia" w:ascii="仿宋_GB2312" w:hAnsi="仿宋_GB2312" w:eastAsia="仿宋_GB2312" w:cs="仿宋_GB2312"/>
                <w:bCs/>
                <w:sz w:val="32"/>
                <w:szCs w:val="32"/>
              </w:rPr>
              <w:t>及附近农村全覆盖；白果河水厂扩建工程、何店镇荞麦河、白果河、浪河、谢店等4个自来水厂并网延伸，达到何店镇全覆盖；淅河镇清泉（先觉庙水厂）、仙湖和大堰坡等3个自来水厂扩建并网延伸，达到淅河镇全覆盖；万店镇通过随州市鄂北水资源配置工程新建规模为8400立方米/天两河口水厂，铺设供水管线163.611</w:t>
            </w:r>
            <w:r>
              <w:rPr>
                <w:rFonts w:hint="eastAsia" w:ascii="仿宋_GB2312" w:hAnsi="仿宋_GB2312" w:eastAsia="仿宋_GB2312" w:cs="仿宋_GB2312"/>
                <w:bCs/>
                <w:sz w:val="32"/>
                <w:szCs w:val="32"/>
                <w:lang w:val="en-US" w:eastAsia="zh-CN"/>
              </w:rPr>
              <w:t>千米</w:t>
            </w:r>
            <w:r>
              <w:rPr>
                <w:rFonts w:hint="eastAsia" w:ascii="仿宋_GB2312" w:hAnsi="仿宋_GB2312" w:eastAsia="仿宋_GB2312" w:cs="仿宋_GB2312"/>
                <w:bCs/>
                <w:sz w:val="32"/>
                <w:szCs w:val="32"/>
              </w:rPr>
              <w:t>，对整个万店镇全覆盖；洛阳镇将桃园河、龚店、君子山、永兴（四清水库）等4个自来水厂改造并进行管网延伸，形成联合供水水源，达到洛阳镇全覆盖；府河镇将新庙、白河滩、閤家河、柿园河、银山坡、拱桥河、四五咀、徐家垱、钰山、段家岗等10个自来水厂改造并进行管网延伸，达到全覆盖。</w:t>
            </w:r>
          </w:p>
          <w:p w14:paraId="41AC79D2">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涢水流域防洪设施建设工程：</w:t>
            </w:r>
            <w:r>
              <w:rPr>
                <w:rFonts w:hint="eastAsia" w:ascii="仿宋_GB2312" w:hAnsi="仿宋_GB2312" w:eastAsia="仿宋_GB2312" w:cs="仿宋_GB2312"/>
                <w:bCs/>
                <w:sz w:val="32"/>
                <w:szCs w:val="32"/>
              </w:rPr>
              <w:t>涢水上游堤防左、右岸地势低，基本无成形堤防。规划左、右岸分别兴建满足50、20年一遇防洪标准堤防。</w:t>
            </w:r>
          </w:p>
          <w:p w14:paraId="23B37F9D">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白云湖防洪设施建设工程：</w:t>
            </w:r>
            <w:r>
              <w:rPr>
                <w:rFonts w:hint="eastAsia" w:ascii="仿宋_GB2312" w:hAnsi="仿宋_GB2312" w:eastAsia="仿宋_GB2312" w:cs="仿宋_GB2312"/>
                <w:bCs/>
                <w:sz w:val="32"/>
                <w:szCs w:val="32"/>
              </w:rPr>
              <w:t>白云湖现有堤防满足防洪要求，但白云湖公园渗漏严重。规划保留现有布置，对白云湖公园段堤防进行防渗处理，治理全长1624米。白云湖水库堤防左堤基本满足防洪要求，右堤局部无成形堤防。规划在满足防洪要求的基础上部分堤防维持现状，堤顶允许短时间跃浪，采取防浪林措施。</w:t>
            </w:r>
          </w:p>
          <w:p w14:paraId="497D5747">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低效用地再开发和城市更新工程：</w:t>
            </w:r>
            <w:r>
              <w:rPr>
                <w:rFonts w:hint="eastAsia" w:ascii="仿宋_GB2312" w:hAnsi="仿宋_GB2312" w:eastAsia="仿宋_GB2312" w:cs="仿宋_GB2312"/>
                <w:bCs/>
                <w:sz w:val="32"/>
                <w:szCs w:val="32"/>
              </w:rPr>
              <w:t>分类引导城镇低效用地再开发。加强对老城区、城中村、棚户区、老旧工业区的改造开发，重点对低效商服、建筑陈旧、房屋闲置且基础设施差的区域进行改造。在注重保护历史文化（传统）村落、传统建筑的同时，按照村庄布局规划，结合农村人居环境整治，按照城乡建设用地增减挂钩政策，大力开展农村宅基地、工矿废弃地以及其他存量建设用地复垦，合理安排建新区块，为城乡融合发展提供资源要素保障。促进人口集中、产业集聚、用地集约，推动产城融合，推动城市生态、安全、文化升级。</w:t>
            </w:r>
          </w:p>
          <w:p w14:paraId="2711DD3E">
            <w:pPr>
              <w:numPr>
                <w:ilvl w:val="0"/>
                <w:numId w:val="8"/>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城镇生态品质提升工程：</w:t>
            </w:r>
            <w:r>
              <w:rPr>
                <w:rFonts w:hint="eastAsia" w:ascii="仿宋_GB2312" w:hAnsi="仿宋_GB2312" w:eastAsia="仿宋_GB2312" w:cs="仿宋_GB2312"/>
                <w:bCs/>
                <w:sz w:val="32"/>
                <w:szCs w:val="32"/>
              </w:rPr>
              <w:t>坚持科学规划布局、合理配置资源，统筹推进曾都区和随州高新区发展，推动中心城区形成分工合理、设施完备、功能互补、特色突显的空间布局，建设神韵随州的高品质发展区，力争中心城区建成区面积达到100平方公里，能够容纳100万人口的承载能力。实施神韵随州补短板品质提升三年行动，全面提升城市经济品质、人文品质、生态品质、生活品质，建设宜居宜业宜游的现代化城市。坚持把县城作为新型城镇化建设的重要支撑点，特色小（城）镇作为新型城镇化建设的有效载体，打造吸纳大量人口集聚的重要平台，推动农业转移人口就近城镇化。</w:t>
            </w:r>
          </w:p>
          <w:p w14:paraId="1498EDA0">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应山-广水城镇土地沙化综合治理工程：</w:t>
            </w:r>
            <w:r>
              <w:rPr>
                <w:rFonts w:hint="eastAsia" w:ascii="仿宋_GB2312" w:hAnsi="仿宋_GB2312" w:eastAsia="仿宋_GB2312" w:cs="仿宋_GB2312"/>
                <w:bCs/>
                <w:sz w:val="32"/>
                <w:szCs w:val="32"/>
              </w:rPr>
              <w:t>把河网水系的改造作为重点，具有一定规模的穿城河流、水面，均要按照生态公园的标准进行全面规划、综合治理，既要满足河道的行洪要求、水面的蓄水功能，又要创造水的生态功能，为实现人们亲水、近水与自然和谐创造条件；重视污水的处理和利用，加强城市污水处理厂的建设管理，实现污水达标排放，中水有效利用；加快城市污水管网改造，对部分的排水不畅地段进行重新设计改造，满足防洪要求；加快垃圾无害化处理步伐，加强垃圾处理场的技术改造，增加垃圾处理能力，加大对工业企业废水、废渣、气排放的监督管理力度，确保城区“三废”达标排放；加强城市绿化工作，搞好统筹规划，扩大绿地面积，建设园林小区和森林城市；加强水资源的统一管理，严格取水许可制度，对私采地下水的情况进行严格查处，提高矿井疏干水利用率，充分发挥对城市的生态调节作用。</w:t>
            </w:r>
          </w:p>
          <w:p w14:paraId="43C3480F">
            <w:pPr>
              <w:numPr>
                <w:ilvl w:val="0"/>
                <w:numId w:val="8"/>
              </w:numPr>
              <w:tabs>
                <w:tab w:val="left" w:pos="312"/>
              </w:tabs>
              <w:spacing w:line="600" w:lineRule="exact"/>
              <w:ind w:left="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应山-广水城镇人居环境整治工程：</w:t>
            </w:r>
            <w:r>
              <w:rPr>
                <w:rFonts w:hint="eastAsia" w:ascii="仿宋_GB2312" w:hAnsi="仿宋_GB2312" w:eastAsia="仿宋_GB2312" w:cs="仿宋_GB2312"/>
                <w:bCs/>
                <w:sz w:val="32"/>
                <w:szCs w:val="32"/>
              </w:rPr>
              <w:t>以补齐规划、公共环境、基础设施、公共服务、城镇风貌、产业发展、治理水平等方面短板为主要内容，实现行政村保洁全覆盖，较大幅度提高城镇垃圾收集水平和处理率；完善城镇排水和污水管网配套，加快污水管网向村湾延伸，加强污水处理厂和收集管网运行维护管理；不断完善公路、泵站、堰塘等基础设施建设，提档升级亮化、绿化、硬化工程，优化公共设施布局，改善人民群众人居环境和生产生活质量；因地制宜地建设湿地公园、雨水花园等海绵绿地，推广老旧公园提质改造，完善绿地系统，推进绿廊、绿环、绿楔、绿心等绿地建设，构建完整连贯的城乡绿地系统。</w:t>
            </w:r>
          </w:p>
          <w:p w14:paraId="2810821C">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bCs/>
                <w:sz w:val="32"/>
                <w:szCs w:val="32"/>
              </w:rPr>
              <w:t>广水“五库连通、三线互补”工程：</w:t>
            </w:r>
            <w:r>
              <w:rPr>
                <w:rFonts w:hint="eastAsia" w:ascii="仿宋_GB2312" w:hAnsi="仿宋_GB2312" w:eastAsia="仿宋_GB2312" w:cs="仿宋_GB2312"/>
                <w:sz w:val="32"/>
                <w:szCs w:val="32"/>
              </w:rPr>
              <w:t>以飞沙河水库为水源，延伸应山城区向周边农村辐射的中线供水工程；以霞家河水库、高峰寺水库为水源，延伸广水城区向周边农村辐射的东线供水工程；以黑洞湾水库、四家寨水库、徐家河水库为水源，修建2座水厂，解决吴店镇、余店镇、马坪镇等4个镇饮水问题的西线供水工程。</w:t>
            </w:r>
          </w:p>
          <w:p w14:paraId="37837BE5">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广水城区城市排水防洪工程：</w:t>
            </w:r>
            <w:r>
              <w:rPr>
                <w:rFonts w:hint="eastAsia" w:ascii="仿宋_GB2312" w:hAnsi="仿宋_GB2312" w:eastAsia="仿宋_GB2312" w:cs="仿宋_GB2312"/>
                <w:bCs/>
                <w:sz w:val="32"/>
                <w:szCs w:val="32"/>
              </w:rPr>
              <w:t>针对广水片区排水问题，分两个阶段新建污水管网。采取上游拦水滞洪、引水下河，城区拆迁阻水建筑、疏通河道等办法，力争主城区在标准内洪水时不受淹没。</w:t>
            </w:r>
          </w:p>
          <w:p w14:paraId="336290D6">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广水市马都司污水处理厂建设工程：</w:t>
            </w:r>
            <w:r>
              <w:rPr>
                <w:rFonts w:hint="eastAsia" w:ascii="仿宋_GB2312" w:hAnsi="仿宋_GB2312" w:eastAsia="仿宋_GB2312" w:cs="仿宋_GB2312"/>
                <w:bCs/>
                <w:sz w:val="32"/>
                <w:szCs w:val="32"/>
              </w:rPr>
              <w:t>马都司污水处理厂，设计总规模日处理污水4万吨，一期建设规模2万吨，实施沿河污水截流管网、污水收集主管网（包含清水桥社区）建设。</w:t>
            </w:r>
          </w:p>
          <w:p w14:paraId="1AC46CA0">
            <w:pPr>
              <w:numPr>
                <w:ilvl w:val="0"/>
                <w:numId w:val="8"/>
              </w:numPr>
              <w:tabs>
                <w:tab w:val="left" w:pos="312"/>
              </w:tabs>
              <w:spacing w:line="600" w:lineRule="exact"/>
              <w:ind w:left="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低效用地再开发和城市更新工程：</w:t>
            </w:r>
            <w:r>
              <w:rPr>
                <w:rFonts w:hint="eastAsia" w:ascii="仿宋_GB2312" w:hAnsi="仿宋_GB2312" w:eastAsia="仿宋_GB2312" w:cs="仿宋_GB2312"/>
                <w:bCs/>
                <w:sz w:val="32"/>
                <w:szCs w:val="32"/>
              </w:rPr>
              <w:t>对该片区中布局散乱、利用粗放、用途不合理、建筑危旧的城镇存量建设用地进行再开发；闲置废弃、不符合安全生产和环保要求等存量建设用地则被选择性地纳入再开发范围。加强落户项目规范管理，清理闲置低效用地，督促项目加快建设，盘活存量土地，提高整体发展质效；加快市工业基地发展，强力推进征地、拆迁、安置及道路建设，推动基础设施大提升、大完善。</w:t>
            </w:r>
          </w:p>
        </w:tc>
      </w:tr>
    </w:tbl>
    <w:p w14:paraId="266F7294">
      <w:pPr>
        <w:keepNext/>
        <w:keepLines/>
        <w:spacing w:line="600" w:lineRule="exact"/>
        <w:ind w:firstLine="643"/>
        <w:outlineLvl w:val="1"/>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9</w:t>
      </w:r>
      <w:r>
        <w:rPr>
          <w:rFonts w:ascii="仿宋_GB2312" w:hAnsi="仿宋_GB2312" w:eastAsia="仿宋_GB2312" w:cs="仿宋_GB2312"/>
          <w:b/>
          <w:bCs/>
          <w:sz w:val="32"/>
          <w:szCs w:val="32"/>
        </w:rPr>
        <w:t xml:space="preserve">.7 </w:t>
      </w:r>
      <w:r>
        <w:rPr>
          <w:rFonts w:hint="eastAsia" w:ascii="仿宋_GB2312" w:hAnsi="仿宋_GB2312" w:eastAsia="仿宋_GB2312" w:cs="仿宋_GB2312"/>
          <w:b/>
          <w:bCs/>
          <w:sz w:val="32"/>
          <w:szCs w:val="32"/>
        </w:rPr>
        <w:t>生态保护和修复支撑重点工程</w:t>
      </w:r>
    </w:p>
    <w:p w14:paraId="5EFF7562">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从三个方面提升生态修复科技支撑能力：生态保护修复的创新理论技术研发与推广、高水平科研成果的支撑平台建设和高质量科研成果的人才队伍建设。加强交流与合作，加大高层次、高水平人才引进的力度，引育结合地优化人才资源配置，培育具有一流科技水平的人才和团队，积极参与生态治理工作，同时产出一大批创新性、实用性科技成果，服务于生态保护修复工作。</w:t>
      </w:r>
    </w:p>
    <w:tbl>
      <w:tblPr>
        <w:tblStyle w:val="30"/>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79"/>
      </w:tblGrid>
      <w:tr w14:paraId="219E7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blHeader/>
          <w:jc w:val="center"/>
        </w:trPr>
        <w:tc>
          <w:tcPr>
            <w:tcW w:w="5000" w:type="dxa"/>
            <w:shd w:val="clear" w:color="auto" w:fill="D8D8D8"/>
            <w:noWrap w:val="0"/>
            <w:vAlign w:val="center"/>
          </w:tcPr>
          <w:p w14:paraId="0471947A">
            <w:pPr>
              <w:spacing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专栏9-</w:t>
            </w:r>
            <w:r>
              <w:rPr>
                <w:rFonts w:ascii="仿宋_GB2312" w:hAnsi="仿宋_GB2312" w:eastAsia="仿宋_GB2312" w:cs="仿宋_GB2312"/>
                <w:sz w:val="32"/>
                <w:szCs w:val="32"/>
              </w:rPr>
              <w:t>7</w:t>
            </w:r>
            <w:r>
              <w:rPr>
                <w:rFonts w:hint="eastAsia" w:ascii="仿宋_GB2312" w:hAnsi="仿宋_GB2312" w:eastAsia="仿宋_GB2312" w:cs="仿宋_GB2312"/>
                <w:sz w:val="32"/>
                <w:szCs w:val="32"/>
              </w:rPr>
              <w:t>生态保护和修复支撑重点工程</w:t>
            </w:r>
          </w:p>
        </w:tc>
      </w:tr>
      <w:tr w14:paraId="2D277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5000" w:type="dxa"/>
            <w:noWrap w:val="0"/>
            <w:vAlign w:val="center"/>
          </w:tcPr>
          <w:p w14:paraId="457068D4">
            <w:pPr>
              <w:tabs>
                <w:tab w:val="left" w:pos="312"/>
              </w:tabs>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加强生态保护和修复基础研究、关键技术攻关以及技术集成示范推广与应用，加大科研平台建设。构建市-县相协同的“天空地”一体化生态监测监管平台和生态保护在线监管平台。加强森林火灾预防和应急处置、有害生物防治能力建设，提升基层管护站点建设水平，完善相关基础设施。建设生态预警监测体系，提升防灾减灾能力。实施生态气象保障重点工程，增强气象监测预测能力及对生态保护和修复的服务能力。</w:t>
            </w:r>
          </w:p>
        </w:tc>
      </w:tr>
    </w:tbl>
    <w:p w14:paraId="361C38B0">
      <w:pPr>
        <w:keepNext/>
        <w:keepLines/>
        <w:spacing w:line="600" w:lineRule="exact"/>
        <w:ind w:firstLine="643"/>
        <w:outlineLvl w:val="1"/>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9</w:t>
      </w:r>
      <w:r>
        <w:rPr>
          <w:rFonts w:ascii="仿宋_GB2312" w:hAnsi="仿宋_GB2312" w:eastAsia="仿宋_GB2312" w:cs="仿宋_GB2312"/>
          <w:b/>
          <w:bCs/>
          <w:sz w:val="32"/>
          <w:szCs w:val="32"/>
        </w:rPr>
        <w:t xml:space="preserve">.8 </w:t>
      </w:r>
      <w:r>
        <w:rPr>
          <w:rFonts w:hint="eastAsia" w:ascii="仿宋_GB2312" w:hAnsi="仿宋_GB2312" w:eastAsia="仿宋_GB2312" w:cs="仿宋_GB2312"/>
          <w:b/>
          <w:bCs/>
          <w:sz w:val="32"/>
          <w:szCs w:val="32"/>
        </w:rPr>
        <w:t>投资估算与实施安排</w:t>
      </w:r>
    </w:p>
    <w:p w14:paraId="45444BE3">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相关行业投资标准，估算规划期内随州市国土空间生态修复区域内重点工程投资预算。重点工程88项，实施投资总金额约439.00亿元，其中近期重点工程38项，需投资116.60亿元，占投资总金额的26.56%；中期重点工程38项，需投资187.40亿元，占投资总金额的42.69%；远期重点工程12项，需投资135.00亿元，占投资总金额的30.75%。</w:t>
      </w:r>
    </w:p>
    <w:p w14:paraId="0A814518">
      <w:pPr>
        <w:pStyle w:val="2"/>
        <w:rPr>
          <w:rFonts w:hint="eastAsia" w:ascii="仿宋_GB2312" w:hAnsi="仿宋_GB2312" w:eastAsia="仿宋_GB2312" w:cs="仿宋_GB2312"/>
          <w:sz w:val="32"/>
          <w:szCs w:val="32"/>
        </w:rPr>
      </w:pPr>
    </w:p>
    <w:p w14:paraId="0F6867D9">
      <w:pPr>
        <w:pStyle w:val="184"/>
        <w:spacing w:before="0" w:after="0"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第十章 规划实施效益</w:t>
      </w:r>
    </w:p>
    <w:p w14:paraId="3520822B">
      <w:pPr>
        <w:pStyle w:val="185"/>
        <w:spacing w:before="0" w:after="0" w:line="600" w:lineRule="exact"/>
        <w:ind w:firstLine="643"/>
        <w:rPr>
          <w:rFonts w:hint="eastAsia" w:ascii="仿宋_GB2312" w:hAnsi="仿宋_GB2312" w:eastAsia="仿宋_GB2312" w:cs="仿宋_GB2312"/>
        </w:rPr>
      </w:pPr>
      <w:r>
        <w:rPr>
          <w:rFonts w:ascii="仿宋_GB2312" w:hAnsi="仿宋_GB2312" w:eastAsia="仿宋_GB2312" w:cs="仿宋_GB2312"/>
        </w:rPr>
        <w:t>10</w:t>
      </w:r>
      <w:r>
        <w:rPr>
          <w:rFonts w:hint="eastAsia" w:ascii="仿宋_GB2312" w:hAnsi="仿宋_GB2312" w:eastAsia="仿宋_GB2312" w:cs="仿宋_GB2312"/>
        </w:rPr>
        <w:t>.1 生态效益</w:t>
      </w:r>
    </w:p>
    <w:p w14:paraId="2D9BA226">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（1）生态系统安全提高</w:t>
      </w:r>
    </w:p>
    <w:p w14:paraId="3E7A35E6">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实施随州市国土空间生态修复规划，构建生态系统保护修复整体格局，提升流域生态安全水平。构建以随北桐柏山生态水源涵养区、随中平原城镇生态协调发展区、随南大洪山山地生态保育区为核心的生态安全与生态保护修复整体格局，不断巩固扩大生态空间，提高生态系统安全。</w:t>
      </w:r>
    </w:p>
    <w:p w14:paraId="2A7B3D79">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（2）水生态退化趋势扭转</w:t>
      </w:r>
    </w:p>
    <w:p w14:paraId="6F07DE24">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湿地质量退化、河流污染等现象得到改观。一方面，自然植被进行保护和修复，加大水源涵养能力和水土保持能力；矿山生态环境治理与修复减少流域水土流失风险和水生态风险。另一方面，通过实施湿地生态系统保护修复，湿地得到有效保护，将显著提升湿地生态系统涵养水源、净化水质能力。同时，流域面源污染防治、人居环境整治显著减少流域污染源，水质监测断面（点位）达标率提高，河流生态系统质量得到明显提升，有效保证澴河、府河、广水河等一级二级河流水质，全面改善流域水环境安全。</w:t>
      </w:r>
    </w:p>
    <w:p w14:paraId="15550EE6">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（3）生态系统调节能力增强</w:t>
      </w:r>
    </w:p>
    <w:p w14:paraId="6A0A8824">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水体修复工程、湿地修复工程、森林修复工程、矿山修复工程，有效阻止水土流失、矿山生态环境恶化、水质恶化等作用。其中森林覆盖率保持稳定，提高水源涵养功能；地表植被的增加，截流水量能力提高，提升流域水源涵养、水质净化等功能；自然植被恢复、湿地生态系统的保护修复，增强生态系统调节能力，提升生物多样性。</w:t>
      </w:r>
    </w:p>
    <w:p w14:paraId="48CCB861">
      <w:pPr>
        <w:pStyle w:val="185"/>
        <w:spacing w:before="0" w:after="0" w:line="600" w:lineRule="exact"/>
        <w:ind w:firstLine="643"/>
        <w:rPr>
          <w:rFonts w:hint="eastAsia" w:ascii="仿宋_GB2312" w:hAnsi="仿宋_GB2312" w:eastAsia="仿宋_GB2312" w:cs="仿宋_GB2312"/>
        </w:rPr>
      </w:pPr>
      <w:r>
        <w:rPr>
          <w:rFonts w:hint="eastAsia" w:ascii="仿宋_GB2312" w:hAnsi="仿宋_GB2312" w:eastAsia="仿宋_GB2312" w:cs="仿宋_GB2312"/>
        </w:rPr>
        <w:t>1</w:t>
      </w:r>
      <w:r>
        <w:rPr>
          <w:rFonts w:ascii="仿宋_GB2312" w:hAnsi="仿宋_GB2312" w:eastAsia="仿宋_GB2312" w:cs="仿宋_GB2312"/>
        </w:rPr>
        <w:t>0</w:t>
      </w:r>
      <w:r>
        <w:rPr>
          <w:rFonts w:hint="eastAsia" w:ascii="仿宋_GB2312" w:hAnsi="仿宋_GB2312" w:eastAsia="仿宋_GB2312" w:cs="仿宋_GB2312"/>
        </w:rPr>
        <w:t>.2 经济效益</w:t>
      </w:r>
    </w:p>
    <w:p w14:paraId="2B97B229">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（1）经济增长带动效应</w:t>
      </w:r>
    </w:p>
    <w:p w14:paraId="046A64CC">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水土流失治理、水环境综合治理与水质提升、生态系统质量提升与生物多样性保护、矿山生态环境修复、土地整治与修复等项目，将提升整个流域生态环境质量，进而起到推动经济发展，直接拉动流域生产总值增长的作用，尤其是对当地生态环保产业的发展起到巨大推动作用。进行高标准农田建设，大大提高农产品品质和产值、农村人均收入水平。</w:t>
      </w:r>
    </w:p>
    <w:p w14:paraId="613EDD1A">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（2）改善投资环境和资源利用效率</w:t>
      </w:r>
    </w:p>
    <w:p w14:paraId="20857FE9">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国土空间生态修复规划的实施，区域水土资源得到有效利用，不但能为当地粮食安全问题和农村经济发展提供大量土地储备资源，而且也可为市域经济快速、持续、健康、稳定发展夯实基础，注入新的活力。土地资源利用率、土地产出率、劳动生产率大幅度提高，推进当地绿色产业开发，有效地促进农业产业结构的调整和农村产业链的升级，带动农村经济发展。</w:t>
      </w:r>
    </w:p>
    <w:p w14:paraId="2BFB76C1">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（3）推进随州市生态绿色发展</w:t>
      </w:r>
    </w:p>
    <w:p w14:paraId="4992CC61">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随州市的青山绿水等生态资源得到良好保护，为随州市发展生态旅游、生态产业、生态生活提供重要基础，更为随州市实现“山水林田湖草生命共同体”“绿水青山就是金山银山”和生态产品价值提供条件。水土流失治理、水环境综合治理与水质提升、湿地和森林生态系统保护修复、矿山生态环境修复等项目的实施将提高生态产品的供给能力，增加生态产品的产出。山水林田湖草生命共同体的生态保护修复，改善了流域生态资源质量，同时，开展的高标准农田建设和生态旅游建设等多种经营项目和模式，为当地创造新的致富渠道，可有效提高当地城乡居民的收入，提高生活水平。</w:t>
      </w:r>
    </w:p>
    <w:p w14:paraId="7039A2F7">
      <w:pPr>
        <w:pStyle w:val="185"/>
        <w:spacing w:before="0" w:after="0" w:line="600" w:lineRule="exact"/>
        <w:ind w:firstLine="643"/>
        <w:rPr>
          <w:rFonts w:hint="eastAsia" w:ascii="仿宋_GB2312" w:hAnsi="仿宋_GB2312" w:eastAsia="仿宋_GB2312" w:cs="仿宋_GB2312"/>
        </w:rPr>
      </w:pPr>
      <w:r>
        <w:rPr>
          <w:rFonts w:hint="eastAsia" w:ascii="仿宋_GB2312" w:hAnsi="仿宋_GB2312" w:eastAsia="仿宋_GB2312" w:cs="仿宋_GB2312"/>
        </w:rPr>
        <w:t>1</w:t>
      </w:r>
      <w:r>
        <w:rPr>
          <w:rFonts w:ascii="仿宋_GB2312" w:hAnsi="仿宋_GB2312" w:eastAsia="仿宋_GB2312" w:cs="仿宋_GB2312"/>
        </w:rPr>
        <w:t>0</w:t>
      </w:r>
      <w:r>
        <w:rPr>
          <w:rFonts w:hint="eastAsia" w:ascii="仿宋_GB2312" w:hAnsi="仿宋_GB2312" w:eastAsia="仿宋_GB2312" w:cs="仿宋_GB2312"/>
        </w:rPr>
        <w:t>.3 社会效益</w:t>
      </w:r>
    </w:p>
    <w:p w14:paraId="219ACBD5">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（1）树立生态生产和生态生活意识</w:t>
      </w:r>
    </w:p>
    <w:p w14:paraId="4B9605A8">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随州市国土空间生态修复规划重大工程实施中，注重全社会参与，将提升全社会对生态保护修复重要性和价值更充分的认识。有利于树立生态价值意识，形成对自然生态敬畏的价值理念；树立生态责任和生态道德意识，逐步自觉开展生态环境保护；树立生态知识的学习教育意识，更多了解和掌握生态治理与保护的基本常识和理念。形成全社会动员，共治、共管、共享的生态文明新格局。</w:t>
      </w:r>
    </w:p>
    <w:p w14:paraId="10350D87">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（2）改善城乡人居环境</w:t>
      </w:r>
    </w:p>
    <w:p w14:paraId="7199A494">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土空间生态修复规划重大工程的实施，预期完成农村村庄人居环境整治，将实现农村人居环境极大改善，人居安全得到有力保障，同时也推动当地的美丽乡村建设，促进科教、文化、卫生事业的发展，群众的文化素质和身体素质得到普遍提高，经济繁荣稳定和社会和谐发展，生态改善，农民增收，广大农村群众过上富裕生活，将增加全市人民幸福感。</w:t>
      </w:r>
    </w:p>
    <w:p w14:paraId="6B89B128">
      <w:pPr>
        <w:widowControl/>
        <w:spacing w:line="600" w:lineRule="exact"/>
        <w:ind w:firstLine="640"/>
        <w:rPr>
          <w:rFonts w:hint="eastAsia" w:ascii="仿宋_GB2312" w:hAnsi="仿宋_GB2312" w:eastAsia="仿宋_GB2312" w:cs="仿宋_GB2312"/>
          <w:sz w:val="32"/>
          <w:szCs w:val="32"/>
        </w:rPr>
      </w:pPr>
    </w:p>
    <w:p w14:paraId="05D076E2">
      <w:pPr>
        <w:pStyle w:val="184"/>
        <w:spacing w:before="0" w:after="0" w:line="6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第十一章 保障机制</w:t>
      </w:r>
    </w:p>
    <w:p w14:paraId="139AB1B9">
      <w:pPr>
        <w:pStyle w:val="185"/>
        <w:spacing w:before="0" w:after="0" w:line="600" w:lineRule="exact"/>
        <w:ind w:firstLine="643"/>
        <w:rPr>
          <w:rFonts w:hint="eastAsia" w:ascii="仿宋_GB2312" w:hAnsi="仿宋_GB2312" w:eastAsia="仿宋_GB2312" w:cs="仿宋_GB2312"/>
        </w:rPr>
      </w:pPr>
      <w:r>
        <w:rPr>
          <w:rFonts w:hint="eastAsia" w:ascii="仿宋_GB2312" w:hAnsi="仿宋_GB2312" w:eastAsia="仿宋_GB2312" w:cs="仿宋_GB2312"/>
        </w:rPr>
        <w:t>1</w:t>
      </w:r>
      <w:r>
        <w:rPr>
          <w:rFonts w:ascii="仿宋_GB2312" w:hAnsi="仿宋_GB2312" w:eastAsia="仿宋_GB2312" w:cs="仿宋_GB2312"/>
        </w:rPr>
        <w:t>1</w:t>
      </w:r>
      <w:r>
        <w:rPr>
          <w:rFonts w:hint="eastAsia" w:ascii="仿宋_GB2312" w:hAnsi="仿宋_GB2312" w:eastAsia="仿宋_GB2312" w:cs="仿宋_GB2312"/>
        </w:rPr>
        <w:t>.1 加强组织领导</w:t>
      </w:r>
    </w:p>
    <w:p w14:paraId="0F45271F">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（1）加强规划实施政府主导，落实地方责任</w:t>
      </w:r>
    </w:p>
    <w:p w14:paraId="4BFA89EF">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由随州市人民政府统一领导，随州市自然资源和规划局组织协调，市环保、公安、林业、农业农村、水利、财政等有关部门参加，乡、镇（街道）参与的国土空间生态修复项目联合执行管理机构，明确各部门职责分工，为落实国土空间生态修复项目管理职能提供有效的组织保障；项目实施可由市政府分管领导为组长，自然资源和规划局、环保、公安、林业、农业农村、水利、财政等部门分管领导为副组长、其相关部门技术骨干力量为成员组成的管理机构，各乡、镇（街道）以负责国土空间生态修复项目的具体施工、协调和管理工作。各地各单位要结合实际，尽快制定实施方案，明确责任主体，细化工作目标，强化保障措施，切实把各项政策措施落到实处。</w:t>
      </w:r>
    </w:p>
    <w:p w14:paraId="1C1E7C1E">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（2）实行系统管理，构建国土空间生态修复管理机制</w:t>
      </w:r>
    </w:p>
    <w:p w14:paraId="156510B6">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强化政府部门对山水林田湖草生命共同体的认识，建立部门间的协调机制和统一监管机制。建立统筹协调机制，打破部门分割现状，加强部门联动，形成管理合力，协同推进国土空间生态保护与修复工程。明确各管理部门在国土空间生态保护修复工程实施与管理中的职责权限，形成协调统一的工作机制。建立联席会议机制，研究解决管理工作中的新情况、新问题。建立统一的监管机制，包括统一的监管平台、统一的评价指标体系和考核体系，对各部门责任主体实行统一评价与考核。</w:t>
      </w:r>
    </w:p>
    <w:p w14:paraId="05D899D2">
      <w:pPr>
        <w:pStyle w:val="185"/>
        <w:spacing w:before="0" w:after="0" w:line="600" w:lineRule="exact"/>
        <w:ind w:firstLine="643"/>
        <w:rPr>
          <w:rFonts w:hint="eastAsia" w:ascii="仿宋_GB2312" w:hAnsi="仿宋_GB2312" w:eastAsia="仿宋_GB2312" w:cs="仿宋_GB2312"/>
        </w:rPr>
      </w:pPr>
      <w:r>
        <w:rPr>
          <w:rFonts w:hint="eastAsia" w:ascii="仿宋_GB2312" w:hAnsi="仿宋_GB2312" w:eastAsia="仿宋_GB2312" w:cs="仿宋_GB2312"/>
        </w:rPr>
        <w:t>1</w:t>
      </w:r>
      <w:r>
        <w:rPr>
          <w:rFonts w:ascii="仿宋_GB2312" w:hAnsi="仿宋_GB2312" w:eastAsia="仿宋_GB2312" w:cs="仿宋_GB2312"/>
        </w:rPr>
        <w:t>1</w:t>
      </w:r>
      <w:r>
        <w:rPr>
          <w:rFonts w:hint="eastAsia" w:ascii="仿宋_GB2312" w:hAnsi="仿宋_GB2312" w:eastAsia="仿宋_GB2312" w:cs="仿宋_GB2312"/>
        </w:rPr>
        <w:t>.2 创新政策体系</w:t>
      </w:r>
    </w:p>
    <w:p w14:paraId="50A12AB6">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（1）创新补偿标准体系</w:t>
      </w:r>
    </w:p>
    <w:p w14:paraId="0000450F">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结合随州市不同地区的经济发展水平，加强不同地理空间的补偿等级划分和幅度选择，科学确定生态补偿指标体系、实施原则与计算方法，针对生态保护补偿应结合政府补偿和市场补偿两种机制，及环境法治多元参与的治理理念，政府补偿的高效率性和市场补偿主体的多元化、平等自愿性等优势结合，开展政策优惠、生态补偿等形式的生态保护补偿策略。完善重点生态区域补偿机制，充分考虑限制开发区和生态保护红线内的生态状况、资源禀赋和产业基础，完善测算方法，有针对地制定补偿标准。加大生态脱贫的政策扶持力度，加强生态移民的转移就业培训工作，加快农民脱贫致富进程，调动农民保护生态的积极性，从“要我保护”向“我要保护”转变。</w:t>
      </w:r>
    </w:p>
    <w:p w14:paraId="3E92CDF7">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（2）落实生态补偿政策</w:t>
      </w:r>
    </w:p>
    <w:p w14:paraId="5117ED35">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积极向上争取建立稳定的财政投入机制，加大重点生态功能区转移支付力度。建立受益地区与保护地区、流域上下游生态补偿制度，开展横向生态补偿，建立生态补偿基金，补偿资金来源于下游受益地区和受益企业。加快推进生态综合补偿试点建设，推动生态保护地区转变发展方式、提升优质生态产品供给能力。健全环境权益交易制度和市场化机制，建立完善财政支持与生态保护成效挂钩机制。</w:t>
      </w:r>
    </w:p>
    <w:p w14:paraId="0CC3B3A6">
      <w:pPr>
        <w:pStyle w:val="185"/>
        <w:spacing w:before="0" w:after="0" w:line="600" w:lineRule="exact"/>
        <w:ind w:firstLine="643"/>
        <w:rPr>
          <w:rFonts w:hint="eastAsia" w:ascii="仿宋_GB2312" w:hAnsi="仿宋_GB2312" w:eastAsia="仿宋_GB2312" w:cs="仿宋_GB2312"/>
        </w:rPr>
      </w:pPr>
      <w:r>
        <w:rPr>
          <w:rFonts w:hint="eastAsia" w:ascii="仿宋_GB2312" w:hAnsi="仿宋_GB2312" w:eastAsia="仿宋_GB2312" w:cs="仿宋_GB2312"/>
        </w:rPr>
        <w:t>1</w:t>
      </w:r>
      <w:r>
        <w:rPr>
          <w:rFonts w:ascii="仿宋_GB2312" w:hAnsi="仿宋_GB2312" w:eastAsia="仿宋_GB2312" w:cs="仿宋_GB2312"/>
        </w:rPr>
        <w:t>1</w:t>
      </w:r>
      <w:r>
        <w:rPr>
          <w:rFonts w:hint="eastAsia" w:ascii="仿宋_GB2312" w:hAnsi="仿宋_GB2312" w:eastAsia="仿宋_GB2312" w:cs="仿宋_GB2312"/>
        </w:rPr>
        <w:t>.3 加强科技支撑</w:t>
      </w:r>
    </w:p>
    <w:p w14:paraId="6EA78F31">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积极推广国土空间生态修复项目，特别是开发性治理的新理论、新技术、新方法，充分利用现代科学技术方法和手段，提高生态修复项目综合能力和管理水平。</w:t>
      </w:r>
    </w:p>
    <w:p w14:paraId="0B4D16E3">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（1）积极开发高科技生态产业项目</w:t>
      </w:r>
    </w:p>
    <w:p w14:paraId="15A0C356">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强国土空间生态修复先进技术的引进、推广，与科研院所、高校和科研机构开展密切合作，积极开发、引进清洁生产、生态环境保护、资源综合利用和废弃物资源化等方面的各类新技术、新工艺，新产品。开展生态系统服务价值核算，探索生态产品及其价值实现的路径。加强随州市生态产品价值、生态环境承载评估等基础理论研究，及时摸清生态本底，推动随州市国土空间生态修复。</w:t>
      </w:r>
    </w:p>
    <w:p w14:paraId="7C708B59">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（2）建立健全人才引进、培养和使用激励机制</w:t>
      </w:r>
    </w:p>
    <w:p w14:paraId="7A6A0354">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强国土空间生态修复项目管理队伍、专业技术支撑队伍和专家咨询机构的建设，提高国土空间生态修复项目队伍的整体素质。加强农业面源污染防治队伍建设，不断提升农业面源污染治理能力。建立专项基金，给予主导产业的高端人才优惠政策，吸引生态环保建设领域所需的各类高科技人才落户；加强对从事国土空间生态修复、生态经济建设专职人员技术培训，强化政府部门工作人员培训，支持龙头企业建立培训机构，鼓励和资助企业员工参加技术再培训，培养一支懂业务、善协调、会管理的国土空间生态修复专业队伍。</w:t>
      </w:r>
    </w:p>
    <w:p w14:paraId="605BCA72">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（3）加强环境监测、预警、监察能力</w:t>
      </w:r>
    </w:p>
    <w:p w14:paraId="34297827">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强环境监测软硬件建设，不断提高环境监测的质量。增加农村生态环境监测网点，建成全方位、多层次、城乡全覆盖的环境监测体系。加强随州市环境监察队伍建设，分片区负责环境监察和环境执法任务，建成覆盖城乡的监察网络。以生态修复工作为契机，积极培养、引进科技人才，选择各行业务骨干定期学习培训，提高业务素质，使管理水平和服务质量规范化、程序化和标准化。</w:t>
      </w:r>
    </w:p>
    <w:p w14:paraId="3685CB23">
      <w:pPr>
        <w:pStyle w:val="185"/>
        <w:spacing w:before="0" w:after="0" w:line="600" w:lineRule="exact"/>
        <w:ind w:firstLine="643"/>
        <w:rPr>
          <w:rFonts w:hint="eastAsia" w:ascii="仿宋_GB2312" w:hAnsi="仿宋_GB2312" w:eastAsia="仿宋_GB2312" w:cs="仿宋_GB2312"/>
        </w:rPr>
      </w:pPr>
      <w:r>
        <w:rPr>
          <w:rFonts w:hint="eastAsia" w:ascii="仿宋_GB2312" w:hAnsi="仿宋_GB2312" w:eastAsia="仿宋_GB2312" w:cs="仿宋_GB2312"/>
        </w:rPr>
        <w:t>1</w:t>
      </w:r>
      <w:r>
        <w:rPr>
          <w:rFonts w:ascii="仿宋_GB2312" w:hAnsi="仿宋_GB2312" w:eastAsia="仿宋_GB2312" w:cs="仿宋_GB2312"/>
        </w:rPr>
        <w:t>1</w:t>
      </w:r>
      <w:r>
        <w:rPr>
          <w:rFonts w:hint="eastAsia" w:ascii="仿宋_GB2312" w:hAnsi="仿宋_GB2312" w:eastAsia="仿宋_GB2312" w:cs="仿宋_GB2312"/>
        </w:rPr>
        <w:t>.4 强化监督评估</w:t>
      </w:r>
    </w:p>
    <w:p w14:paraId="2CD3AA8F">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（1）加强信息公开</w:t>
      </w:r>
    </w:p>
    <w:p w14:paraId="36E70F70">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公开为常态、不公开为例外”的原则，除涉密性信息外，国土空间生态修复工程的中央财政补贴专项资金、省级补贴资金等的使用进行公开公示，并根据资金分配管理流程，对专项资金实行全链条公开，使各方面能够全面、完整地获取专项资金信息。</w:t>
      </w:r>
    </w:p>
    <w:p w14:paraId="790D6BC9">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（2）健全监督机制</w:t>
      </w:r>
    </w:p>
    <w:p w14:paraId="387802B0">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丰富生态环境保护公众监督形式，保障和拓宽公众参与渠道，健全监督举报制度和环境舆论监督制度，建立公众参与的环境后督察和后评估机制。搭建多样化的信息交流渠道和平台，以多种形式开展公众参与。</w:t>
      </w:r>
    </w:p>
    <w:p w14:paraId="62326E9B">
      <w:pPr>
        <w:pStyle w:val="185"/>
        <w:spacing w:before="0" w:after="0" w:line="600" w:lineRule="exact"/>
        <w:ind w:firstLine="643"/>
        <w:rPr>
          <w:rFonts w:hint="eastAsia" w:ascii="仿宋_GB2312" w:hAnsi="仿宋_GB2312" w:eastAsia="仿宋_GB2312" w:cs="仿宋_GB2312"/>
        </w:rPr>
      </w:pPr>
      <w:r>
        <w:rPr>
          <w:rFonts w:hint="eastAsia" w:ascii="仿宋_GB2312" w:hAnsi="仿宋_GB2312" w:eastAsia="仿宋_GB2312" w:cs="仿宋_GB2312"/>
        </w:rPr>
        <w:t>1</w:t>
      </w:r>
      <w:r>
        <w:rPr>
          <w:rFonts w:ascii="仿宋_GB2312" w:hAnsi="仿宋_GB2312" w:eastAsia="仿宋_GB2312" w:cs="仿宋_GB2312"/>
        </w:rPr>
        <w:t>1</w:t>
      </w:r>
      <w:r>
        <w:rPr>
          <w:rFonts w:hint="eastAsia" w:ascii="仿宋_GB2312" w:hAnsi="仿宋_GB2312" w:eastAsia="仿宋_GB2312" w:cs="仿宋_GB2312"/>
        </w:rPr>
        <w:t>.5 鼓励公众参与</w:t>
      </w:r>
    </w:p>
    <w:p w14:paraId="5F7C9993">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（1）制定奖惩措施，积极引导公众参与生态文明建设</w:t>
      </w:r>
    </w:p>
    <w:p w14:paraId="349F1AB0">
      <w:pPr>
        <w:widowControl/>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积极支持符合条件的企业经营主体参与国土空间生态修复项目，引导和激发社会主体参与国土空间生态修复工作的积极性。制定相关奖惩措施，对在国土空间生态修复规划项目工作中做出突出贡献的单位和个人给予应有的奖励，鼓励公众参与，不断提高国土空间生态修复规划项目工作的全民参与度。努力回应人民关切，着力解决群众反映突出的环境问题。以环保督察问题整改为总抓手，着力解决涉及群众切身利益的突出环境问题，努力增加人民群众在生态文明建设中的获得感。</w:t>
      </w:r>
    </w:p>
    <w:p w14:paraId="7E2E3487">
      <w:pPr>
        <w:widowControl/>
        <w:spacing w:line="600" w:lineRule="exact"/>
        <w:ind w:firstLine="643"/>
        <w:jc w:val="lef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（2）打通动力机制，激发市场潜力</w:t>
      </w:r>
    </w:p>
    <w:p w14:paraId="02DFB9A0">
      <w:pPr>
        <w:widowControl/>
        <w:spacing w:line="600" w:lineRule="exact"/>
        <w:ind w:firstLine="640"/>
        <w:rPr>
          <w:rFonts w:hint="eastAsia" w:ascii="仿宋_GB2312" w:hAnsi="仿宋_GB2312" w:eastAsia="仿宋_GB2312" w:cs="仿宋_GB2312"/>
          <w:sz w:val="32"/>
          <w:szCs w:val="32"/>
        </w:rPr>
      </w:pPr>
      <w:r>
        <w:rPr>
          <w:rFonts w:ascii="仿宋_GB2312" w:hAnsi="仿宋_GB2312" w:eastAsia="仿宋_GB2312" w:cs="仿宋_GB2312"/>
          <w:sz w:val="32"/>
          <w:szCs w:val="32"/>
        </w:rPr>
        <w:t>激发社会资本的参与动力</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保护社会资本的投资热情，促进市场化投资机制的可持续</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构建政府为主导、企业为主体、社会组织和公众共同参与的环境治理体系</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鼓励社会资本方参与项目方案编制，将修复后发展需要在方案中明确</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鼓励搭建混合所有制企业等合作平台，建立生态保护修复技术产业联盟，促进各类资本和产业协同</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鼓励开展理论和方法等基础研究、关键技术研发和集成示范推广等，发挥社会资本的效率优势。</w:t>
      </w:r>
    </w:p>
    <w:p w14:paraId="017822C1">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ascii="仿宋_GB2312" w:hAnsi="仿宋_GB2312" w:eastAsia="仿宋_GB2312" w:cs="仿宋_GB2312"/>
          <w:b/>
          <w:bCs/>
          <w:sz w:val="32"/>
          <w:szCs w:val="32"/>
        </w:rPr>
        <w:t>3</w:t>
      </w:r>
      <w:r>
        <w:rPr>
          <w:rFonts w:hint="eastAsia" w:ascii="仿宋_GB2312" w:hAnsi="仿宋_GB2312" w:eastAsia="仿宋_GB2312" w:cs="仿宋_GB2312"/>
          <w:b/>
          <w:bCs/>
          <w:sz w:val="32"/>
          <w:szCs w:val="32"/>
        </w:rPr>
        <w:t>）加强科学普及、素质教育和技术培训工作</w:t>
      </w:r>
    </w:p>
    <w:p w14:paraId="5054669F">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力宣传普及生态学、地理学、环境科学等相关学科的知识，大力宣传生态环境保护与治理的重要性，增强广大干部群众环境意识，为方案的实施创造良好的社会环境。推进共建共享，积极引导全市上下树立生态文明理念。</w:t>
      </w:r>
    </w:p>
    <w:p w14:paraId="3202CC7D">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ascii="仿宋_GB2312" w:hAnsi="仿宋_GB2312" w:eastAsia="仿宋_GB2312" w:cs="仿宋_GB2312"/>
          <w:b/>
          <w:bCs/>
          <w:sz w:val="32"/>
          <w:szCs w:val="32"/>
        </w:rPr>
        <w:t>4</w:t>
      </w:r>
      <w:r>
        <w:rPr>
          <w:rFonts w:hint="eastAsia" w:ascii="仿宋_GB2312" w:hAnsi="仿宋_GB2312" w:eastAsia="仿宋_GB2312" w:cs="仿宋_GB2312"/>
          <w:b/>
          <w:bCs/>
          <w:sz w:val="32"/>
          <w:szCs w:val="32"/>
        </w:rPr>
        <w:t>）建立健全全社会共同参与监督的渠道和机制</w:t>
      </w:r>
    </w:p>
    <w:p w14:paraId="4BEC80F1">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积极发挥新闻媒体、社会组织和公众广泛参与的监督作用，通过多方位、多层次的监督，建立统一有力的监管体系。积极组织开展生态保护的宣传教育和科学知识普及工作，加大宣传力度，创新宣传方式，调动和发挥各类组织参与生态保护与管理监督的积极性。促进各个阶层，尤其是管理者对“绿水青山就是金山银山”的理解，摒弃生态环境保护与经济发展相对立的错误观点。</w:t>
      </w:r>
    </w:p>
    <w:p w14:paraId="6EF1DD73">
      <w:pPr>
        <w:pStyle w:val="185"/>
        <w:spacing w:before="0" w:after="0" w:line="600" w:lineRule="exact"/>
        <w:ind w:firstLine="643"/>
        <w:rPr>
          <w:rFonts w:hint="eastAsia" w:ascii="仿宋_GB2312" w:hAnsi="仿宋_GB2312" w:eastAsia="仿宋_GB2312" w:cs="仿宋_GB2312"/>
        </w:rPr>
      </w:pPr>
      <w:r>
        <w:rPr>
          <w:rFonts w:hint="eastAsia" w:ascii="仿宋_GB2312" w:hAnsi="仿宋_GB2312" w:eastAsia="仿宋_GB2312" w:cs="仿宋_GB2312"/>
        </w:rPr>
        <w:t>1</w:t>
      </w:r>
      <w:r>
        <w:rPr>
          <w:rFonts w:ascii="仿宋_GB2312" w:hAnsi="仿宋_GB2312" w:eastAsia="仿宋_GB2312" w:cs="仿宋_GB2312"/>
        </w:rPr>
        <w:t>1</w:t>
      </w:r>
      <w:r>
        <w:rPr>
          <w:rFonts w:hint="eastAsia" w:ascii="仿宋_GB2312" w:hAnsi="仿宋_GB2312" w:eastAsia="仿宋_GB2312" w:cs="仿宋_GB2312"/>
        </w:rPr>
        <w:t>.6 拓宽融资渠道</w:t>
      </w:r>
    </w:p>
    <w:p w14:paraId="09CCCE04">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（1）加大各级财政投入力度</w:t>
      </w:r>
    </w:p>
    <w:p w14:paraId="6EE02197">
      <w:pPr>
        <w:widowControl/>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综合考虑随州市生态系统特点，积极争取中央及省级专项资金，市、县将生态保护修复工程资金列入财政预算，并加大工程资金投入。加强财政政策整合统筹，集中安排，形成合力。推行政府和社会资本合作模式，强化制度执行，完善落实机制。</w:t>
      </w:r>
    </w:p>
    <w:p w14:paraId="002504A3">
      <w:pPr>
        <w:widowControl/>
        <w:spacing w:line="600" w:lineRule="exact"/>
        <w:ind w:firstLine="643"/>
        <w:jc w:val="lef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（2）引导和鼓励社会资本参与</w:t>
      </w:r>
    </w:p>
    <w:p w14:paraId="6AC550DD">
      <w:pPr>
        <w:widowControl/>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探索资源导向型治理模式，创新投融资模式。引导和鼓励社会资本参与生态保护修复，既要创新机制、完善政策，又要以项目为核心和载体，创新模式，促进政策落地生效。</w:t>
      </w:r>
    </w:p>
    <w:p w14:paraId="3010E339">
      <w:pPr>
        <w:widowControl/>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一是创新治理模式。在综合运用既有政府和社会资本合作模式的基础上，探索导向明确、路径清晰、投入持久、回报稳定的资源导向型可持续发展模式。该模式以资源节约集约利用和生态资源有效保护修复为导向，以提升生态系统质量和稳定性为任务，是一种生态保护修复与资源有效利用有机结合的综合治理方式。其核心是，将生态保护修复任务与自然资源资产相关权益、支持政策等有机结合，通过项目实施和产业发展，形成项目产出交易路径清晰、社会资本投入持久、各方收益回报稳定的生态公共治理长效机制。</w:t>
      </w:r>
    </w:p>
    <w:p w14:paraId="7E4A0742">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是创新投融资模式。要确保不新增地方政府隐性债务的同时，发挥财政资金的带动作用，减少政府投入，平滑财政支出。鼓励金融机构中长期资金支持政策，合理运用绿色基金、绿色债券、绿色信贷、绿色保险等。探索对投资形成的具有碳汇能力且符合相关要求的生态系统，申请核证碳汇增量并进行交易，通过经政府批准的资源综合利用获得收益。</w:t>
      </w:r>
    </w:p>
    <w:p w14:paraId="031A1193">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ascii="仿宋_GB2312" w:hAnsi="仿宋_GB2312" w:eastAsia="仿宋_GB2312" w:cs="仿宋_GB2312"/>
          <w:b/>
          <w:bCs/>
          <w:sz w:val="32"/>
          <w:szCs w:val="32"/>
        </w:rPr>
        <w:t>3</w:t>
      </w:r>
      <w:r>
        <w:rPr>
          <w:rFonts w:hint="eastAsia" w:ascii="仿宋_GB2312" w:hAnsi="仿宋_GB2312" w:eastAsia="仿宋_GB2312" w:cs="仿宋_GB2312"/>
          <w:b/>
          <w:bCs/>
          <w:sz w:val="32"/>
          <w:szCs w:val="32"/>
        </w:rPr>
        <w:t>）健全生态保护补偿机制</w:t>
      </w:r>
    </w:p>
    <w:p w14:paraId="54370787">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谁受益、谁补偿原则，建立多渠道资金筹措机制，完善流域生态补偿机制。引导生态保护地区和受益地区遵循成本共担、效益共享、合作共治的思路，通过资金补助、对口支援、产业转移、园区合作、技术分享、税收共享等方式建立跨行政区的横向生态补偿机制，共同分担生态保护任务。</w:t>
      </w:r>
    </w:p>
    <w:p w14:paraId="027974E6">
      <w:pPr>
        <w:widowControl/>
        <w:spacing w:line="600" w:lineRule="exact"/>
        <w:ind w:firstLine="643"/>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ascii="仿宋_GB2312" w:hAnsi="仿宋_GB2312" w:eastAsia="仿宋_GB2312" w:cs="仿宋_GB2312"/>
          <w:b/>
          <w:bCs/>
          <w:sz w:val="32"/>
          <w:szCs w:val="32"/>
        </w:rPr>
        <w:t>4</w:t>
      </w:r>
      <w:r>
        <w:rPr>
          <w:rFonts w:hint="eastAsia" w:ascii="仿宋_GB2312" w:hAnsi="仿宋_GB2312" w:eastAsia="仿宋_GB2312" w:cs="仿宋_GB2312"/>
          <w:b/>
          <w:bCs/>
          <w:sz w:val="32"/>
          <w:szCs w:val="32"/>
        </w:rPr>
        <w:t>）资金使用管理</w:t>
      </w:r>
    </w:p>
    <w:p w14:paraId="7C1F54DD">
      <w:pPr>
        <w:widowControl/>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生态修复资金的使用，必须严格符合法律法规，严格按照规定的开支范围支出，建设单位要做好资金使用管理，实行专款专用，专管专用，单独核算，县级以上自然资源管理部门集体讨论，严格审批，规范财务手续，明细每一笔款项的使用状态和使用途径，保障每一笔资金的正确使用。</w:t>
      </w:r>
    </w:p>
    <w:sectPr>
      <w:footerReference r:id="rId5" w:type="default"/>
      <w:pgSz w:w="11906" w:h="16838" w:orient="landscape"/>
      <w:pgMar w:top="1814" w:right="1531" w:bottom="1531" w:left="1531" w:header="851" w:footer="992" w:gutter="0"/>
      <w:cols w:space="1701"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方正小标宋简体">
    <w:altName w:val="Arial Unicode MS"/>
    <w:panose1 w:val="020B0604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0878">
    <w:pPr>
      <w:pStyle w:val="209"/>
      <w:jc w:val="center"/>
    </w:pPr>
    <w:r>
      <w:fldChar w:fldCharType="begin"/>
    </w:r>
    <w:r>
      <w:instrText xml:space="preserve">PAGE   \* MERGEFORMAT</w:instrText>
    </w:r>
    <w:r>
      <w:fldChar w:fldCharType="separate"/>
    </w:r>
    <w:r>
      <w:rPr>
        <w:lang w:val="zh-CN"/>
      </w:rPr>
      <w:t>2</w:t>
    </w:r>
    <w:r>
      <w:fldChar w:fldCharType="end"/>
    </w:r>
  </w:p>
  <w:p w14:paraId="3A1F14F9">
    <w:pPr>
      <w:pStyle w:val="20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69A3B">
    <w:pPr>
      <w:pStyle w:val="209"/>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5CB39">
    <w:pPr>
      <w:pStyle w:val="209"/>
      <w:jc w:val="center"/>
      <w:rPr>
        <w:rFonts w:hint="eastAsia"/>
      </w:rPr>
    </w:pPr>
    <w:r>
      <w:fldChar w:fldCharType="begin"/>
    </w:r>
    <w:r>
      <w:instrText xml:space="preserve">PAGE   \* MERGEFORMAT</w:instrText>
    </w:r>
    <w:r>
      <w:fldChar w:fldCharType="separate"/>
    </w:r>
    <w:r>
      <w:rPr>
        <w:lang w:val="zh-CN"/>
      </w:rPr>
      <w:t>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pPr>
        <w:ind w:left="425" w:hanging="425"/>
      </w:pPr>
      <w:rPr>
        <w:b/>
        <w:bCs/>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
      <w:lvlJc w:val="left"/>
      <w:pPr>
        <w:ind w:left="425" w:hanging="425"/>
      </w:pPr>
      <w:rPr>
        <w:b/>
        <w:bCs/>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7"/>
      <w:numFmt w:val="chineseCounting"/>
      <w:lvlText w:val="第%1章"/>
      <w:lvlJc w:val="left"/>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decimal"/>
      <w:suff w:val="space"/>
      <w:lvlText w:val="%1."/>
      <w:lvlJc w:val="left"/>
      <w:pPr>
        <w:ind w:left="425" w:hanging="425"/>
      </w:pPr>
      <w:rPr>
        <w:rFonts w:hint="eastAsia" w:ascii="仿宋_GB2312" w:eastAsia="仿宋_GB2312"/>
        <w:b/>
        <w:bCs/>
        <w:sz w:val="32"/>
        <w:szCs w:val="32"/>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suff w:val="space"/>
      <w:lvlText w:val="%1."/>
      <w:lvlJc w:val="left"/>
      <w:pPr>
        <w:ind w:left="425" w:hanging="425"/>
      </w:pPr>
      <w:rPr>
        <w:b/>
        <w:bCs/>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suff w:val="space"/>
      <w:lvlText w:val="%1."/>
      <w:lvlJc w:val="left"/>
      <w:pPr>
        <w:ind w:left="425" w:hanging="425"/>
      </w:pPr>
      <w:rPr>
        <w:b/>
        <w:bCs/>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1"/>
      <w:numFmt w:val="decimal"/>
      <w:suff w:val="space"/>
      <w:lvlText w:val="%1."/>
      <w:lvlJc w:val="left"/>
      <w:pPr>
        <w:ind w:left="425" w:hanging="425"/>
      </w:pPr>
      <w:rPr>
        <w:b/>
        <w:bCs/>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doNotExpandShiftReturn/>
    <w:useFELayout/>
    <w:splitPgBreakAndParaMark/>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7B13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0"/>
    <w:qFormat/>
    <w:uiPriority w:val="0"/>
    <w:pPr>
      <w:widowControl w:val="0"/>
      <w:jc w:val="both"/>
    </w:pPr>
    <w:rPr>
      <w:rFonts w:hint="default" w:ascii="等线" w:hAnsi="等线" w:eastAsia="等线" w:cs="Times New Roman"/>
      <w:sz w:val="21"/>
      <w:szCs w:val="22"/>
      <w:lang w:val="en-US" w:eastAsia="zh-CN" w:bidi="ar-SA"/>
    </w:rPr>
  </w:style>
  <w:style w:type="paragraph" w:styleId="4">
    <w:name w:val="heading 1"/>
    <w:basedOn w:val="1"/>
    <w:next w:val="1"/>
    <w:link w:val="36"/>
    <w:qFormat/>
    <w:uiPriority w:val="9"/>
    <w:pPr>
      <w:keepNext/>
      <w:keepLines/>
      <w:spacing w:before="480" w:after="200"/>
      <w:outlineLvl w:val="0"/>
    </w:pPr>
    <w:rPr>
      <w:rFonts w:ascii="等线" w:hAnsi="等线" w:eastAsia="等线" w:cs="等线"/>
      <w:sz w:val="40"/>
      <w:szCs w:val="40"/>
    </w:rPr>
  </w:style>
  <w:style w:type="paragraph" w:styleId="5">
    <w:name w:val="heading 2"/>
    <w:basedOn w:val="1"/>
    <w:next w:val="1"/>
    <w:link w:val="37"/>
    <w:unhideWhenUsed/>
    <w:qFormat/>
    <w:uiPriority w:val="9"/>
    <w:pPr>
      <w:keepNext/>
      <w:keepLines/>
      <w:spacing w:before="360" w:after="200"/>
      <w:outlineLvl w:val="1"/>
    </w:pPr>
    <w:rPr>
      <w:rFonts w:ascii="等线" w:hAnsi="等线" w:eastAsia="等线" w:cs="等线"/>
      <w:sz w:val="34"/>
    </w:rPr>
  </w:style>
  <w:style w:type="paragraph" w:styleId="6">
    <w:name w:val="heading 3"/>
    <w:basedOn w:val="1"/>
    <w:next w:val="1"/>
    <w:link w:val="38"/>
    <w:unhideWhenUsed/>
    <w:qFormat/>
    <w:uiPriority w:val="9"/>
    <w:pPr>
      <w:keepNext/>
      <w:keepLines/>
      <w:spacing w:before="320" w:after="200"/>
      <w:outlineLvl w:val="2"/>
    </w:pPr>
    <w:rPr>
      <w:rFonts w:ascii="等线" w:hAnsi="等线" w:eastAsia="等线" w:cs="等线"/>
      <w:sz w:val="30"/>
      <w:szCs w:val="30"/>
    </w:rPr>
  </w:style>
  <w:style w:type="paragraph" w:styleId="7">
    <w:name w:val="heading 4"/>
    <w:basedOn w:val="1"/>
    <w:next w:val="1"/>
    <w:link w:val="39"/>
    <w:unhideWhenUsed/>
    <w:qFormat/>
    <w:uiPriority w:val="9"/>
    <w:pPr>
      <w:keepNext/>
      <w:keepLines/>
      <w:spacing w:before="320" w:after="200"/>
      <w:outlineLvl w:val="3"/>
    </w:pPr>
    <w:rPr>
      <w:rFonts w:ascii="等线" w:hAnsi="等线" w:eastAsia="等线" w:cs="等线"/>
      <w:b/>
      <w:bCs/>
      <w:sz w:val="26"/>
      <w:szCs w:val="26"/>
    </w:rPr>
  </w:style>
  <w:style w:type="paragraph" w:styleId="8">
    <w:name w:val="heading 5"/>
    <w:basedOn w:val="1"/>
    <w:next w:val="1"/>
    <w:link w:val="40"/>
    <w:unhideWhenUsed/>
    <w:qFormat/>
    <w:uiPriority w:val="9"/>
    <w:pPr>
      <w:keepNext/>
      <w:keepLines/>
      <w:spacing w:before="320" w:after="200"/>
      <w:outlineLvl w:val="4"/>
    </w:pPr>
    <w:rPr>
      <w:rFonts w:ascii="等线" w:hAnsi="等线" w:eastAsia="等线" w:cs="等线"/>
      <w:b/>
      <w:bCs/>
      <w:sz w:val="24"/>
      <w:szCs w:val="24"/>
    </w:rPr>
  </w:style>
  <w:style w:type="paragraph" w:styleId="9">
    <w:name w:val="heading 6"/>
    <w:basedOn w:val="1"/>
    <w:next w:val="1"/>
    <w:link w:val="41"/>
    <w:unhideWhenUsed/>
    <w:qFormat/>
    <w:uiPriority w:val="9"/>
    <w:pPr>
      <w:keepNext/>
      <w:keepLines/>
      <w:spacing w:before="320" w:after="200"/>
      <w:outlineLvl w:val="5"/>
    </w:pPr>
    <w:rPr>
      <w:rFonts w:ascii="等线" w:hAnsi="等线" w:eastAsia="等线" w:cs="等线"/>
      <w:b/>
      <w:bCs/>
      <w:sz w:val="22"/>
      <w:szCs w:val="22"/>
    </w:rPr>
  </w:style>
  <w:style w:type="paragraph" w:styleId="10">
    <w:name w:val="heading 7"/>
    <w:basedOn w:val="1"/>
    <w:next w:val="1"/>
    <w:link w:val="42"/>
    <w:unhideWhenUsed/>
    <w:qFormat/>
    <w:uiPriority w:val="9"/>
    <w:pPr>
      <w:keepNext/>
      <w:keepLines/>
      <w:spacing w:before="320" w:after="200"/>
      <w:outlineLvl w:val="6"/>
    </w:pPr>
    <w:rPr>
      <w:rFonts w:ascii="等线" w:hAnsi="等线" w:eastAsia="等线" w:cs="等线"/>
      <w:b/>
      <w:bCs/>
      <w:i/>
      <w:iCs/>
      <w:sz w:val="22"/>
      <w:szCs w:val="22"/>
    </w:rPr>
  </w:style>
  <w:style w:type="paragraph" w:styleId="11">
    <w:name w:val="heading 8"/>
    <w:basedOn w:val="1"/>
    <w:next w:val="1"/>
    <w:link w:val="43"/>
    <w:unhideWhenUsed/>
    <w:qFormat/>
    <w:uiPriority w:val="9"/>
    <w:pPr>
      <w:keepNext/>
      <w:keepLines/>
      <w:spacing w:before="320" w:after="200"/>
      <w:outlineLvl w:val="7"/>
    </w:pPr>
    <w:rPr>
      <w:rFonts w:ascii="等线" w:hAnsi="等线" w:eastAsia="等线" w:cs="等线"/>
      <w:i/>
      <w:iCs/>
      <w:sz w:val="22"/>
      <w:szCs w:val="22"/>
    </w:rPr>
  </w:style>
  <w:style w:type="paragraph" w:styleId="12">
    <w:name w:val="heading 9"/>
    <w:basedOn w:val="1"/>
    <w:next w:val="1"/>
    <w:link w:val="44"/>
    <w:unhideWhenUsed/>
    <w:qFormat/>
    <w:uiPriority w:val="9"/>
    <w:pPr>
      <w:keepNext/>
      <w:keepLines/>
      <w:spacing w:before="320" w:after="200"/>
      <w:outlineLvl w:val="8"/>
    </w:pPr>
    <w:rPr>
      <w:rFonts w:ascii="等线" w:hAnsi="等线" w:eastAsia="等线" w:cs="等线"/>
      <w:i/>
      <w:iCs/>
      <w:sz w:val="21"/>
      <w:szCs w:val="21"/>
    </w:rPr>
  </w:style>
  <w:style w:type="character" w:default="1" w:styleId="32">
    <w:name w:val="Default Paragraph Font"/>
    <w:semiHidden/>
    <w:unhideWhenUsed/>
    <w:uiPriority w:val="1"/>
  </w:style>
  <w:style w:type="table" w:default="1" w:styleId="30">
    <w:name w:val="Normal Table"/>
    <w:semiHidden/>
    <w:unhideWhenUsed/>
    <w:uiPriority w:val="99"/>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paragraph" w:customStyle="1" w:styleId="2">
    <w:name w:val="正文首行缩进 21"/>
    <w:basedOn w:val="3"/>
    <w:next w:val="1"/>
    <w:unhideWhenUsed/>
    <w:qFormat/>
    <w:uiPriority w:val="99"/>
    <w:pPr>
      <w:ind w:firstLine="420"/>
    </w:pPr>
    <w:rPr>
      <w:szCs w:val="24"/>
    </w:rPr>
  </w:style>
  <w:style w:type="paragraph" w:customStyle="1" w:styleId="3">
    <w:name w:val="正文文本缩进1"/>
    <w:basedOn w:val="1"/>
    <w:next w:val="2"/>
    <w:unhideWhenUsed/>
    <w:qFormat/>
    <w:uiPriority w:val="99"/>
    <w:pPr>
      <w:spacing w:after="120"/>
      <w:ind w:left="420"/>
    </w:pPr>
  </w:style>
  <w:style w:type="paragraph" w:styleId="13">
    <w:name w:val="toc 7"/>
    <w:basedOn w:val="1"/>
    <w:next w:val="1"/>
    <w:unhideWhenUsed/>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toc 5"/>
    <w:basedOn w:val="1"/>
    <w:next w:val="1"/>
    <w:unhideWhenUsed/>
    <w:uiPriority w:val="39"/>
    <w:pPr>
      <w:spacing w:after="57"/>
      <w:ind w:left="1134" w:right="0" w:firstLine="0"/>
    </w:pPr>
  </w:style>
  <w:style w:type="paragraph" w:styleId="16">
    <w:name w:val="toc 3"/>
    <w:basedOn w:val="1"/>
    <w:next w:val="1"/>
    <w:unhideWhenUsed/>
    <w:uiPriority w:val="39"/>
    <w:pPr>
      <w:spacing w:after="57"/>
      <w:ind w:left="567" w:right="0" w:firstLine="0"/>
    </w:pPr>
  </w:style>
  <w:style w:type="paragraph" w:styleId="17">
    <w:name w:val="toc 8"/>
    <w:basedOn w:val="1"/>
    <w:next w:val="1"/>
    <w:unhideWhenUsed/>
    <w:uiPriority w:val="39"/>
    <w:pPr>
      <w:spacing w:after="57"/>
      <w:ind w:left="1984" w:right="0" w:firstLine="0"/>
    </w:pPr>
  </w:style>
  <w:style w:type="paragraph" w:styleId="18">
    <w:name w:val="endnote text"/>
    <w:basedOn w:val="1"/>
    <w:link w:val="182"/>
    <w:semiHidden/>
    <w:unhideWhenUsed/>
    <w:uiPriority w:val="99"/>
    <w:pPr>
      <w:spacing w:after="0" w:line="240" w:lineRule="auto"/>
    </w:pPr>
    <w:rPr>
      <w:sz w:val="20"/>
    </w:rPr>
  </w:style>
  <w:style w:type="paragraph" w:styleId="19">
    <w:name w:val="footer"/>
    <w:basedOn w:val="1"/>
    <w:link w:val="55"/>
    <w:unhideWhenUsed/>
    <w:uiPriority w:val="99"/>
    <w:pPr>
      <w:tabs>
        <w:tab w:val="center" w:pos="7143"/>
        <w:tab w:val="right" w:pos="14287"/>
      </w:tabs>
      <w:spacing w:after="0" w:line="240" w:lineRule="auto"/>
    </w:pPr>
  </w:style>
  <w:style w:type="paragraph" w:styleId="20">
    <w:name w:val="header"/>
    <w:basedOn w:val="1"/>
    <w:link w:val="53"/>
    <w:unhideWhenUsed/>
    <w:uiPriority w:val="99"/>
    <w:pPr>
      <w:tabs>
        <w:tab w:val="center" w:pos="7143"/>
        <w:tab w:val="right" w:pos="14287"/>
      </w:tabs>
      <w:spacing w:after="0" w:line="240" w:lineRule="auto"/>
    </w:pPr>
  </w:style>
  <w:style w:type="paragraph" w:styleId="21">
    <w:name w:val="toc 1"/>
    <w:basedOn w:val="1"/>
    <w:next w:val="1"/>
    <w:unhideWhenUsed/>
    <w:uiPriority w:val="39"/>
    <w:pPr>
      <w:spacing w:after="57"/>
      <w:ind w:left="0" w:right="0" w:firstLine="0"/>
    </w:pPr>
  </w:style>
  <w:style w:type="paragraph" w:styleId="22">
    <w:name w:val="toc 4"/>
    <w:basedOn w:val="1"/>
    <w:next w:val="1"/>
    <w:unhideWhenUsed/>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uiPriority w:val="99"/>
    <w:pPr>
      <w:spacing w:after="40" w:line="240" w:lineRule="auto"/>
    </w:pPr>
    <w:rPr>
      <w:sz w:val="18"/>
    </w:rPr>
  </w:style>
  <w:style w:type="paragraph" w:styleId="25">
    <w:name w:val="toc 6"/>
    <w:basedOn w:val="1"/>
    <w:next w:val="1"/>
    <w:unhideWhenUsed/>
    <w:uiPriority w:val="39"/>
    <w:pPr>
      <w:spacing w:after="57"/>
      <w:ind w:left="1417" w:right="0" w:firstLine="0"/>
    </w:pPr>
  </w:style>
  <w:style w:type="paragraph" w:styleId="26">
    <w:name w:val="table of figures"/>
    <w:basedOn w:val="1"/>
    <w:next w:val="1"/>
    <w:unhideWhenUsed/>
    <w:uiPriority w:val="99"/>
    <w:pPr>
      <w:spacing w:after="0" w:afterAutospacing="0"/>
    </w:pPr>
  </w:style>
  <w:style w:type="paragraph" w:styleId="27">
    <w:name w:val="toc 2"/>
    <w:basedOn w:val="1"/>
    <w:next w:val="1"/>
    <w:unhideWhenUsed/>
    <w:uiPriority w:val="39"/>
    <w:pPr>
      <w:spacing w:after="57"/>
      <w:ind w:left="283" w:right="0" w:firstLine="0"/>
    </w:pPr>
  </w:style>
  <w:style w:type="paragraph" w:styleId="28">
    <w:name w:val="toc 9"/>
    <w:basedOn w:val="1"/>
    <w:next w:val="1"/>
    <w:unhideWhenUsed/>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styleId="33">
    <w:name w:val="endnote reference"/>
    <w:semiHidden/>
    <w:unhideWhenUsed/>
    <w:uiPriority w:val="99"/>
    <w:rPr>
      <w:vertAlign w:val="superscript"/>
    </w:rPr>
  </w:style>
  <w:style w:type="character" w:styleId="34">
    <w:name w:val="Hyperlink"/>
    <w:unhideWhenUsed/>
    <w:uiPriority w:val="99"/>
    <w:rPr>
      <w:color w:val="0000FF" w:themeColor="hyperlink"/>
      <w:u w:val="single"/>
    </w:rPr>
  </w:style>
  <w:style w:type="character" w:styleId="35">
    <w:name w:val="footnote reference"/>
    <w:unhideWhenUsed/>
    <w:uiPriority w:val="99"/>
    <w:rPr>
      <w:vertAlign w:val="superscript"/>
    </w:rPr>
  </w:style>
  <w:style w:type="character" w:customStyle="1" w:styleId="36">
    <w:name w:val="Heading 1 Char"/>
    <w:link w:val="4"/>
    <w:uiPriority w:val="9"/>
    <w:rPr>
      <w:rFonts w:ascii="等线" w:hAnsi="等线" w:eastAsia="等线" w:cs="等线"/>
      <w:sz w:val="40"/>
      <w:szCs w:val="40"/>
    </w:rPr>
  </w:style>
  <w:style w:type="character" w:customStyle="1" w:styleId="37">
    <w:name w:val="Heading 2 Char"/>
    <w:link w:val="5"/>
    <w:uiPriority w:val="9"/>
    <w:rPr>
      <w:rFonts w:ascii="等线" w:hAnsi="等线" w:eastAsia="等线" w:cs="等线"/>
      <w:sz w:val="34"/>
    </w:rPr>
  </w:style>
  <w:style w:type="character" w:customStyle="1" w:styleId="38">
    <w:name w:val="Heading 3 Char"/>
    <w:link w:val="6"/>
    <w:uiPriority w:val="9"/>
    <w:rPr>
      <w:rFonts w:ascii="等线" w:hAnsi="等线" w:eastAsia="等线" w:cs="等线"/>
      <w:sz w:val="30"/>
      <w:szCs w:val="30"/>
    </w:rPr>
  </w:style>
  <w:style w:type="character" w:customStyle="1" w:styleId="39">
    <w:name w:val="Heading 4 Char"/>
    <w:link w:val="7"/>
    <w:uiPriority w:val="9"/>
    <w:rPr>
      <w:rFonts w:ascii="等线" w:hAnsi="等线" w:eastAsia="等线" w:cs="等线"/>
      <w:b/>
      <w:bCs/>
      <w:sz w:val="26"/>
      <w:szCs w:val="26"/>
    </w:rPr>
  </w:style>
  <w:style w:type="character" w:customStyle="1" w:styleId="40">
    <w:name w:val="Heading 5 Char"/>
    <w:link w:val="8"/>
    <w:uiPriority w:val="9"/>
    <w:rPr>
      <w:rFonts w:ascii="等线" w:hAnsi="等线" w:eastAsia="等线" w:cs="等线"/>
      <w:b/>
      <w:bCs/>
      <w:sz w:val="24"/>
      <w:szCs w:val="24"/>
    </w:rPr>
  </w:style>
  <w:style w:type="character" w:customStyle="1" w:styleId="41">
    <w:name w:val="Heading 6 Char"/>
    <w:link w:val="9"/>
    <w:uiPriority w:val="9"/>
    <w:rPr>
      <w:rFonts w:ascii="等线" w:hAnsi="等线" w:eastAsia="等线" w:cs="等线"/>
      <w:b/>
      <w:bCs/>
      <w:sz w:val="22"/>
      <w:szCs w:val="22"/>
    </w:rPr>
  </w:style>
  <w:style w:type="character" w:customStyle="1" w:styleId="42">
    <w:name w:val="Heading 7 Char"/>
    <w:link w:val="10"/>
    <w:uiPriority w:val="9"/>
    <w:rPr>
      <w:rFonts w:ascii="等线" w:hAnsi="等线" w:eastAsia="等线" w:cs="等线"/>
      <w:b/>
      <w:bCs/>
      <w:i/>
      <w:iCs/>
      <w:sz w:val="22"/>
      <w:szCs w:val="22"/>
    </w:rPr>
  </w:style>
  <w:style w:type="character" w:customStyle="1" w:styleId="43">
    <w:name w:val="Heading 8 Char"/>
    <w:link w:val="11"/>
    <w:uiPriority w:val="9"/>
    <w:rPr>
      <w:rFonts w:ascii="等线" w:hAnsi="等线" w:eastAsia="等线" w:cs="等线"/>
      <w:i/>
      <w:iCs/>
      <w:sz w:val="22"/>
      <w:szCs w:val="22"/>
    </w:rPr>
  </w:style>
  <w:style w:type="character" w:customStyle="1" w:styleId="44">
    <w:name w:val="Heading 9 Char"/>
    <w:link w:val="12"/>
    <w:uiPriority w:val="9"/>
    <w:rPr>
      <w:rFonts w:ascii="等线" w:hAnsi="等线" w:eastAsia="等线" w:cs="等线"/>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uiPriority w:val="10"/>
    <w:rPr>
      <w:sz w:val="48"/>
      <w:szCs w:val="48"/>
    </w:rPr>
  </w:style>
  <w:style w:type="character" w:customStyle="1" w:styleId="48">
    <w:name w:val="Subtitle Char"/>
    <w:link w:val="23"/>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uiPriority w:val="30"/>
    <w:rPr>
      <w:i/>
    </w:rPr>
  </w:style>
  <w:style w:type="character" w:customStyle="1" w:styleId="53">
    <w:name w:val="Header Char"/>
    <w:link w:val="20"/>
    <w:uiPriority w:val="99"/>
  </w:style>
  <w:style w:type="character" w:customStyle="1" w:styleId="54">
    <w:name w:val="Footer Char"/>
    <w:link w:val="19"/>
    <w:uiPriority w:val="99"/>
  </w:style>
  <w:style w:type="character" w:customStyle="1" w:styleId="55">
    <w:name w:val="Caption Char"/>
    <w:link w:val="19"/>
    <w:uiPriority w:val="99"/>
  </w:style>
  <w:style w:type="table" w:customStyle="1" w:styleId="56">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7">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shd w:val="clear" w:color="F1F1F1" w:themeColor="text1" w:themeTint="0D" w:fill="F1F1F1" w:themeFill="text1" w:themeFillTint="0D"/>
      </w:tcPr>
    </w:tblStylePr>
    <w:tblStylePr w:type="band2Vert">
      <w:tblPr/>
    </w:tblStylePr>
    <w:tblStylePr w:type="band1Horz">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8">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59">
    <w:name w:val="Plain Table 3"/>
    <w:uiPriority w:val="99"/>
    <w:pPr>
      <w:spacing w:after="0" w:line="240" w:lineRule="auto"/>
    </w:pPr>
    <w:tblPr/>
    <w:tblStylePr w:type="firstRow">
      <w:rPr>
        <w:b/>
        <w:caps/>
        <w:color w:val="404040"/>
      </w:rPr>
      <w:tblPr/>
      <w:tcPr>
        <w:tcBorders>
          <w:top w:val="nil"/>
          <w:left w:val="nil"/>
          <w:bottom w:val="single" w:color="404040" w:sz="4" w:space="0"/>
          <w:right w:val="nil"/>
        </w:tcBorders>
      </w:tcPr>
    </w:tblStylePr>
    <w:tblStylePr w:type="lastRow">
      <w:rPr>
        <w:b/>
        <w:caps/>
        <w:color w:val="404040"/>
      </w:rPr>
      <w:tblPr/>
    </w:tblStylePr>
    <w:tblStylePr w:type="firstCol">
      <w:rPr>
        <w:b/>
        <w:caps/>
        <w:color w:val="404040"/>
      </w:rPr>
      <w:tblPr/>
      <w:tcPr>
        <w:tcBorders>
          <w:top w:val="nil"/>
          <w:left w:val="nil"/>
          <w:bottom w:val="nil"/>
          <w:right w:val="single" w:color="404040" w:sz="4" w:space="0"/>
        </w:tcBorders>
      </w:tcPr>
    </w:tblStylePr>
    <w:tblStylePr w:type="lastCol">
      <w:rPr>
        <w:b/>
        <w:caps/>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0">
    <w:name w:val="Plain Table 4"/>
    <w:uiPriority w:val="99"/>
    <w:pPr>
      <w:spacing w:after="0" w:line="240" w:lineRule="auto"/>
    </w:pPr>
    <w:tblPr/>
    <w:tblStylePr w:type="firstRow">
      <w:rPr>
        <w:b/>
        <w:color w:val="404040"/>
      </w:rPr>
      <w:tbl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1">
    <w:name w:val="Plain Table 5"/>
    <w:uiPriority w:val="99"/>
    <w:pPr>
      <w:spacing w:after="0" w:line="240" w:lineRule="auto"/>
    </w:pPr>
    <w:tblPr/>
    <w:tblStylePr w:type="firstRow">
      <w:rPr>
        <w:i/>
        <w:color w:val="404040"/>
      </w:rPr>
      <w:tblPr/>
      <w:tcPr>
        <w:tcBorders>
          <w:left w:val="nil"/>
          <w:bottom w:val="single" w:color="404040" w:sz="4" w:space="0"/>
          <w:right w:val="nil"/>
        </w:tcBorders>
        <w:shd w:val="clear" w:color="FFFFFF" w:fill="auto"/>
      </w:tcPr>
    </w:tblStylePr>
    <w:tblStylePr w:type="lastRow">
      <w:rPr>
        <w:i/>
        <w:color w:val="404040"/>
      </w:rPr>
      <w:tblPr/>
      <w:tcPr>
        <w:tcBorders>
          <w:top w:val="single" w:color="404040" w:sz="4" w:space="0"/>
          <w:left w:val="nil"/>
          <w:right w:val="nil"/>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2">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blPr/>
      <w:tcPr>
        <w:tcBorders>
          <w:bottom w:val="single" w:color="696969" w:themeColor="tex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3">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blPr/>
      <w:tcPr>
        <w:tcBorders>
          <w:bottom w:val="single" w:color="98B5D8" w:themeColor="accen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4">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blPr/>
      <w:tcPr>
        <w:tcBorders>
          <w:bottom w:val="single" w:color="DA9896" w:themeColor="accent2"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5">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blPr/>
      <w:tcPr>
        <w:tcBorders>
          <w:bottom w:val="single" w:color="C4D79E" w:themeColor="accent3"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6">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blPr/>
      <w:tcPr>
        <w:tcBorders>
          <w:bottom w:val="single" w:color="B4A4C8" w:themeColor="accent4"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7">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blPr/>
      <w:tcPr>
        <w:tcBorders>
          <w:bottom w:val="single" w:color="95CEDD" w:themeColor="accent5"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8">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blPr/>
      <w:tcPr>
        <w:tcBorders>
          <w:bottom w:val="single" w:color="FAC192" w:themeColor="accent6"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9">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blPr/>
      <w:tcPr>
        <w:tcBorders>
          <w:top w:val="nil"/>
          <w:left w:val="nil"/>
          <w:bottom w:val="single" w:color="696969" w:themeColor="text1" w:themeTint="95" w:sz="12" w:space="0"/>
          <w:right w:val="nil"/>
        </w:tcBorders>
        <w:shd w:val="clear" w:color="FFFFFF" w:fill="auto"/>
      </w:tcPr>
    </w:tblStylePr>
    <w:tblStylePr w:type="lastRow">
      <w:rPr>
        <w:b/>
        <w:color w:val="404040"/>
      </w:rPr>
      <w:tblPr/>
      <w:tcPr>
        <w:tcBorders>
          <w:top w:val="single" w:color="696969" w:themeColor="text1" w:themeTint="9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0">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blPr/>
      <w:tcPr>
        <w:tcBorders>
          <w:top w:val="nil"/>
          <w:left w:val="nil"/>
          <w:bottom w:val="single" w:color="5D8BC2" w:themeColor="accent1" w:themeTint="EA" w:sz="12" w:space="0"/>
          <w:right w:val="nil"/>
        </w:tcBorders>
        <w:shd w:val="clear" w:color="FFFFFF" w:fill="auto"/>
      </w:tcPr>
    </w:tblStylePr>
    <w:tblStylePr w:type="lastRow">
      <w:rPr>
        <w:b/>
        <w:color w:val="404040"/>
      </w:rPr>
      <w:tblPr/>
      <w:tcPr>
        <w:tcBorders>
          <w:top w:val="single" w:color="5D8BC2" w:themeColor="accent1" w:themeTint="E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BE5F1" w:themeColor="accent1" w:themeTint="34" w:fill="DBE5F1" w:themeFill="accent1" w:themeFillTint="34"/>
      </w:tcPr>
    </w:tblStylePr>
    <w:tblStylePr w:type="band2Vert">
      <w:tblPr/>
    </w:tblStylePr>
    <w:tblStylePr w:type="band1Horz">
      <w:rPr>
        <w:rFonts w:ascii="Arial" w:hAnsi="Arial"/>
        <w:color w:val="404040"/>
        <w:sz w:val="22"/>
      </w:rPr>
      <w:tblPr/>
      <w:tcPr>
        <w:shd w:val="clear" w:color="DBE5F1" w:themeColor="accent1" w:themeTint="34" w:fill="DBE5F1"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blPr/>
      <w:tcPr>
        <w:tcBorders>
          <w:top w:val="nil"/>
          <w:left w:val="nil"/>
          <w:bottom w:val="single" w:color="D99795" w:themeColor="accent2" w:themeTint="97" w:sz="12" w:space="0"/>
          <w:right w:val="nil"/>
        </w:tcBorders>
        <w:shd w:val="clear" w:color="FFFFFF" w:fill="auto"/>
      </w:tcPr>
    </w:tblStylePr>
    <w:tblStylePr w:type="lastRow">
      <w:rPr>
        <w:b/>
        <w:color w:val="404040"/>
      </w:rPr>
      <w:tblPr/>
      <w:tcPr>
        <w:tcBorders>
          <w:top w:val="single" w:color="D99795" w:themeColor="accent2" w:themeTint="97"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2">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blPr/>
      <w:tcPr>
        <w:tcBorders>
          <w:top w:val="nil"/>
          <w:left w:val="nil"/>
          <w:bottom w:val="single" w:color="9BBB59" w:themeColor="accent3" w:themeTint="FE" w:sz="12" w:space="0"/>
          <w:right w:val="nil"/>
        </w:tcBorders>
        <w:shd w:val="clear" w:color="FFFFFF" w:fill="auto"/>
      </w:tcPr>
    </w:tblStylePr>
    <w:tblStylePr w:type="lastRow">
      <w:rPr>
        <w:b/>
        <w:color w:val="404040"/>
      </w:rPr>
      <w:tblPr/>
      <w:tcPr>
        <w:tcBorders>
          <w:top w:val="single" w:color="9BBB59" w:themeColor="accent3" w:themeTint="FE"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3">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il"/>
          <w:left w:val="nil"/>
          <w:bottom w:val="single" w:color="B2A1C6" w:themeColor="accent4" w:themeTint="9A" w:sz="12" w:space="0"/>
          <w:right w:val="nil"/>
        </w:tcBorders>
        <w:shd w:val="clear" w:color="FFFFFF" w:fill="auto"/>
      </w:tcPr>
    </w:tblStylePr>
    <w:tblStylePr w:type="lastRow">
      <w:rPr>
        <w:b/>
        <w:color w:val="404040"/>
      </w:rPr>
      <w:tblPr/>
      <w:tcPr>
        <w:tcBorders>
          <w:top w:val="single" w:color="B2A1C6" w:themeColor="accent4" w:themeTint="9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4">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il"/>
          <w:left w:val="nil"/>
          <w:bottom w:val="single" w:color="4BACC6" w:themeColor="accent5" w:sz="12" w:space="0"/>
          <w:right w:val="nil"/>
        </w:tcBorders>
        <w:shd w:val="clear" w:color="FFFFFF" w:fill="auto"/>
      </w:tcPr>
    </w:tblStylePr>
    <w:tblStylePr w:type="lastRow">
      <w:rPr>
        <w:b/>
        <w:color w:val="404040"/>
      </w:rPr>
      <w:tblPr/>
      <w:tcPr>
        <w:tcBorders>
          <w:top w:val="single" w:color="4BACC6" w:themeColor="accent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5">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il"/>
          <w:left w:val="nil"/>
          <w:bottom w:val="single" w:color="F79646" w:themeColor="accent6" w:sz="12" w:space="0"/>
          <w:right w:val="nil"/>
        </w:tcBorders>
        <w:shd w:val="clear" w:color="FFFFFF" w:fill="auto"/>
      </w:tcPr>
    </w:tblStylePr>
    <w:tblStylePr w:type="lastRow">
      <w:rPr>
        <w:b/>
        <w:color w:val="404040"/>
      </w:rPr>
      <w:tblPr/>
      <w:tcPr>
        <w:tcBorders>
          <w:top w:val="single" w:color="F79646" w:themeColor="accent6"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6">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7">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themeColor="accent1" w:themeTint="34" w:fill="DBE5F1" w:themeFill="accent1" w:themeFillTint="34"/>
      </w:tcPr>
    </w:tblStylePr>
    <w:tblStylePr w:type="band2Vert">
      <w:tblPr/>
    </w:tblStylePr>
    <w:tblStylePr w:type="band1Horz">
      <w:rPr>
        <w:rFonts w:ascii="Arial" w:hAnsi="Arial"/>
        <w:color w:val="404040"/>
        <w:sz w:val="22"/>
      </w:rPr>
      <w:tblPr/>
      <w:tcPr>
        <w:shd w:val="clear" w:color="DBE5F1" w:themeColor="accent1" w:themeTint="34" w:fill="DBE5F1"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8">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9">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0">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2">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3">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4">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bl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blPr/>
      <w:tcPr>
        <w:tcBorders>
          <w:top w:val="single" w:color="5D8BC2" w:themeColor="accent1" w:themeTint="E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CE6F2" w:themeColor="accent1" w:themeTint="32" w:fill="DCE6F2" w:themeFill="accent1" w:themeFillTint="32"/>
      </w:tcPr>
    </w:tblStylePr>
    <w:tblStylePr w:type="band2Vert">
      <w:tblPr/>
    </w:tblStylePr>
    <w:tblStylePr w:type="band1Horz">
      <w:rPr>
        <w:rFonts w:ascii="Arial" w:hAnsi="Arial"/>
        <w:color w:val="404040"/>
        <w:sz w:val="22"/>
      </w:rPr>
      <w:tblPr/>
      <w:tcPr>
        <w:shd w:val="clear" w:color="DCE6F2" w:themeColor="accent1" w:themeTint="32" w:fill="DCE6F2" w:themeFill="accent1"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5">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bl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blPr/>
      <w:tcPr>
        <w:tcBorders>
          <w:top w:val="single" w:color="D99795" w:themeColor="accent2" w:themeTint="97"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6">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bl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blPr/>
      <w:tcPr>
        <w:tcBorders>
          <w:top w:val="single" w:color="9BBB59" w:themeColor="accent3" w:themeTint="FE"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7">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bl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blPr/>
      <w:tcPr>
        <w:tcBorders>
          <w:top w:val="single" w:color="B2A1C6" w:themeColor="accent4" w:themeTint="9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8">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blPr/>
      <w:tcPr>
        <w:tcBorders>
          <w:top w:val="single" w:color="4BACC6" w:themeColor="accent5"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9">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blPr/>
      <w:tcPr>
        <w:tcBorders>
          <w:top w:val="single" w:color="F79646" w:themeColor="accent6"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0">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98989" w:themeColor="text1" w:themeTint="75" w:fill="898989" w:themeFill="text1" w:themeFillTint="75"/>
      </w:tcPr>
    </w:tblStylePr>
    <w:tblStylePr w:type="band2Vert">
      <w:tblPr/>
    </w:tblStylePr>
    <w:tblStylePr w:type="band1Horz">
      <w:tblPr/>
      <w:tcPr>
        <w:shd w:val="clear" w:color="898989" w:themeColor="text1" w:themeTint="75" w:fill="898989" w:themeFill="tex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5E0" w:themeColor="accent1" w:themeTint="75" w:fill="AEC5E0" w:themeFill="accent1" w:themeFillTint="75"/>
      </w:tcPr>
    </w:tblStylePr>
    <w:tblStylePr w:type="band2Vert">
      <w:tblPr/>
    </w:tblStylePr>
    <w:tblStylePr w:type="band1Horz">
      <w:tblPr/>
      <w:tcPr>
        <w:shd w:val="clear" w:color="AEC5E0" w:themeColor="accent1" w:themeTint="75" w:fill="AEC5E0" w:themeFill="accen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2">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2Vert">
      <w:tblPr/>
    </w:tblStylePr>
    <w:tblStylePr w:type="band1Horz">
      <w:tblPr/>
      <w:tcPr>
        <w:shd w:val="clear" w:color="E2AEAD" w:themeColor="accent2" w:themeTint="75" w:fill="E2AEAD" w:themeFill="accent2"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3">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1DFB2" w:themeColor="accent3" w:themeTint="75" w:fill="D1DFB2" w:themeFill="accent3" w:themeFillTint="75"/>
      </w:tcPr>
    </w:tblStylePr>
    <w:tblStylePr w:type="band2Vert">
      <w:tblPr/>
    </w:tblStylePr>
    <w:tblStylePr w:type="band1Horz">
      <w:tblPr/>
      <w:tcPr>
        <w:shd w:val="clear" w:color="D1DFB2" w:themeColor="accent3" w:themeTint="75" w:fill="D1DFB2" w:themeFill="accent3"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4">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2Vert">
      <w:tblPr/>
    </w:tblStylePr>
    <w:tblStylePr w:type="band1Horz">
      <w:tblPr/>
      <w:tcPr>
        <w:shd w:val="clear" w:color="C4B7D4" w:themeColor="accent4" w:themeTint="75" w:fill="C4B7D4" w:themeFill="accent4"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5">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2Vert">
      <w:tblPr/>
    </w:tblStylePr>
    <w:tblStylePr w:type="band1Horz">
      <w:tblPr/>
      <w:tcPr>
        <w:shd w:val="clear" w:color="ACD8E4" w:themeColor="accent5" w:themeTint="75" w:fill="ACD8E4" w:themeFill="accent5"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6">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2Vert">
      <w:tblPr/>
    </w:tblStylePr>
    <w:tblStylePr w:type="band1Horz">
      <w:tblPr/>
      <w:tcPr>
        <w:shd w:val="clear" w:color="FBCEAA" w:themeColor="accent6" w:themeTint="75" w:fill="FBCEAA" w:themeFill="accent6"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7">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blPr/>
      <w:tcPr>
        <w:tcBorders>
          <w:bottom w:val="single" w:color="7E7E7E" w:themeColor="text1" w:themeTint="80" w:sz="12" w:space="0"/>
        </w:tcBorders>
      </w:tcPr>
    </w:tblStylePr>
    <w:tblStylePr w:type="lastRow">
      <w:rPr>
        <w:b/>
        <w:color w:val="7E7E7E" w:themeColor="text1" w:themeShade="95" w:themeTint="80"/>
      </w:rPr>
      <w:tblPr/>
    </w:tblStylePr>
    <w:tblStylePr w:type="firstCol">
      <w:rPr>
        <w:b/>
        <w:color w:val="7E7E7E" w:themeColor="text1" w:themeShade="95" w:themeTint="80"/>
      </w:rPr>
      <w:tblPr/>
    </w:tblStylePr>
    <w:tblStylePr w:type="lastCol">
      <w:rPr>
        <w:b/>
        <w:color w:val="7E7E7E" w:themeColor="text1" w:themeShade="95" w:themeTint="80"/>
      </w:rPr>
      <w:tblPr/>
    </w:tblStylePr>
    <w:tblStylePr w:type="band1Vert">
      <w:tblPr/>
      <w:tcPr>
        <w:shd w:val="clear" w:color="CACACA" w:themeColor="text1" w:themeTint="34" w:fill="CACACA" w:themeFill="text1" w:themeFillTint="34"/>
      </w:tcPr>
    </w:tblStylePr>
    <w:tblStylePr w:type="band2Vert">
      <w:tblPr/>
    </w:tblStylePr>
    <w:tblStylePr w:type="band1Horz">
      <w:rPr>
        <w:rFonts w:ascii="Arial" w:hAnsi="Arial"/>
        <w:color w:val="7E7E7E" w:themeColor="text1" w:themeShade="95" w:themeTint="80"/>
        <w:sz w:val="22"/>
      </w:rPr>
      <w:tblPr/>
      <w:tcPr>
        <w:shd w:val="clear" w:color="CACACA" w:themeColor="text1" w:themeTint="34" w:fill="CACACA" w:themeFill="text1" w:themeFillTint="34"/>
      </w:tcPr>
    </w:tblStylePr>
    <w:tblStylePr w:type="band2Horz">
      <w:rPr>
        <w:rFonts w:ascii="Arial" w:hAnsi="Arial"/>
        <w:color w:val="7E7E7E" w:themeColor="text1" w:themeShade="95" w:themeTint="80"/>
        <w:sz w:val="22"/>
      </w:rPr>
      <w:tblPr/>
    </w:tblStylePr>
    <w:tblStylePr w:type="neCell">
      <w:tblPr/>
    </w:tblStylePr>
    <w:tblStylePr w:type="nwCell">
      <w:tblPr/>
    </w:tblStylePr>
    <w:tblStylePr w:type="seCell">
      <w:tblPr/>
    </w:tblStylePr>
    <w:tblStylePr w:type="swCell">
      <w:tbl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blPr/>
      <w:tcPr>
        <w:tcBorders>
          <w:bottom w:val="single" w:color="A6BFDD" w:themeColor="accent1" w:themeTint="80" w:sz="12" w:space="0"/>
        </w:tcBorders>
      </w:tcPr>
    </w:tblStylePr>
    <w:tblStylePr w:type="lastRow">
      <w:rPr>
        <w:b/>
        <w:color w:val="A6BFDD" w:themeColor="accent1" w:themeShade="95" w:themeTint="80"/>
      </w:rPr>
      <w:tblPr/>
    </w:tblStylePr>
    <w:tblStylePr w:type="firstCol">
      <w:rPr>
        <w:b/>
        <w:color w:val="A6BFDD" w:themeColor="accent1" w:themeShade="95" w:themeTint="80"/>
      </w:rPr>
      <w:tblPr/>
    </w:tblStylePr>
    <w:tblStylePr w:type="lastCol">
      <w:rPr>
        <w:b/>
        <w:color w:val="A6BFDD" w:themeColor="accent1" w:themeShade="95" w:themeTint="80"/>
      </w:rPr>
      <w:tblPr/>
    </w:tblStylePr>
    <w:tblStylePr w:type="band1Vert">
      <w:tblPr/>
      <w:tcPr>
        <w:shd w:val="clear" w:color="DBE5F1" w:themeColor="accent1" w:themeTint="34" w:fill="DBE5F1" w:themeFill="accent1" w:themeFillTint="34"/>
      </w:tcPr>
    </w:tblStylePr>
    <w:tblStylePr w:type="band2Vert">
      <w:tblPr/>
    </w:tblStylePr>
    <w:tblStylePr w:type="band1Horz">
      <w:rPr>
        <w:rFonts w:ascii="Arial" w:hAnsi="Arial"/>
        <w:color w:val="A6BFDD" w:themeColor="accent1" w:themeShade="95" w:themeTint="80"/>
        <w:sz w:val="22"/>
      </w:rPr>
      <w:tbl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Pr/>
    </w:tblStylePr>
    <w:tblStylePr w:type="neCell">
      <w:tblPr/>
    </w:tblStylePr>
    <w:tblStylePr w:type="nwCell">
      <w:tblPr/>
    </w:tblStylePr>
    <w:tblStylePr w:type="seCell">
      <w:tblPr/>
    </w:tblStylePr>
    <w:tblStylePr w:type="swCell">
      <w:tblPr/>
    </w:tblStylePr>
  </w:style>
  <w:style w:type="table" w:customStyle="1" w:styleId="99">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blPr/>
      <w:tcPr>
        <w:tcBorders>
          <w:bottom w:val="single" w:color="D99795" w:themeColor="accent2" w:themeTint="97" w:sz="12" w:space="0"/>
        </w:tcBorders>
      </w:tcPr>
    </w:tblStylePr>
    <w:tblStylePr w:type="lastRow">
      <w:rPr>
        <w:b/>
        <w:color w:val="D99795" w:themeColor="accent2" w:themeShade="95" w:themeTint="97"/>
      </w:rPr>
      <w:tblPr/>
    </w:tblStylePr>
    <w:tblStylePr w:type="firstCol">
      <w:rPr>
        <w:b/>
        <w:color w:val="D99795" w:themeColor="accent2" w:themeShade="95" w:themeTint="97"/>
      </w:rPr>
      <w:tblPr/>
    </w:tblStylePr>
    <w:tblStylePr w:type="lastCol">
      <w:rPr>
        <w:b/>
        <w:color w:val="D99795" w:themeColor="accent2" w:themeShade="95" w:themeTint="97"/>
      </w:rPr>
      <w:tblPr/>
    </w:tblStylePr>
    <w:tblStylePr w:type="band1Vert">
      <w:tblPr/>
      <w:tcPr>
        <w:shd w:val="clear" w:color="F2DCDC" w:themeColor="accent2" w:themeTint="32" w:fill="F2DCDC" w:themeFill="accent2" w:themeFillTint="32"/>
      </w:tcPr>
    </w:tblStylePr>
    <w:tblStylePr w:type="band2Vert">
      <w:tblPr/>
    </w:tblStylePr>
    <w:tblStylePr w:type="band1Horz">
      <w:rPr>
        <w:rFonts w:ascii="Arial" w:hAnsi="Arial"/>
        <w:color w:val="D99795" w:themeColor="accent2" w:themeShade="95" w:themeTint="97"/>
        <w:sz w:val="22"/>
      </w:rPr>
      <w:tbl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Pr/>
    </w:tblStylePr>
    <w:tblStylePr w:type="neCell">
      <w:tblPr/>
    </w:tblStylePr>
    <w:tblStylePr w:type="nwCell">
      <w:tblPr/>
    </w:tblStylePr>
    <w:tblStylePr w:type="seCell">
      <w:tblPr/>
    </w:tblStylePr>
    <w:tblStylePr w:type="swCell">
      <w:tbl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blPr/>
      <w:tcPr>
        <w:tcBorders>
          <w:bottom w:val="single" w:color="9BBB59" w:themeColor="accent3" w:themeTint="FE" w:sz="12" w:space="0"/>
        </w:tcBorders>
      </w:tcPr>
    </w:tblStylePr>
    <w:tblStylePr w:type="lastRow">
      <w:rPr>
        <w:b/>
        <w:color w:val="9BBB59" w:themeColor="accent3" w:themeShade="95" w:themeTint="FE"/>
      </w:rPr>
      <w:tblPr/>
    </w:tblStylePr>
    <w:tblStylePr w:type="firstCol">
      <w:rPr>
        <w:b/>
        <w:color w:val="9BBB59" w:themeColor="accent3" w:themeShade="95" w:themeTint="FE"/>
      </w:rPr>
      <w:tblPr/>
    </w:tblStylePr>
    <w:tblStylePr w:type="lastCol">
      <w:rPr>
        <w:b/>
        <w:color w:val="9BBB59" w:themeColor="accent3" w:themeShade="95" w:themeTint="FE"/>
      </w:rPr>
      <w:tblPr/>
    </w:tblStylePr>
    <w:tblStylePr w:type="band1Vert">
      <w:tblPr/>
      <w:tcPr>
        <w:shd w:val="clear" w:color="EAF1DD" w:themeColor="accent3" w:themeTint="34" w:fill="EAF1DD" w:themeFill="accent3" w:themeFillTint="34"/>
      </w:tcPr>
    </w:tblStylePr>
    <w:tblStylePr w:type="band2Vert">
      <w:tblPr/>
    </w:tblStylePr>
    <w:tblStylePr w:type="band1Horz">
      <w:rPr>
        <w:rFonts w:ascii="Arial" w:hAnsi="Arial"/>
        <w:color w:val="9BBB59" w:themeColor="accent3" w:themeShade="95" w:themeTint="FE"/>
        <w:sz w:val="22"/>
      </w:rPr>
      <w:tbl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Pr/>
    </w:tblStylePr>
    <w:tblStylePr w:type="neCell">
      <w:tblPr/>
    </w:tblStylePr>
    <w:tblStylePr w:type="nwCell">
      <w:tblPr/>
    </w:tblStylePr>
    <w:tblStylePr w:type="seCell">
      <w:tblPr/>
    </w:tblStylePr>
    <w:tblStylePr w:type="swCell">
      <w:tblPr/>
    </w:tblStylePr>
  </w:style>
  <w:style w:type="table" w:customStyle="1" w:styleId="10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blPr/>
      <w:tcPr>
        <w:tcBorders>
          <w:bottom w:val="single" w:color="B2A1C6" w:themeColor="accent4" w:themeTint="9A" w:sz="12" w:space="0"/>
        </w:tcBorders>
      </w:tcPr>
    </w:tblStylePr>
    <w:tblStylePr w:type="lastRow">
      <w:rPr>
        <w:b/>
        <w:color w:val="B2A1C6" w:themeColor="accent4" w:themeShade="95" w:themeTint="9A"/>
      </w:rPr>
      <w:tblPr/>
    </w:tblStylePr>
    <w:tblStylePr w:type="firstCol">
      <w:rPr>
        <w:b/>
        <w:color w:val="B2A1C6" w:themeColor="accent4" w:themeShade="95" w:themeTint="9A"/>
      </w:rPr>
      <w:tblPr/>
    </w:tblStylePr>
    <w:tblStylePr w:type="lastCol">
      <w:rPr>
        <w:b/>
        <w:color w:val="B2A1C6" w:themeColor="accent4" w:themeShade="95" w:themeTint="9A"/>
      </w:rPr>
      <w:tblPr/>
    </w:tblStylePr>
    <w:tblStylePr w:type="band1Vert">
      <w:tblPr/>
      <w:tcPr>
        <w:shd w:val="clear" w:color="E5DFEC" w:themeColor="accent4" w:themeTint="34" w:fill="E5DFEC" w:themeFill="accent4" w:themeFillTint="34"/>
      </w:tcPr>
    </w:tblStylePr>
    <w:tblStylePr w:type="band2Vert">
      <w:tblPr/>
    </w:tblStylePr>
    <w:tblStylePr w:type="band1Horz">
      <w:rPr>
        <w:rFonts w:ascii="Arial" w:hAnsi="Arial"/>
        <w:color w:val="B2A1C6" w:themeColor="accent4" w:themeShade="95" w:themeTint="9A"/>
        <w:sz w:val="22"/>
      </w:rPr>
      <w:tbl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102">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blPr/>
      <w:tcPr>
        <w:tcBorders>
          <w:bottom w:val="single" w:color="4BACC6" w:themeColor="accent5" w:sz="12" w:space="0"/>
        </w:tcBorders>
      </w:tcPr>
    </w:tblStylePr>
    <w:tblStylePr w:type="lastRow">
      <w:rPr>
        <w:b/>
        <w:color w:val="266779" w:themeColor="accent5" w:themeShade="95"/>
      </w:rPr>
      <w:tblPr/>
    </w:tblStylePr>
    <w:tblStylePr w:type="firstCol">
      <w:rPr>
        <w:b/>
        <w:color w:val="266779" w:themeColor="accent5" w:themeShade="95"/>
      </w:rPr>
      <w:tblPr/>
    </w:tblStylePr>
    <w:tblStylePr w:type="lastCol">
      <w:rPr>
        <w:b/>
        <w:color w:val="266779" w:themeColor="accent5" w:themeShade="95"/>
      </w:rPr>
      <w:tblPr/>
    </w:tblStylePr>
    <w:tblStylePr w:type="band1Vert">
      <w:tblPr/>
      <w:tcPr>
        <w:shd w:val="clear" w:color="DAEEF3" w:themeColor="accent5" w:themeTint="34" w:fill="DAEEF3" w:themeFill="accent5" w:themeFillTint="34"/>
      </w:tcPr>
    </w:tblStylePr>
    <w:tblStylePr w:type="band2Vert">
      <w:tbl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Pr/>
    </w:tblStylePr>
    <w:tblStylePr w:type="neCell">
      <w:tblPr/>
    </w:tblStylePr>
    <w:tblStylePr w:type="nwCell">
      <w:tblPr/>
    </w:tblStylePr>
    <w:tblStylePr w:type="seCell">
      <w:tblPr/>
    </w:tblStylePr>
    <w:tblStylePr w:type="swCell">
      <w:tbl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blPr/>
      <w:tcPr>
        <w:tcBorders>
          <w:bottom w:val="single" w:color="F79646" w:themeColor="accent6" w:sz="12" w:space="0"/>
        </w:tcBorders>
      </w:tcPr>
    </w:tblStylePr>
    <w:tblStylePr w:type="lastRow">
      <w:rPr>
        <w:b/>
        <w:color w:val="266779" w:themeColor="accent5" w:themeShade="95"/>
      </w:rPr>
      <w:tblPr/>
    </w:tblStylePr>
    <w:tblStylePr w:type="firstCol">
      <w:rPr>
        <w:b/>
        <w:color w:val="266779" w:themeColor="accent5" w:themeShade="95"/>
      </w:rPr>
      <w:tblPr/>
    </w:tblStylePr>
    <w:tblStylePr w:type="lastCol">
      <w:rPr>
        <w:b/>
        <w:color w:val="266779" w:themeColor="accent5" w:themeShade="95"/>
      </w:rPr>
      <w:tblPr/>
    </w:tblStylePr>
    <w:tblStylePr w:type="band1Vert">
      <w:tblPr/>
      <w:tcPr>
        <w:shd w:val="clear" w:color="FDE9D9" w:themeColor="accent6" w:themeTint="34" w:fill="FDE9D9" w:themeFill="accent6" w:themeFillTint="34"/>
      </w:tcPr>
    </w:tblStylePr>
    <w:tblStylePr w:type="band2Vert">
      <w:tblPr/>
    </w:tblStylePr>
    <w:tblStylePr w:type="band1Horz">
      <w:rPr>
        <w:rFonts w:ascii="Arial" w:hAnsi="Arial"/>
        <w:color w:val="266779" w:themeColor="accent5" w:themeShade="95"/>
        <w:sz w:val="22"/>
      </w:rPr>
      <w:tblPr/>
      <w:tcPr>
        <w:shd w:val="clear" w:color="FDE9D9" w:themeColor="accent6" w:themeTint="34" w:fill="FDE9D9" w:themeFill="accent6" w:themeFillTint="34"/>
      </w:tcPr>
    </w:tblStylePr>
    <w:tblStylePr w:type="band2Horz">
      <w:rPr>
        <w:rFonts w:ascii="Arial" w:hAnsi="Arial"/>
        <w:color w:val="266779" w:themeColor="accent5" w:themeShade="95"/>
        <w:sz w:val="22"/>
      </w:rPr>
      <w:tblPr/>
    </w:tblStylePr>
    <w:tblStylePr w:type="neCell">
      <w:tblPr/>
    </w:tblStylePr>
    <w:tblStylePr w:type="nwCell">
      <w:tblPr/>
    </w:tblStylePr>
    <w:tblStylePr w:type="seCell">
      <w:tblPr/>
    </w:tblStylePr>
    <w:tblStylePr w:type="swCell">
      <w:tblPr/>
    </w:tblStylePr>
  </w:style>
  <w:style w:type="table" w:customStyle="1" w:styleId="104">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blPr/>
      <w:tcPr>
        <w:tcBorders>
          <w:top w:val="nil"/>
          <w:left w:val="single" w:color="7E7E7E" w:themeColor="text1" w:themeTint="80" w:sz="4" w:space="0"/>
          <w:bottom w:val="nil"/>
          <w:right w:val="nil"/>
        </w:tcBorders>
        <w:shd w:val="clear" w:color="FFFFFF" w:fill="auto"/>
      </w:tcPr>
    </w:tblStylePr>
    <w:tblStylePr w:type="band1Vert">
      <w:tblPr/>
      <w:tcPr>
        <w:shd w:val="clear" w:color="F1F1F1" w:themeColor="text1" w:themeTint="0D" w:fill="F1F1F1" w:themeFill="text1" w:themeFillTint="0D"/>
      </w:tcPr>
    </w:tblStylePr>
    <w:tblStylePr w:type="band2Vert">
      <w:tblPr/>
    </w:tblStylePr>
    <w:tblStylePr w:type="band1Horz">
      <w:rPr>
        <w:rFonts w:ascii="Arial" w:hAnsi="Arial"/>
        <w:color w:val="7E7E7E" w:themeColor="text1" w:themeShade="95" w:themeTint="80"/>
        <w:sz w:val="22"/>
      </w:rPr>
      <w:tblPr/>
      <w:tcPr>
        <w:shd w:val="clear" w:color="F1F1F1" w:themeColor="text1" w:themeTint="0D" w:fill="F1F1F1" w:themeFill="text1" w:themeFillTint="0D"/>
      </w:tcPr>
    </w:tblStylePr>
    <w:tblStylePr w:type="band2Horz">
      <w:rPr>
        <w:rFonts w:ascii="Arial" w:hAnsi="Arial"/>
        <w:color w:val="7E7E7E" w:themeColor="text1" w:themeShade="95" w:themeTint="80"/>
        <w:sz w:val="22"/>
      </w:rPr>
      <w:tblPr/>
    </w:tblStylePr>
    <w:tblStylePr w:type="neCell">
      <w:tblPr/>
    </w:tblStylePr>
    <w:tblStylePr w:type="nwCell">
      <w:tblPr/>
    </w:tblStylePr>
    <w:tblStylePr w:type="seCell">
      <w:tblPr/>
    </w:tblStylePr>
    <w:tblStylePr w:type="swCell">
      <w:tblPr/>
    </w:tblStylePr>
  </w:style>
  <w:style w:type="table" w:customStyle="1" w:styleId="105">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bl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bl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bl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blPr/>
      <w:tcPr>
        <w:tcBorders>
          <w:top w:val="nil"/>
          <w:left w:val="single" w:color="A6BFDD" w:themeColor="accent1" w:themeTint="80" w:sz="4" w:space="0"/>
          <w:bottom w:val="nil"/>
          <w:right w:val="nil"/>
        </w:tcBorders>
        <w:shd w:val="clear" w:color="FFFFFF" w:fill="auto"/>
      </w:tcPr>
    </w:tblStylePr>
    <w:tblStylePr w:type="band1Vert">
      <w:tblPr/>
      <w:tcPr>
        <w:shd w:val="clear" w:color="DBE5F1" w:themeColor="accent1" w:themeTint="34" w:fill="DBE5F1" w:themeFill="accent1" w:themeFillTint="34"/>
      </w:tcPr>
    </w:tblStylePr>
    <w:tblStylePr w:type="band2Vert">
      <w:tblPr/>
    </w:tblStylePr>
    <w:tblStylePr w:type="band1Horz">
      <w:rPr>
        <w:rFonts w:ascii="Arial" w:hAnsi="Arial"/>
        <w:color w:val="A6BFDD" w:themeColor="accent1" w:themeShade="95" w:themeTint="80"/>
        <w:sz w:val="22"/>
      </w:rPr>
      <w:tbl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Pr/>
    </w:tblStylePr>
    <w:tblStylePr w:type="neCell">
      <w:tblPr/>
    </w:tblStylePr>
    <w:tblStylePr w:type="nwCell">
      <w:tblPr/>
    </w:tblStylePr>
    <w:tblStylePr w:type="seCell">
      <w:tblPr/>
    </w:tblStylePr>
    <w:tblStylePr w:type="swCell">
      <w:tblPr/>
    </w:tblStylePr>
  </w:style>
  <w:style w:type="table" w:customStyle="1" w:styleId="106">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bl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bl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bl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blPr/>
      <w:tcPr>
        <w:tcBorders>
          <w:top w:val="nil"/>
          <w:left w:val="single" w:color="D99795" w:themeColor="accent2" w:themeTint="97" w:sz="4" w:space="0"/>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2Vert">
      <w:tblPr/>
    </w:tblStylePr>
    <w:tblStylePr w:type="band1Horz">
      <w:rPr>
        <w:rFonts w:ascii="Arial" w:hAnsi="Arial"/>
        <w:color w:val="D99795" w:themeColor="accent2" w:themeShade="95" w:themeTint="97"/>
        <w:sz w:val="22"/>
      </w:rPr>
      <w:tbl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Pr/>
    </w:tblStylePr>
    <w:tblStylePr w:type="neCell">
      <w:tblPr/>
    </w:tblStylePr>
    <w:tblStylePr w:type="nwCell">
      <w:tblPr/>
    </w:tblStylePr>
    <w:tblStylePr w:type="seCell">
      <w:tblPr/>
    </w:tblStylePr>
    <w:tblStylePr w:type="swCell">
      <w:tblPr/>
    </w:tblStylePr>
  </w:style>
  <w:style w:type="table" w:customStyle="1" w:styleId="107">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bl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bl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bl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blPr/>
      <w:tcPr>
        <w:tcBorders>
          <w:top w:val="nil"/>
          <w:left w:val="single" w:color="9BBB59" w:themeColor="accent3" w:themeTint="FE" w:sz="4" w:space="0"/>
          <w:bottom w:val="nil"/>
          <w:right w:val="nil"/>
        </w:tcBorders>
        <w:shd w:val="clear" w:color="FFFFFF" w:fill="auto"/>
      </w:tcPr>
    </w:tblStylePr>
    <w:tblStylePr w:type="band1Vert">
      <w:tblPr/>
      <w:tcPr>
        <w:shd w:val="clear" w:color="EAF1DD" w:themeColor="accent3" w:themeTint="34" w:fill="EAF1DD" w:themeFill="accent3" w:themeFillTint="34"/>
      </w:tcPr>
    </w:tblStylePr>
    <w:tblStylePr w:type="band2Vert">
      <w:tblPr/>
    </w:tblStylePr>
    <w:tblStylePr w:type="band1Horz">
      <w:rPr>
        <w:rFonts w:ascii="Arial" w:hAnsi="Arial"/>
        <w:color w:val="9BBB59" w:themeColor="accent3" w:themeShade="95" w:themeTint="FE"/>
        <w:sz w:val="22"/>
      </w:rPr>
      <w:tbl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Pr/>
    </w:tblStylePr>
    <w:tblStylePr w:type="neCell">
      <w:tblPr/>
    </w:tblStylePr>
    <w:tblStylePr w:type="nwCell">
      <w:tblPr/>
    </w:tblStylePr>
    <w:tblStylePr w:type="seCell">
      <w:tblPr/>
    </w:tblStylePr>
    <w:tblStylePr w:type="swCell">
      <w:tblPr/>
    </w:tblStylePr>
  </w:style>
  <w:style w:type="table" w:customStyle="1" w:styleId="108">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bl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bl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bl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blPr/>
      <w:tcPr>
        <w:tcBorders>
          <w:top w:val="nil"/>
          <w:left w:val="single" w:color="B2A1C6" w:themeColor="accent4" w:themeTint="9A" w:sz="4" w:space="0"/>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2Vert">
      <w:tblPr/>
    </w:tblStylePr>
    <w:tblStylePr w:type="band1Horz">
      <w:rPr>
        <w:rFonts w:ascii="Arial" w:hAnsi="Arial"/>
        <w:color w:val="B2A1C6" w:themeColor="accent4" w:themeShade="95" w:themeTint="9A"/>
        <w:sz w:val="22"/>
      </w:rPr>
      <w:tbl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bl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bl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blPr/>
      <w:tcPr>
        <w:tcBorders>
          <w:top w:val="nil"/>
          <w:left w:val="single" w:color="99D0DE" w:themeColor="accent5" w:themeTint="90" w:sz="4" w:space="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2Vert">
      <w:tbl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Pr/>
    </w:tblStylePr>
    <w:tblStylePr w:type="neCell">
      <w:tblPr/>
    </w:tblStylePr>
    <w:tblStylePr w:type="nwCell">
      <w:tblPr/>
    </w:tblStylePr>
    <w:tblStylePr w:type="seCell">
      <w:tblPr/>
    </w:tblStylePr>
    <w:tblStylePr w:type="swCell">
      <w:tblPr/>
    </w:tblStylePr>
  </w:style>
  <w:style w:type="table" w:customStyle="1" w:styleId="110">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bl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bl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blPr/>
      <w:tcPr>
        <w:tcBorders>
          <w:top w:val="nil"/>
          <w:left w:val="single" w:color="FAC396" w:themeColor="accent6" w:themeTint="90" w:sz="4" w:space="0"/>
          <w:bottom w:val="nil"/>
          <w:right w:val="nil"/>
        </w:tcBorders>
        <w:shd w:val="clear" w:color="FFFFFF" w:fill="auto"/>
      </w:tcPr>
    </w:tblStylePr>
    <w:tblStylePr w:type="band1Vert">
      <w:tblPr/>
      <w:tcPr>
        <w:shd w:val="clear" w:color="FDE9D9" w:themeColor="accent6" w:themeTint="34" w:fill="FDE9D9" w:themeFill="accent6" w:themeFillTint="34"/>
      </w:tcPr>
    </w:tblStylePr>
    <w:tblStylePr w:type="band2Vert">
      <w:tblPr/>
    </w:tblStylePr>
    <w:tblStylePr w:type="band1Horz">
      <w:rPr>
        <w:rFonts w:ascii="Arial" w:hAnsi="Arial"/>
        <w:color w:val="B15407" w:themeColor="accent6" w:themeShade="95"/>
        <w:sz w:val="22"/>
      </w:rPr>
      <w:tblPr/>
      <w:tcPr>
        <w:shd w:val="clear" w:color="FDE9D9" w:themeColor="accent6" w:themeTint="34" w:fill="FDE9D9" w:themeFill="accent6" w:themeFillTint="34"/>
      </w:tcPr>
    </w:tblStylePr>
    <w:tblStylePr w:type="band2Horz">
      <w:rPr>
        <w:rFonts w:ascii="Arial" w:hAnsi="Arial"/>
        <w:color w:val="B15407" w:themeColor="accent6" w:themeShade="95"/>
        <w:sz w:val="22"/>
      </w:rPr>
      <w:tblPr/>
    </w:tblStylePr>
    <w:tblStylePr w:type="neCell">
      <w:tblPr/>
    </w:tblStylePr>
    <w:tblStylePr w:type="nwCell">
      <w:tblPr/>
    </w:tblStylePr>
    <w:tblStylePr w:type="seCell">
      <w:tblPr/>
    </w:tblStylePr>
    <w:tblStylePr w:type="swCell">
      <w:tblPr/>
    </w:tblStylePr>
  </w:style>
  <w:style w:type="table" w:customStyle="1" w:styleId="111">
    <w:name w:val="List Table 1 Light"/>
    <w:uiPriority w:val="99"/>
    <w:pPr>
      <w:spacing w:after="0" w:line="240" w:lineRule="auto"/>
    </w:pPr>
    <w:tblPr/>
    <w:tblStylePr w:type="firstRow">
      <w:rPr>
        <w:b/>
        <w:color w:val="404040"/>
      </w:rPr>
      <w:tblPr/>
      <w:tcPr>
        <w:tcBorders>
          <w:top w:val="nil"/>
          <w:left w:val="nil"/>
          <w:bottom w:val="single" w:color="000000" w:themeColor="text1" w:sz="4" w:space="0"/>
          <w:right w:val="nil"/>
        </w:tcBorders>
      </w:tcPr>
    </w:tblStylePr>
    <w:tblStylePr w:type="lastRow">
      <w:rPr>
        <w:b/>
        <w:color w:val="404040"/>
      </w:rPr>
      <w:tblPr/>
      <w:tcPr>
        <w:tcBorders>
          <w:top w:val="single" w:color="000000" w:themeColor="tex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BEBEBE" w:themeColor="text1" w:themeTint="40" w:fill="BEBEBE" w:themeFill="text1" w:themeFillTint="40"/>
      </w:tcPr>
    </w:tblStylePr>
    <w:tblStylePr w:type="band2Vert">
      <w:tblPr/>
    </w:tblStylePr>
    <w:tblStylePr w:type="band1Horz">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2">
    <w:name w:val="List Table 1 Light - Accent 1"/>
    <w:uiPriority w:val="99"/>
    <w:pPr>
      <w:spacing w:after="0" w:line="240" w:lineRule="auto"/>
    </w:pPr>
    <w:tblPr/>
    <w:tblStylePr w:type="firstRow">
      <w:rPr>
        <w:b/>
        <w:color w:val="404040"/>
      </w:rPr>
      <w:tblPr/>
      <w:tcPr>
        <w:tcBorders>
          <w:top w:val="nil"/>
          <w:left w:val="nil"/>
          <w:bottom w:val="single" w:color="4F81BD" w:themeColor="accent1" w:sz="4" w:space="0"/>
          <w:right w:val="nil"/>
        </w:tcBorders>
      </w:tcPr>
    </w:tblStylePr>
    <w:tblStylePr w:type="lastRow">
      <w:rPr>
        <w:b/>
        <w:color w:val="404040"/>
      </w:rPr>
      <w:tblPr/>
      <w:tcPr>
        <w:tcBorders>
          <w:top w:val="single" w:color="4F81BD" w:themeColor="accen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2DFEE" w:themeColor="accent1" w:themeTint="40" w:fill="D2DFEE" w:themeFill="accent1" w:themeFillTint="40"/>
      </w:tcPr>
    </w:tblStylePr>
    <w:tblStylePr w:type="band2Vert">
      <w:tblPr/>
    </w:tblStylePr>
    <w:tblStylePr w:type="band1Horz">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3">
    <w:name w:val="List Table 1 Light - Accent 2"/>
    <w:qFormat/>
    <w:uiPriority w:val="99"/>
    <w:pPr>
      <w:spacing w:after="0" w:line="240" w:lineRule="auto"/>
    </w:pPr>
    <w:tblPr/>
    <w:tblStylePr w:type="firstRow">
      <w:rPr>
        <w:b/>
        <w:color w:val="404040"/>
      </w:rPr>
      <w:tblPr/>
      <w:tcPr>
        <w:tcBorders>
          <w:top w:val="nil"/>
          <w:left w:val="nil"/>
          <w:bottom w:val="single" w:color="C0504D" w:themeColor="accent2" w:sz="4" w:space="0"/>
          <w:right w:val="nil"/>
        </w:tcBorders>
      </w:tcPr>
    </w:tblStylePr>
    <w:tblStylePr w:type="lastRow">
      <w:rPr>
        <w:b/>
        <w:color w:val="404040"/>
      </w:rPr>
      <w:tblPr/>
      <w:tcPr>
        <w:tcBorders>
          <w:top w:val="single" w:color="C0504D" w:themeColor="accent2"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EFD3D2" w:themeColor="accent2" w:themeTint="40" w:fill="EFD3D2" w:themeFill="accent2" w:themeFillTint="40"/>
      </w:tcPr>
    </w:tblStylePr>
    <w:tblStylePr w:type="band2Vert">
      <w:tblPr/>
    </w:tblStylePr>
    <w:tblStylePr w:type="band1Horz">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4">
    <w:name w:val="List Table 1 Light - Accent 3"/>
    <w:qFormat/>
    <w:uiPriority w:val="99"/>
    <w:pPr>
      <w:spacing w:after="0" w:line="240" w:lineRule="auto"/>
    </w:pPr>
    <w:tblPr/>
    <w:tblStylePr w:type="firstRow">
      <w:rPr>
        <w:b/>
        <w:color w:val="404040"/>
      </w:rPr>
      <w:tblPr/>
      <w:tcPr>
        <w:tcBorders>
          <w:top w:val="nil"/>
          <w:left w:val="nil"/>
          <w:bottom w:val="single" w:color="9BBB59" w:themeColor="accent3" w:sz="4" w:space="0"/>
          <w:right w:val="nil"/>
        </w:tcBorders>
      </w:tcPr>
    </w:tblStylePr>
    <w:tblStylePr w:type="lastRow">
      <w:rPr>
        <w:b/>
        <w:color w:val="404040"/>
      </w:rPr>
      <w:tblPr/>
      <w:tcPr>
        <w:tcBorders>
          <w:top w:val="single" w:color="9BBB59" w:themeColor="accent3"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E5EDD5" w:themeColor="accent3" w:themeTint="40" w:fill="E5EDD5" w:themeFill="accent3" w:themeFillTint="40"/>
      </w:tcPr>
    </w:tblStylePr>
    <w:tblStylePr w:type="band2Vert">
      <w:tblPr/>
    </w:tblStylePr>
    <w:tblStylePr w:type="band1Horz">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5">
    <w:name w:val="List Table 1 Light - Accent 4"/>
    <w:qFormat/>
    <w:uiPriority w:val="99"/>
    <w:pPr>
      <w:spacing w:after="0" w:line="240" w:lineRule="auto"/>
    </w:pPr>
    <w:tblPr/>
    <w:tblStylePr w:type="firstRow">
      <w:rPr>
        <w:b/>
        <w:color w:val="404040"/>
      </w:rPr>
      <w:tblPr/>
      <w:tcPr>
        <w:tcBorders>
          <w:top w:val="nil"/>
          <w:left w:val="nil"/>
          <w:bottom w:val="single" w:color="8064A2" w:themeColor="accent4" w:sz="4" w:space="0"/>
          <w:right w:val="nil"/>
        </w:tcBorders>
      </w:tcPr>
    </w:tblStylePr>
    <w:tblStylePr w:type="lastRow">
      <w:rPr>
        <w:b/>
        <w:color w:val="404040"/>
      </w:rPr>
      <w:tblPr/>
      <w:tcPr>
        <w:tcBorders>
          <w:top w:val="single" w:color="8064A2" w:themeColor="accent4"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FD8E7" w:themeColor="accent4" w:themeTint="40" w:fill="DFD8E7" w:themeFill="accent4" w:themeFillTint="40"/>
      </w:tcPr>
    </w:tblStylePr>
    <w:tblStylePr w:type="band2Vert">
      <w:tblPr/>
    </w:tblStylePr>
    <w:tblStylePr w:type="band1Horz">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6">
    <w:name w:val="List Table 1 Light - Accent 5"/>
    <w:qFormat/>
    <w:uiPriority w:val="99"/>
    <w:pPr>
      <w:spacing w:after="0" w:line="240" w:lineRule="auto"/>
    </w:pPr>
    <w:tblPr/>
    <w:tblStylePr w:type="firstRow">
      <w:rPr>
        <w:b/>
        <w:color w:val="404040"/>
      </w:rPr>
      <w:tblPr/>
      <w:tcPr>
        <w:tcBorders>
          <w:top w:val="nil"/>
          <w:left w:val="nil"/>
          <w:bottom w:val="single" w:color="4BACC6" w:themeColor="accent5" w:sz="4" w:space="0"/>
          <w:right w:val="nil"/>
        </w:tcBorders>
      </w:tcPr>
    </w:tblStylePr>
    <w:tblStylePr w:type="lastRow">
      <w:rPr>
        <w:b/>
        <w:color w:val="404040"/>
      </w:rPr>
      <w:tblPr/>
      <w:tcPr>
        <w:tcBorders>
          <w:top w:val="single" w:color="4BACC6" w:themeColor="accent5"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1EAF0" w:themeColor="accent5" w:themeTint="40" w:fill="D1EAF0" w:themeFill="accent5" w:themeFillTint="40"/>
      </w:tcPr>
    </w:tblStylePr>
    <w:tblStylePr w:type="band2Vert">
      <w:tblPr/>
    </w:tblStylePr>
    <w:tblStylePr w:type="band1Horz">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7">
    <w:name w:val="List Table 1 Light - Accent 6"/>
    <w:qFormat/>
    <w:uiPriority w:val="99"/>
    <w:pPr>
      <w:spacing w:after="0" w:line="240" w:lineRule="auto"/>
    </w:pPr>
    <w:tblPr/>
    <w:tblStylePr w:type="firstRow">
      <w:rPr>
        <w:b/>
        <w:color w:val="404040"/>
      </w:rPr>
      <w:tblPr/>
      <w:tcPr>
        <w:tcBorders>
          <w:top w:val="nil"/>
          <w:left w:val="nil"/>
          <w:bottom w:val="single" w:color="F79646" w:themeColor="accent6" w:sz="4" w:space="0"/>
          <w:right w:val="nil"/>
        </w:tcBorders>
      </w:tcPr>
    </w:tblStylePr>
    <w:tblStylePr w:type="lastRow">
      <w:rPr>
        <w:b/>
        <w:color w:val="404040"/>
      </w:rPr>
      <w:tblPr/>
      <w:tcPr>
        <w:tcBorders>
          <w:top w:val="single" w:color="F79646" w:themeColor="accent6"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FCE4D0" w:themeColor="accent6" w:themeTint="40" w:fill="FCE4D0" w:themeFill="accent6" w:themeFillTint="40"/>
      </w:tcPr>
    </w:tblStylePr>
    <w:tblStylePr w:type="band2Vert">
      <w:tblPr/>
    </w:tblStylePr>
    <w:tblStylePr w:type="band1Horz">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19">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bl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bl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2DFEE" w:themeColor="accent1" w:themeTint="40" w:fill="D2DFEE" w:themeFill="accent1" w:themeFillTint="40"/>
      </w:tcPr>
    </w:tblStylePr>
    <w:tblStylePr w:type="band2Vert">
      <w:tblPr/>
    </w:tblStylePr>
    <w:tblStylePr w:type="band1Horz">
      <w:rPr>
        <w:rFonts w:ascii="Arial" w:hAnsi="Arial"/>
        <w:color w:val="404040"/>
        <w:sz w:val="22"/>
      </w:rPr>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bl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bl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FD3D2" w:themeColor="accent2" w:themeTint="40" w:fill="EFD3D2" w:themeFill="accent2" w:themeFillTint="40"/>
      </w:tcPr>
    </w:tblStylePr>
    <w:tblStylePr w:type="band2Vert">
      <w:tblPr/>
    </w:tblStylePr>
    <w:tblStylePr w:type="band1Horz">
      <w:rPr>
        <w:rFonts w:ascii="Arial" w:hAnsi="Arial"/>
        <w:color w:val="404040"/>
        <w:sz w:val="22"/>
      </w:rPr>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bl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bl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5EDD5" w:themeColor="accent3" w:themeTint="40" w:fill="E5EDD5" w:themeFill="accent3" w:themeFillTint="40"/>
      </w:tcPr>
    </w:tblStylePr>
    <w:tblStylePr w:type="band2Vert">
      <w:tblPr/>
    </w:tblStylePr>
    <w:tblStylePr w:type="band1Horz">
      <w:rPr>
        <w:rFonts w:ascii="Arial" w:hAnsi="Arial"/>
        <w:color w:val="404040"/>
        <w:sz w:val="22"/>
      </w:rPr>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bl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bl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FD8E7" w:themeColor="accent4" w:themeTint="40" w:fill="DFD8E7" w:themeFill="accent4" w:themeFillTint="40"/>
      </w:tcPr>
    </w:tblStylePr>
    <w:tblStylePr w:type="band2Vert">
      <w:tblPr/>
    </w:tblStylePr>
    <w:tblStylePr w:type="band1Horz">
      <w:rPr>
        <w:rFonts w:ascii="Arial" w:hAnsi="Arial"/>
        <w:color w:val="404040"/>
        <w:sz w:val="22"/>
      </w:rPr>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bl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bl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1EAF0" w:themeColor="accent5" w:themeTint="40" w:fill="D1EAF0" w:themeFill="accent5" w:themeFillTint="40"/>
      </w:tcPr>
    </w:tblStylePr>
    <w:tblStylePr w:type="band2Vert">
      <w:tblPr/>
    </w:tblStylePr>
    <w:tblStylePr w:type="band1Horz">
      <w:rPr>
        <w:rFonts w:ascii="Arial" w:hAnsi="Arial"/>
        <w:color w:val="404040"/>
        <w:sz w:val="22"/>
      </w:rPr>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bl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bl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FCE4D0" w:themeColor="accent6" w:themeTint="40" w:fill="FCE4D0" w:themeFill="accent6" w:themeFillTint="40"/>
      </w:tcPr>
    </w:tblStylePr>
    <w:tblStylePr w:type="band2Vert">
      <w:tblPr/>
    </w:tblStylePr>
    <w:tblStylePr w:type="band1Horz">
      <w:rPr>
        <w:rFonts w:ascii="Arial" w:hAnsi="Arial"/>
        <w:color w:val="404040"/>
        <w:sz w:val="22"/>
      </w:rPr>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5">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2Vert">
      <w:tbl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4F81BD" w:themeColor="accent1" w:sz="4" w:space="0"/>
          <w:right w:val="single" w:color="4F81BD" w:themeColor="accent1" w:sz="4" w:space="0"/>
        </w:tcBorders>
      </w:tcPr>
    </w:tblStylePr>
    <w:tblStylePr w:type="band2Vert">
      <w:tblPr/>
    </w:tblStylePr>
    <w:tblStylePr w:type="band1Horz">
      <w:rPr>
        <w:rFonts w:ascii="Arial" w:hAnsi="Arial"/>
        <w:color w:val="404040"/>
        <w:sz w:val="22"/>
      </w:rPr>
      <w:tblPr/>
      <w:tcPr>
        <w:tcBorders>
          <w:top w:val="single" w:color="4F81BD" w:themeColor="accent1" w:sz="4" w:space="0"/>
          <w:bottom w:val="single" w:color="4F81BD" w:themeColor="accen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blPr/>
      <w:tcPr>
        <w:shd w:val="clear" w:color="D99795" w:themeColor="accent2" w:themeTint="97" w:fill="D99795" w:themeFill="accent2" w:themeFillTint="97"/>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D99795" w:themeColor="accent2" w:themeTint="97" w:sz="4" w:space="0"/>
          <w:right w:val="single" w:color="D99795" w:themeColor="accent2" w:themeTint="97" w:sz="4" w:space="0"/>
        </w:tcBorders>
      </w:tcPr>
    </w:tblStylePr>
    <w:tblStylePr w:type="band2Vert">
      <w:tblPr/>
    </w:tblStylePr>
    <w:tblStylePr w:type="band1Horz">
      <w:rPr>
        <w:rFonts w:ascii="Arial" w:hAnsi="Arial"/>
        <w:color w:val="404040"/>
        <w:sz w:val="22"/>
      </w:rPr>
      <w:tblPr/>
      <w:tcPr>
        <w:tcBorders>
          <w:top w:val="single" w:color="D99795" w:themeColor="accent2" w:themeTint="97" w:sz="4" w:space="0"/>
          <w:bottom w:val="single" w:color="D99795" w:themeColor="accent2" w:themeTint="9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8">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blPr/>
      <w:tcPr>
        <w:shd w:val="clear" w:color="C3D69C" w:themeColor="accent3" w:themeTint="98" w:fill="C3D69C" w:themeFill="accent3"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C3D69C" w:themeColor="accent3" w:themeTint="98" w:sz="4" w:space="0"/>
          <w:right w:val="single" w:color="C3D69C" w:themeColor="accent3" w:themeTint="98" w:sz="4" w:space="0"/>
        </w:tcBorders>
      </w:tcPr>
    </w:tblStylePr>
    <w:tblStylePr w:type="band2Vert">
      <w:tblPr/>
    </w:tblStylePr>
    <w:tblStylePr w:type="band1Horz">
      <w:rPr>
        <w:rFonts w:ascii="Arial" w:hAnsi="Arial"/>
        <w:color w:val="404040"/>
        <w:sz w:val="22"/>
      </w:rPr>
      <w:tblPr/>
      <w:tcPr>
        <w:tcBorders>
          <w:top w:val="single" w:color="C3D69C" w:themeColor="accent3" w:themeTint="98" w:sz="4" w:space="0"/>
          <w:bottom w:val="single" w:color="C3D69C" w:themeColor="accent3"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B2A1C6" w:themeColor="accent4" w:themeTint="9A" w:sz="4" w:space="0"/>
          <w:right w:val="single" w:color="B2A1C6" w:themeColor="accent4" w:themeTint="9A" w:sz="4" w:space="0"/>
        </w:tcBorders>
      </w:tcPr>
    </w:tblStylePr>
    <w:tblStylePr w:type="band2Vert">
      <w:tblPr/>
    </w:tblStylePr>
    <w:tblStylePr w:type="band1Horz">
      <w:rPr>
        <w:rFonts w:ascii="Arial" w:hAnsi="Arial"/>
        <w:color w:val="404040"/>
        <w:sz w:val="22"/>
      </w:rPr>
      <w:tblPr/>
      <w:tcPr>
        <w:tcBorders>
          <w:top w:val="single" w:color="B2A1C6" w:themeColor="accent4" w:themeTint="9A" w:sz="4" w:space="0"/>
          <w:bottom w:val="single" w:color="B2A1C6" w:themeColor="accent4"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92CCDC" w:themeColor="accent5" w:themeTint="9A" w:sz="4" w:space="0"/>
          <w:right w:val="single" w:color="92CCDC" w:themeColor="accent5" w:themeTint="9A" w:sz="4" w:space="0"/>
        </w:tcBorders>
      </w:tcPr>
    </w:tblStylePr>
    <w:tblStylePr w:type="band2Vert">
      <w:tblPr/>
    </w:tblStylePr>
    <w:tblStylePr w:type="band1Horz">
      <w:rPr>
        <w:rFonts w:ascii="Arial" w:hAnsi="Arial"/>
        <w:color w:val="404040"/>
        <w:sz w:val="22"/>
      </w:rPr>
      <w:tblPr/>
      <w:tcPr>
        <w:tcBorders>
          <w:top w:val="single" w:color="92CCDC" w:themeColor="accent5" w:themeTint="9A" w:sz="4" w:space="0"/>
          <w:bottom w:val="single" w:color="92CCDC" w:themeColor="accent5"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FAC090" w:themeColor="accent6" w:themeTint="98" w:sz="4" w:space="0"/>
          <w:right w:val="single" w:color="FAC090" w:themeColor="accent6" w:themeTint="98" w:sz="4" w:space="0"/>
        </w:tcBorders>
      </w:tcPr>
    </w:tblStylePr>
    <w:tblStylePr w:type="band2Vert">
      <w:tblPr/>
    </w:tblStylePr>
    <w:tblStylePr w:type="band1Horz">
      <w:rPr>
        <w:rFonts w:ascii="Arial" w:hAnsi="Arial"/>
        <w:color w:val="404040"/>
        <w:sz w:val="22"/>
      </w:rPr>
      <w:tblPr/>
      <w:tcPr>
        <w:tcBorders>
          <w:top w:val="single" w:color="FAC090" w:themeColor="accent6" w:themeTint="98" w:sz="4" w:space="0"/>
          <w:bottom w:val="single" w:color="FAC090" w:themeColor="accent6"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3">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2DFEE" w:themeColor="accent1" w:themeTint="40" w:fill="D2DFEE" w:themeFill="accent1" w:themeFillTint="40"/>
      </w:tcPr>
    </w:tblStylePr>
    <w:tblStylePr w:type="band2Vert">
      <w:tblPr/>
    </w:tblStylePr>
    <w:tblStylePr w:type="band1Horz">
      <w:rPr>
        <w:rFonts w:ascii="Arial" w:hAnsi="Arial"/>
        <w:color w:val="404040"/>
        <w:sz w:val="22"/>
      </w:rPr>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4">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FD3D2" w:themeColor="accent2" w:themeTint="40" w:fill="EFD3D2" w:themeFill="accent2" w:themeFillTint="40"/>
      </w:tcPr>
    </w:tblStylePr>
    <w:tblStylePr w:type="band2Vert">
      <w:tblPr/>
    </w:tblStylePr>
    <w:tblStylePr w:type="band1Horz">
      <w:rPr>
        <w:rFonts w:ascii="Arial" w:hAnsi="Arial"/>
        <w:color w:val="404040"/>
        <w:sz w:val="22"/>
      </w:rPr>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EDD5" w:themeColor="accent3" w:themeTint="40" w:fill="E5EDD5" w:themeFill="accent3" w:themeFillTint="40"/>
      </w:tcPr>
    </w:tblStylePr>
    <w:tblStylePr w:type="band2Vert">
      <w:tblPr/>
    </w:tblStylePr>
    <w:tblStylePr w:type="band1Horz">
      <w:rPr>
        <w:rFonts w:ascii="Arial" w:hAnsi="Arial"/>
        <w:color w:val="404040"/>
        <w:sz w:val="22"/>
      </w:rPr>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FD8E7" w:themeColor="accent4" w:themeTint="40" w:fill="DFD8E7" w:themeFill="accent4" w:themeFillTint="40"/>
      </w:tcPr>
    </w:tblStylePr>
    <w:tblStylePr w:type="band2Vert">
      <w:tblPr/>
    </w:tblStylePr>
    <w:tblStylePr w:type="band1Horz">
      <w:rPr>
        <w:rFonts w:ascii="Arial" w:hAnsi="Arial"/>
        <w:color w:val="404040"/>
        <w:sz w:val="22"/>
      </w:rPr>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7">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1EAF0" w:themeColor="accent5" w:themeTint="40" w:fill="D1EAF0" w:themeFill="accent5" w:themeFillTint="40"/>
      </w:tcPr>
    </w:tblStylePr>
    <w:tblStylePr w:type="band2Vert">
      <w:tblPr/>
    </w:tblStylePr>
    <w:tblStylePr w:type="band1Horz">
      <w:rPr>
        <w:rFonts w:ascii="Arial" w:hAnsi="Arial"/>
        <w:color w:val="404040"/>
        <w:sz w:val="22"/>
      </w:rPr>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8">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CE4D0" w:themeColor="accent6" w:themeTint="40" w:fill="FCE4D0" w:themeFill="accent6" w:themeFillTint="40"/>
      </w:tcPr>
    </w:tblStylePr>
    <w:tblStylePr w:type="band2Vert">
      <w:tblPr/>
    </w:tblStylePr>
    <w:tblStylePr w:type="band1Horz">
      <w:rPr>
        <w:rFonts w:ascii="Arial" w:hAnsi="Arial"/>
        <w:color w:val="404040"/>
        <w:sz w:val="22"/>
      </w:rPr>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bl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7E7E7E" w:themeColor="text1" w:themeTint="80" w:sz="32" w:space="0"/>
          <w:right w:val="single" w:color="FFFFFF" w:themeColor="light1" w:sz="4" w:space="0"/>
        </w:tcBorders>
      </w:tcPr>
    </w:tblStylePr>
    <w:tblStylePr w:type="lastCol">
      <w:tblPr/>
      <w:tcPr>
        <w:tcBorders>
          <w:left w:val="single" w:color="FFFFFF" w:themeColor="light1" w:sz="4" w:space="0"/>
          <w:right w:val="single" w:color="7E7E7E"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Pr/>
    </w:tblStylePr>
    <w:tblStylePr w:type="nwCell">
      <w:tblPr/>
    </w:tblStylePr>
    <w:tblStylePr w:type="seCell">
      <w:tblPr/>
    </w:tblStylePr>
    <w:tblStylePr w:type="swCell">
      <w:tbl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bl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themeColor="accent1"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themeColor="accent1" w:fill="4F81BD" w:themeFill="accent1"/>
      </w:tcPr>
    </w:tblStylePr>
    <w:tblStylePr w:type="band2Horz">
      <w:tblPr/>
      <w:tcPr>
        <w:tcBorders>
          <w:top w:val="single" w:color="FFFFFF" w:themeColor="light1" w:sz="4" w:space="0"/>
          <w:bottom w:val="single" w:color="FFFFFF" w:themeColor="light1" w:sz="4" w:space="0"/>
        </w:tcBorders>
        <w:shd w:val="clear" w:color="4F81BD" w:themeColor="accent1" w:fill="4F81BD" w:themeFill="accent1"/>
      </w:tcPr>
    </w:tblStylePr>
    <w:tblStylePr w:type="neCell">
      <w:tblPr/>
    </w:tblStylePr>
    <w:tblStylePr w:type="nwCell">
      <w:tblPr/>
    </w:tblStylePr>
    <w:tblStylePr w:type="seCell">
      <w:tblPr/>
    </w:tblStylePr>
    <w:tblStylePr w:type="swCell">
      <w:tbl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bl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D99795" w:themeColor="accent2" w:themeTint="97" w:sz="32" w:space="0"/>
          <w:right w:val="single" w:color="FFFFFF" w:themeColor="light1" w:sz="4" w:space="0"/>
        </w:tcBorders>
      </w:tcPr>
    </w:tblStylePr>
    <w:tblStylePr w:type="lastCol">
      <w:tblPr/>
      <w:tcPr>
        <w:tcBorders>
          <w:left w:val="single" w:color="FFFFFF" w:themeColor="light1" w:sz="4" w:space="0"/>
          <w:right w:val="single" w:color="D9979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blPr/>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Pr/>
    </w:tblStylePr>
    <w:tblStylePr w:type="nwCell">
      <w:tblPr/>
    </w:tblStylePr>
    <w:tblStylePr w:type="seCell">
      <w:tblPr/>
    </w:tblStylePr>
    <w:tblStylePr w:type="swCell">
      <w:tblPr/>
    </w:tblStylePr>
  </w:style>
  <w:style w:type="table" w:customStyle="1" w:styleId="142">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bl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C3D69C" w:themeColor="accent3" w:themeTint="98" w:sz="32" w:space="0"/>
          <w:right w:val="single" w:color="FFFFFF" w:themeColor="light1" w:sz="4" w:space="0"/>
        </w:tcBorders>
      </w:tcPr>
    </w:tblStylePr>
    <w:tblStylePr w:type="lastCol">
      <w:tblPr/>
      <w:tcPr>
        <w:tcBorders>
          <w:left w:val="single" w:color="FFFFFF" w:themeColor="light1" w:sz="4" w:space="0"/>
          <w:right w:val="single" w:color="C3D69C"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blPr/>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Pr/>
    </w:tblStylePr>
    <w:tblStylePr w:type="nwCell">
      <w:tblPr/>
    </w:tblStylePr>
    <w:tblStylePr w:type="seCell">
      <w:tblPr/>
    </w:tblStylePr>
    <w:tblStylePr w:type="swCell">
      <w:tbl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bl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B2A1C6" w:themeColor="accent4" w:themeTint="9A" w:sz="32" w:space="0"/>
          <w:right w:val="single" w:color="FFFFFF" w:themeColor="light1" w:sz="4" w:space="0"/>
        </w:tcBorders>
      </w:tcPr>
    </w:tblStylePr>
    <w:tblStylePr w:type="lastCol">
      <w:tblPr/>
      <w:tcPr>
        <w:tcBorders>
          <w:left w:val="single" w:color="FFFFFF" w:themeColor="light1" w:sz="4" w:space="0"/>
          <w:right w:val="single" w:color="B2A1C6"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Pr/>
    </w:tblStylePr>
    <w:tblStylePr w:type="nwCell">
      <w:tblPr/>
    </w:tblStylePr>
    <w:tblStylePr w:type="seCell">
      <w:tblPr/>
    </w:tblStylePr>
    <w:tblStylePr w:type="swCell">
      <w:tbl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bl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92CCDC" w:themeColor="accent5" w:themeTint="9A" w:sz="32" w:space="0"/>
          <w:right w:val="single" w:color="FFFFFF" w:themeColor="light1" w:sz="4" w:space="0"/>
        </w:tcBorders>
      </w:tcPr>
    </w:tblStylePr>
    <w:tblStylePr w:type="lastCol">
      <w:tblPr/>
      <w:tcPr>
        <w:tcBorders>
          <w:left w:val="single" w:color="FFFFFF" w:themeColor="light1" w:sz="4" w:space="0"/>
          <w:right w:val="single" w:color="92CCDC"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Pr/>
    </w:tblStylePr>
    <w:tblStylePr w:type="nwCell">
      <w:tblPr/>
    </w:tblStylePr>
    <w:tblStylePr w:type="seCell">
      <w:tblPr/>
    </w:tblStylePr>
    <w:tblStylePr w:type="swCell">
      <w:tbl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bl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Pr/>
    </w:tblStylePr>
    <w:tblStylePr w:type="firstCol">
      <w:rPr>
        <w:rFonts w:ascii="Arial" w:hAnsi="Arial"/>
        <w:b/>
        <w:color w:val="FFFFFF" w:themeColor="light1"/>
        <w:sz w:val="22"/>
      </w:rPr>
      <w:tblPr/>
      <w:tcPr>
        <w:tcBorders>
          <w:left w:val="single" w:color="FAC090" w:themeColor="accent6" w:themeTint="98" w:sz="32" w:space="0"/>
          <w:right w:val="single" w:color="FFFFFF" w:themeColor="light1" w:sz="4" w:space="0"/>
        </w:tcBorders>
      </w:tcPr>
    </w:tblStylePr>
    <w:tblStylePr w:type="lastCol">
      <w:tblPr/>
      <w:tcPr>
        <w:tcBorders>
          <w:left w:val="single" w:color="FFFFFF" w:themeColor="light1" w:sz="4" w:space="0"/>
          <w:right w:val="single" w:color="FAC090"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Pr/>
    </w:tblStylePr>
    <w:tblStylePr w:type="nwCell">
      <w:tblPr/>
    </w:tblStylePr>
    <w:tblStylePr w:type="seCell">
      <w:tblPr/>
    </w:tblStylePr>
    <w:tblStylePr w:type="swCell">
      <w:tbl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blPr/>
      <w:tcPr>
        <w:tcBorders>
          <w:bottom w:val="single" w:color="7E7E7E" w:themeColor="text1" w:themeTint="80" w:sz="4" w:space="0"/>
        </w:tcBorders>
      </w:tcPr>
    </w:tblStylePr>
    <w:tblStylePr w:type="lastRow">
      <w:rPr>
        <w:b/>
        <w:color w:val="000000" w:themeColor="text1"/>
      </w:rPr>
      <w:tblPr/>
      <w:tcPr>
        <w:tcBorders>
          <w:top w:val="single" w:color="7E7E7E" w:themeColor="text1" w:themeTint="80" w:sz="4" w:space="0"/>
        </w:tcBorders>
      </w:tcPr>
    </w:tblStylePr>
    <w:tblStylePr w:type="firstCol">
      <w:rPr>
        <w:b/>
        <w:color w:val="000000" w:themeColor="text1"/>
      </w:rPr>
      <w:tblPr/>
    </w:tblStylePr>
    <w:tblStylePr w:type="lastCol">
      <w:rPr>
        <w:b/>
        <w:color w:val="000000" w:themeColor="text1"/>
      </w:rPr>
      <w:tbl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000000" w:themeColor="text1"/>
        <w:sz w:val="22"/>
      </w:rPr>
      <w:tblPr/>
      <w:tcPr>
        <w:shd w:val="clear" w:color="BEBEBE" w:themeColor="text1" w:themeTint="40" w:fill="BEBEBE" w:themeFill="text1" w:themeFillTint="40"/>
      </w:tcPr>
    </w:tblStylePr>
    <w:tblStylePr w:type="band2Horz">
      <w:rPr>
        <w:rFonts w:ascii="Arial" w:hAnsi="Arial"/>
        <w:color w:val="000000" w:themeColor="text1"/>
        <w:sz w:val="22"/>
      </w:rPr>
      <w:tblPr/>
    </w:tblStylePr>
    <w:tblStylePr w:type="neCell">
      <w:tblPr/>
    </w:tblStylePr>
    <w:tblStylePr w:type="nwCell">
      <w:tblPr/>
    </w:tblStylePr>
    <w:tblStylePr w:type="seCell">
      <w:tblPr/>
    </w:tblStylePr>
    <w:tblStylePr w:type="swCell">
      <w:tbl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blPr/>
      <w:tcPr>
        <w:tcBorders>
          <w:bottom w:val="single" w:color="4F81BD" w:themeColor="accent1" w:sz="4" w:space="0"/>
        </w:tcBorders>
      </w:tcPr>
    </w:tblStylePr>
    <w:tblStylePr w:type="lastRow">
      <w:rPr>
        <w:b/>
        <w:color w:val="2A4B71" w:themeColor="accent1" w:themeShade="95"/>
      </w:rPr>
      <w:tblPr/>
      <w:tcPr>
        <w:tcBorders>
          <w:top w:val="single" w:color="4F81BD" w:themeColor="accent1" w:sz="4" w:space="0"/>
        </w:tcBorders>
      </w:tcPr>
    </w:tblStylePr>
    <w:tblStylePr w:type="firstCol">
      <w:rPr>
        <w:b/>
        <w:color w:val="2A4B71" w:themeColor="accent1" w:themeShade="95"/>
      </w:rPr>
      <w:tblPr/>
    </w:tblStylePr>
    <w:tblStylePr w:type="lastCol">
      <w:rPr>
        <w:b/>
        <w:color w:val="2A4B71" w:themeColor="accent1" w:themeShade="95"/>
      </w:rPr>
      <w:tblPr/>
    </w:tblStylePr>
    <w:tblStylePr w:type="band1Vert">
      <w:tblPr/>
      <w:tcPr>
        <w:shd w:val="clear" w:color="D2DFEE" w:themeColor="accent1" w:themeTint="40" w:fill="D2DFEE" w:themeFill="accent1" w:themeFillTint="40"/>
      </w:tcPr>
    </w:tblStylePr>
    <w:tblStylePr w:type="band2Vert">
      <w:tblPr/>
    </w:tblStylePr>
    <w:tblStylePr w:type="band1Horz">
      <w:rPr>
        <w:rFonts w:ascii="Arial" w:hAnsi="Arial"/>
        <w:color w:val="2A4B71" w:themeColor="accent1" w:themeShade="95"/>
        <w:sz w:val="22"/>
      </w:rPr>
      <w:tblPr/>
      <w:tcPr>
        <w:shd w:val="clear" w:color="D2DFEE" w:themeColor="accent1" w:themeTint="40" w:fill="D2DFEE" w:themeFill="accent1" w:themeFillTint="40"/>
      </w:tcPr>
    </w:tblStylePr>
    <w:tblStylePr w:type="band2Horz">
      <w:rPr>
        <w:rFonts w:ascii="Arial" w:hAnsi="Arial"/>
        <w:color w:val="2A4B71" w:themeColor="accent1" w:themeShade="95"/>
        <w:sz w:val="22"/>
      </w:rPr>
      <w:tblPr/>
    </w:tblStylePr>
    <w:tblStylePr w:type="neCell">
      <w:tblPr/>
    </w:tblStylePr>
    <w:tblStylePr w:type="nwCell">
      <w:tblPr/>
    </w:tblStylePr>
    <w:tblStylePr w:type="seCell">
      <w:tblPr/>
    </w:tblStylePr>
    <w:tblStylePr w:type="swCell">
      <w:tbl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blPr/>
      <w:tcPr>
        <w:tcBorders>
          <w:bottom w:val="single" w:color="D99795" w:themeColor="accent2" w:themeTint="97" w:sz="4" w:space="0"/>
        </w:tcBorders>
      </w:tcPr>
    </w:tblStylePr>
    <w:tblStylePr w:type="lastRow">
      <w:rPr>
        <w:b/>
        <w:color w:val="D99795" w:themeColor="accent2" w:themeShade="95" w:themeTint="97"/>
      </w:rPr>
      <w:tblPr/>
      <w:tcPr>
        <w:tcBorders>
          <w:top w:val="single" w:color="D99795" w:themeColor="accent2" w:themeTint="97" w:sz="4" w:space="0"/>
        </w:tcBorders>
      </w:tcPr>
    </w:tblStylePr>
    <w:tblStylePr w:type="firstCol">
      <w:rPr>
        <w:b/>
        <w:color w:val="D99795" w:themeColor="accent2" w:themeShade="95" w:themeTint="97"/>
      </w:rPr>
      <w:tblPr/>
    </w:tblStylePr>
    <w:tblStylePr w:type="lastCol">
      <w:rPr>
        <w:b/>
        <w:color w:val="D99795" w:themeColor="accent2" w:themeShade="95" w:themeTint="97"/>
      </w:rPr>
      <w:tblPr/>
    </w:tblStylePr>
    <w:tblStylePr w:type="band1Vert">
      <w:tblPr/>
      <w:tcPr>
        <w:shd w:val="clear" w:color="EFD3D2" w:themeColor="accent2" w:themeTint="40" w:fill="EFD3D2" w:themeFill="accent2" w:themeFillTint="40"/>
      </w:tcPr>
    </w:tblStylePr>
    <w:tblStylePr w:type="band2Vert">
      <w:tblPr/>
    </w:tblStylePr>
    <w:tblStylePr w:type="band1Horz">
      <w:rPr>
        <w:rFonts w:ascii="Arial" w:hAnsi="Arial"/>
        <w:color w:val="D99795" w:themeColor="accent2" w:themeShade="95" w:themeTint="97"/>
        <w:sz w:val="22"/>
      </w:rPr>
      <w:tbl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Pr/>
    </w:tblStylePr>
    <w:tblStylePr w:type="neCell">
      <w:tblPr/>
    </w:tblStylePr>
    <w:tblStylePr w:type="nwCell">
      <w:tblPr/>
    </w:tblStylePr>
    <w:tblStylePr w:type="seCell">
      <w:tblPr/>
    </w:tblStylePr>
    <w:tblStylePr w:type="swCell">
      <w:tbl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blPr/>
      <w:tcPr>
        <w:tcBorders>
          <w:bottom w:val="single" w:color="C3D69C" w:themeColor="accent3" w:themeTint="98" w:sz="4" w:space="0"/>
        </w:tcBorders>
      </w:tcPr>
    </w:tblStylePr>
    <w:tblStylePr w:type="lastRow">
      <w:rPr>
        <w:b/>
        <w:color w:val="C3D69C" w:themeColor="accent3" w:themeShade="95" w:themeTint="98"/>
      </w:rPr>
      <w:tblPr/>
      <w:tcPr>
        <w:tcBorders>
          <w:top w:val="single" w:color="C3D69C" w:themeColor="accent3" w:themeTint="98" w:sz="4" w:space="0"/>
        </w:tcBorders>
      </w:tcPr>
    </w:tblStylePr>
    <w:tblStylePr w:type="firstCol">
      <w:rPr>
        <w:b/>
        <w:color w:val="C3D69C" w:themeColor="accent3" w:themeShade="95" w:themeTint="98"/>
      </w:rPr>
      <w:tblPr/>
    </w:tblStylePr>
    <w:tblStylePr w:type="lastCol">
      <w:rPr>
        <w:b/>
        <w:color w:val="C3D69C" w:themeColor="accent3" w:themeShade="95" w:themeTint="98"/>
      </w:rPr>
      <w:tblPr/>
    </w:tblStylePr>
    <w:tblStylePr w:type="band1Vert">
      <w:tblPr/>
      <w:tcPr>
        <w:shd w:val="clear" w:color="E5EDD5" w:themeColor="accent3" w:themeTint="40" w:fill="E5EDD5" w:themeFill="accent3" w:themeFillTint="40"/>
      </w:tcPr>
    </w:tblStylePr>
    <w:tblStylePr w:type="band2Vert">
      <w:tblPr/>
    </w:tblStylePr>
    <w:tblStylePr w:type="band1Horz">
      <w:rPr>
        <w:rFonts w:ascii="Arial" w:hAnsi="Arial"/>
        <w:color w:val="C3D69C" w:themeColor="accent3" w:themeShade="95" w:themeTint="98"/>
        <w:sz w:val="22"/>
      </w:rPr>
      <w:tbl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Pr/>
    </w:tblStylePr>
    <w:tblStylePr w:type="neCell">
      <w:tblPr/>
    </w:tblStylePr>
    <w:tblStylePr w:type="nwCell">
      <w:tblPr/>
    </w:tblStylePr>
    <w:tblStylePr w:type="seCell">
      <w:tblPr/>
    </w:tblStylePr>
    <w:tblStylePr w:type="swCell">
      <w:tbl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blPr/>
      <w:tcPr>
        <w:tcBorders>
          <w:bottom w:val="single" w:color="B2A1C6" w:themeColor="accent4" w:themeTint="9A" w:sz="4" w:space="0"/>
        </w:tcBorders>
      </w:tcPr>
    </w:tblStylePr>
    <w:tblStylePr w:type="lastRow">
      <w:rPr>
        <w:b/>
        <w:color w:val="B2A1C6" w:themeColor="accent4" w:themeShade="95" w:themeTint="9A"/>
      </w:rPr>
      <w:tblPr/>
      <w:tcPr>
        <w:tcBorders>
          <w:top w:val="single" w:color="B2A1C6" w:themeColor="accent4" w:themeTint="9A" w:sz="4" w:space="0"/>
        </w:tcBorders>
      </w:tcPr>
    </w:tblStylePr>
    <w:tblStylePr w:type="firstCol">
      <w:rPr>
        <w:b/>
        <w:color w:val="B2A1C6" w:themeColor="accent4" w:themeShade="95" w:themeTint="9A"/>
      </w:rPr>
      <w:tblPr/>
    </w:tblStylePr>
    <w:tblStylePr w:type="lastCol">
      <w:rPr>
        <w:b/>
        <w:color w:val="B2A1C6" w:themeColor="accent4" w:themeShade="95" w:themeTint="9A"/>
      </w:rPr>
      <w:tblPr/>
    </w:tblStylePr>
    <w:tblStylePr w:type="band1Vert">
      <w:tblPr/>
      <w:tcPr>
        <w:shd w:val="clear" w:color="DFD8E7" w:themeColor="accent4" w:themeTint="40" w:fill="DFD8E7" w:themeFill="accent4" w:themeFillTint="40"/>
      </w:tcPr>
    </w:tblStylePr>
    <w:tblStylePr w:type="band2Vert">
      <w:tblPr/>
    </w:tblStylePr>
    <w:tblStylePr w:type="band1Horz">
      <w:rPr>
        <w:rFonts w:ascii="Arial" w:hAnsi="Arial"/>
        <w:color w:val="B2A1C6" w:themeColor="accent4" w:themeShade="95" w:themeTint="9A"/>
        <w:sz w:val="22"/>
      </w:rPr>
      <w:tbl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blPr/>
      <w:tcPr>
        <w:tcBorders>
          <w:bottom w:val="single" w:color="92CCDC" w:themeColor="accent5" w:themeTint="9A" w:sz="4" w:space="0"/>
        </w:tcBorders>
      </w:tcPr>
    </w:tblStylePr>
    <w:tblStylePr w:type="lastRow">
      <w:rPr>
        <w:b/>
        <w:color w:val="92CCDC" w:themeColor="accent5" w:themeShade="95" w:themeTint="9A"/>
      </w:rPr>
      <w:tblPr/>
      <w:tcPr>
        <w:tcBorders>
          <w:top w:val="single" w:color="92CCDC" w:themeColor="accent5" w:themeTint="9A" w:sz="4" w:space="0"/>
        </w:tcBorders>
      </w:tcPr>
    </w:tblStylePr>
    <w:tblStylePr w:type="firstCol">
      <w:rPr>
        <w:b/>
        <w:color w:val="92CCDC" w:themeColor="accent5" w:themeShade="95" w:themeTint="9A"/>
      </w:rPr>
      <w:tblPr/>
    </w:tblStylePr>
    <w:tblStylePr w:type="lastCol">
      <w:rPr>
        <w:b/>
        <w:color w:val="92CCDC" w:themeColor="accent5" w:themeShade="95" w:themeTint="9A"/>
      </w:rPr>
      <w:tblPr/>
    </w:tblStylePr>
    <w:tblStylePr w:type="band1Vert">
      <w:tblPr/>
      <w:tcPr>
        <w:shd w:val="clear" w:color="D1EAF0" w:themeColor="accent5" w:themeTint="40" w:fill="D1EAF0" w:themeFill="accent5" w:themeFillTint="40"/>
      </w:tcPr>
    </w:tblStylePr>
    <w:tblStylePr w:type="band2Vert">
      <w:tblPr/>
    </w:tblStylePr>
    <w:tblStylePr w:type="band1Horz">
      <w:rPr>
        <w:rFonts w:ascii="Arial" w:hAnsi="Arial"/>
        <w:color w:val="92CCDC" w:themeColor="accent5" w:themeShade="95" w:themeTint="9A"/>
        <w:sz w:val="22"/>
      </w:rPr>
      <w:tbl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blPr/>
      <w:tcPr>
        <w:tcBorders>
          <w:bottom w:val="single" w:color="FAC090" w:themeColor="accent6" w:themeTint="98" w:sz="4" w:space="0"/>
        </w:tcBorders>
      </w:tcPr>
    </w:tblStylePr>
    <w:tblStylePr w:type="lastRow">
      <w:rPr>
        <w:b/>
        <w:color w:val="FAC090" w:themeColor="accent6" w:themeShade="95" w:themeTint="98"/>
      </w:rPr>
      <w:tblPr/>
      <w:tcPr>
        <w:tcBorders>
          <w:top w:val="single" w:color="FAC090" w:themeColor="accent6" w:themeTint="98" w:sz="4" w:space="0"/>
        </w:tcBorders>
      </w:tcPr>
    </w:tblStylePr>
    <w:tblStylePr w:type="firstCol">
      <w:rPr>
        <w:b/>
        <w:color w:val="FAC090" w:themeColor="accent6" w:themeShade="95" w:themeTint="98"/>
      </w:rPr>
      <w:tblPr/>
    </w:tblStylePr>
    <w:tblStylePr w:type="lastCol">
      <w:rPr>
        <w:b/>
        <w:color w:val="FAC090" w:themeColor="accent6" w:themeShade="95" w:themeTint="98"/>
      </w:rPr>
      <w:tblPr/>
    </w:tblStylePr>
    <w:tblStylePr w:type="band1Vert">
      <w:tblPr/>
      <w:tcPr>
        <w:shd w:val="clear" w:color="FCE4D0" w:themeColor="accent6" w:themeTint="40" w:fill="FCE4D0" w:themeFill="accent6" w:themeFillTint="40"/>
      </w:tcPr>
    </w:tblStylePr>
    <w:tblStylePr w:type="band2Vert">
      <w:tblPr/>
    </w:tblStylePr>
    <w:tblStylePr w:type="band1Horz">
      <w:rPr>
        <w:rFonts w:ascii="Arial" w:hAnsi="Arial"/>
        <w:color w:val="FAC090" w:themeColor="accent6" w:themeShade="95" w:themeTint="98"/>
        <w:sz w:val="22"/>
      </w:rPr>
      <w:tbl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Pr/>
    </w:tblStylePr>
    <w:tblStylePr w:type="neCell">
      <w:tblPr/>
    </w:tblStylePr>
    <w:tblStylePr w:type="nwCell">
      <w:tblPr/>
    </w:tblStylePr>
    <w:tblStylePr w:type="seCell">
      <w:tblPr/>
    </w:tblStylePr>
    <w:tblStylePr w:type="swCell">
      <w:tbl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blPr/>
      <w:tcPr>
        <w:tcBorders>
          <w:top w:val="nil"/>
          <w:left w:val="single" w:color="7E7E7E" w:themeColor="text1" w:themeTint="80" w:sz="4" w:space="0"/>
          <w:bottom w:val="nil"/>
          <w:right w:val="nil"/>
        </w:tcBorders>
        <w:shd w:val="clear" w:color="FFFFFF" w:fill="auto"/>
      </w:tc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7E7E7E" w:themeColor="text1" w:themeShade="95" w:themeTint="80"/>
        <w:sz w:val="22"/>
      </w:rPr>
      <w:tblPr/>
      <w:tcPr>
        <w:shd w:val="clear" w:color="BEBEBE" w:themeColor="text1" w:themeTint="40" w:fill="BEBEBE" w:themeFill="text1" w:themeFillTint="40"/>
      </w:tcPr>
    </w:tblStylePr>
    <w:tblStylePr w:type="band2Horz">
      <w:rPr>
        <w:rFonts w:ascii="Arial" w:hAnsi="Arial"/>
        <w:color w:val="7E7E7E" w:themeColor="text1" w:themeShade="95" w:themeTint="80"/>
        <w:sz w:val="22"/>
      </w:rPr>
      <w:tblPr/>
    </w:tblStylePr>
    <w:tblStylePr w:type="neCell">
      <w:tblPr/>
    </w:tblStylePr>
    <w:tblStylePr w:type="nwCell">
      <w:tblPr/>
    </w:tblStylePr>
    <w:tblStylePr w:type="seCell">
      <w:tblPr/>
    </w:tblStylePr>
    <w:tblStylePr w:type="swCell">
      <w:tbl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bl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bl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bl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blPr/>
      <w:tcPr>
        <w:tcBorders>
          <w:top w:val="nil"/>
          <w:left w:val="single" w:color="4F81BD" w:themeColor="accent1" w:sz="4" w:space="0"/>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2Vert">
      <w:tblPr/>
    </w:tblStylePr>
    <w:tblStylePr w:type="band1Horz">
      <w:rPr>
        <w:rFonts w:ascii="Arial" w:hAnsi="Arial"/>
        <w:color w:val="2A4B71" w:themeColor="accent1" w:themeShade="95"/>
        <w:sz w:val="22"/>
      </w:rPr>
      <w:tblPr/>
      <w:tcPr>
        <w:shd w:val="clear" w:color="D2DFEE" w:themeColor="accent1" w:themeTint="40" w:fill="D2DFEE" w:themeFill="accent1" w:themeFillTint="40"/>
      </w:tcPr>
    </w:tblStylePr>
    <w:tblStylePr w:type="band2Horz">
      <w:rPr>
        <w:rFonts w:ascii="Arial" w:hAnsi="Arial"/>
        <w:color w:val="2A4B71" w:themeColor="accent1" w:themeShade="95"/>
        <w:sz w:val="22"/>
      </w:rPr>
      <w:tblPr/>
    </w:tblStylePr>
    <w:tblStylePr w:type="neCell">
      <w:tblPr/>
    </w:tblStylePr>
    <w:tblStylePr w:type="nwCell">
      <w:tblPr/>
    </w:tblStylePr>
    <w:tblStylePr w:type="seCell">
      <w:tblPr/>
    </w:tblStylePr>
    <w:tblStylePr w:type="swCell">
      <w:tbl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bl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bl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bl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blPr/>
      <w:tcPr>
        <w:tcBorders>
          <w:top w:val="nil"/>
          <w:left w:val="single" w:color="D99795" w:themeColor="accent2" w:themeTint="97" w:sz="4" w:space="0"/>
          <w:bottom w:val="nil"/>
          <w:right w:val="nil"/>
        </w:tcBorders>
        <w:shd w:val="clear" w:color="FFFFFF" w:fill="auto"/>
      </w:tcPr>
    </w:tblStylePr>
    <w:tblStylePr w:type="band1Vert">
      <w:tblPr/>
      <w:tcPr>
        <w:shd w:val="clear" w:color="EFD3D2" w:themeColor="accent2" w:themeTint="40" w:fill="EFD3D2" w:themeFill="accent2" w:themeFillTint="40"/>
      </w:tcPr>
    </w:tblStylePr>
    <w:tblStylePr w:type="band2Vert">
      <w:tblPr/>
    </w:tblStylePr>
    <w:tblStylePr w:type="band1Horz">
      <w:rPr>
        <w:rFonts w:ascii="Arial" w:hAnsi="Arial"/>
        <w:color w:val="D99795" w:themeColor="accent2" w:themeShade="95" w:themeTint="97"/>
        <w:sz w:val="22"/>
      </w:rPr>
      <w:tbl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Pr/>
    </w:tblStylePr>
    <w:tblStylePr w:type="neCell">
      <w:tblPr/>
    </w:tblStylePr>
    <w:tblStylePr w:type="nwCell">
      <w:tblPr/>
    </w:tblStylePr>
    <w:tblStylePr w:type="seCell">
      <w:tblPr/>
    </w:tblStylePr>
    <w:tblStylePr w:type="swCell">
      <w:tblPr/>
    </w:tblStylePr>
  </w:style>
  <w:style w:type="table" w:customStyle="1" w:styleId="156">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bl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bl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bl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blPr/>
      <w:tcPr>
        <w:tcBorders>
          <w:top w:val="nil"/>
          <w:left w:val="single" w:color="C3D69C" w:themeColor="accent3" w:themeTint="98" w:sz="4" w:space="0"/>
          <w:bottom w:val="nil"/>
          <w:right w:val="nil"/>
        </w:tcBorders>
        <w:shd w:val="clear" w:color="FFFFFF" w:fill="auto"/>
      </w:tcPr>
    </w:tblStylePr>
    <w:tblStylePr w:type="band1Vert">
      <w:tblPr/>
      <w:tcPr>
        <w:shd w:val="clear" w:color="E5EDD5" w:themeColor="accent3" w:themeTint="40" w:fill="E5EDD5" w:themeFill="accent3" w:themeFillTint="40"/>
      </w:tcPr>
    </w:tblStylePr>
    <w:tblStylePr w:type="band2Vert">
      <w:tblPr/>
    </w:tblStylePr>
    <w:tblStylePr w:type="band1Horz">
      <w:rPr>
        <w:rFonts w:ascii="Arial" w:hAnsi="Arial"/>
        <w:color w:val="C3D69C" w:themeColor="accent3" w:themeShade="95" w:themeTint="98"/>
        <w:sz w:val="22"/>
      </w:rPr>
      <w:tbl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Pr/>
    </w:tblStylePr>
    <w:tblStylePr w:type="neCell">
      <w:tblPr/>
    </w:tblStylePr>
    <w:tblStylePr w:type="nwCell">
      <w:tblPr/>
    </w:tblStylePr>
    <w:tblStylePr w:type="seCell">
      <w:tblPr/>
    </w:tblStylePr>
    <w:tblStylePr w:type="swCell">
      <w:tbl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bl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bl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bl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blPr/>
      <w:tcPr>
        <w:tcBorders>
          <w:top w:val="nil"/>
          <w:left w:val="single" w:color="B2A1C6" w:themeColor="accent4" w:themeTint="9A" w:sz="4" w:space="0"/>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2Vert">
      <w:tblPr/>
    </w:tblStylePr>
    <w:tblStylePr w:type="band1Horz">
      <w:rPr>
        <w:rFonts w:ascii="Arial" w:hAnsi="Arial"/>
        <w:color w:val="B2A1C6" w:themeColor="accent4" w:themeShade="95" w:themeTint="9A"/>
        <w:sz w:val="22"/>
      </w:rPr>
      <w:tbl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bl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bl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bl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blPr/>
      <w:tcPr>
        <w:tcBorders>
          <w:top w:val="nil"/>
          <w:left w:val="single" w:color="92CCDC" w:themeColor="accent5" w:themeTint="9A" w:sz="4" w:space="0"/>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2Vert">
      <w:tblPr/>
    </w:tblStylePr>
    <w:tblStylePr w:type="band1Horz">
      <w:rPr>
        <w:rFonts w:ascii="Arial" w:hAnsi="Arial"/>
        <w:color w:val="92CCDC" w:themeColor="accent5" w:themeShade="95" w:themeTint="9A"/>
        <w:sz w:val="22"/>
      </w:rPr>
      <w:tbl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Pr/>
    </w:tblStylePr>
    <w:tblStylePr w:type="neCell">
      <w:tblPr/>
    </w:tblStylePr>
    <w:tblStylePr w:type="nwCell">
      <w:tblPr/>
    </w:tblStylePr>
    <w:tblStylePr w:type="seCell">
      <w:tblPr/>
    </w:tblStylePr>
    <w:tblStylePr w:type="swCell">
      <w:tbl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bl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bl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bl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blPr/>
      <w:tcPr>
        <w:tcBorders>
          <w:top w:val="nil"/>
          <w:left w:val="single" w:color="FAC090" w:themeColor="accent6" w:themeTint="98" w:sz="4" w:space="0"/>
          <w:bottom w:val="nil"/>
          <w:right w:val="nil"/>
        </w:tcBorders>
        <w:shd w:val="clear" w:color="FFFFFF" w:fill="auto"/>
      </w:tcPr>
    </w:tblStylePr>
    <w:tblStylePr w:type="band1Vert">
      <w:tblPr/>
      <w:tcPr>
        <w:shd w:val="clear" w:color="FCE4D0" w:themeColor="accent6" w:themeTint="40" w:fill="FCE4D0" w:themeFill="accent6" w:themeFillTint="40"/>
      </w:tcPr>
    </w:tblStylePr>
    <w:tblStylePr w:type="band2Vert">
      <w:tblPr/>
    </w:tblStylePr>
    <w:tblStylePr w:type="band1Horz">
      <w:rPr>
        <w:rFonts w:ascii="Arial" w:hAnsi="Arial"/>
        <w:color w:val="FAC090" w:themeColor="accent6" w:themeShade="95" w:themeTint="98"/>
        <w:sz w:val="22"/>
      </w:rPr>
      <w:tbl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Pr/>
    </w:tblStylePr>
    <w:tblStylePr w:type="neCell">
      <w:tblPr/>
    </w:tblStylePr>
    <w:tblStylePr w:type="nwCell">
      <w:tblPr/>
    </w:tblStylePr>
    <w:tblStylePr w:type="seCell">
      <w:tblPr/>
    </w:tblStylePr>
    <w:tblStylePr w:type="swCell">
      <w:tblPr/>
    </w:tblStylePr>
  </w:style>
  <w:style w:type="table" w:customStyle="1" w:styleId="160">
    <w:name w:val="Lined - Accent"/>
    <w:uiPriority w:val="99"/>
    <w:pPr>
      <w:spacing w:after="0" w:line="240" w:lineRule="auto"/>
    </w:pPr>
    <w:rPr>
      <w:color w:val="404040"/>
    </w:rPr>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61">
    <w:name w:val="Lined - Accent 1"/>
    <w:qFormat/>
    <w:uiPriority w:val="99"/>
    <w:pPr>
      <w:spacing w:after="0" w:line="240" w:lineRule="auto"/>
    </w:pPr>
    <w:rPr>
      <w:color w:val="404040"/>
    </w:rPr>
    <w:tblPr/>
    <w:tblStylePr w:type="firstRow">
      <w:rPr>
        <w:rFonts w:ascii="Arial" w:hAnsi="Arial"/>
        <w:color w:val="F2F2F2"/>
        <w:sz w:val="22"/>
      </w:rPr>
      <w:tblPr/>
      <w:tcPr>
        <w:shd w:val="clear" w:color="5D8BC2" w:themeColor="accent1" w:themeTint="EA" w:fill="5D8BC2" w:themeFill="accent1" w:themeFillTint="EA"/>
      </w:tcPr>
    </w:tblStylePr>
    <w:tblStylePr w:type="lastRow">
      <w:rPr>
        <w:rFonts w:ascii="Arial" w:hAnsi="Arial"/>
        <w:color w:val="F2F2F2"/>
        <w:sz w:val="22"/>
      </w:rPr>
      <w:tblPr/>
      <w:tcPr>
        <w:shd w:val="clear" w:color="5D8BC2" w:themeColor="accent1" w:themeTint="EA" w:fill="5D8BC2" w:themeFill="accent1" w:themeFillTint="EA"/>
      </w:tcPr>
    </w:tblStylePr>
    <w:tblStylePr w:type="firstCol">
      <w:rPr>
        <w:rFonts w:ascii="Arial" w:hAnsi="Arial"/>
        <w:color w:val="F2F2F2"/>
        <w:sz w:val="22"/>
      </w:rPr>
      <w:tblPr/>
      <w:tcPr>
        <w:shd w:val="clear" w:color="5D8BC2" w:themeColor="accent1" w:themeTint="EA" w:fill="5D8BC2" w:themeFill="accent1" w:themeFillTint="EA"/>
      </w:tcPr>
    </w:tblStylePr>
    <w:tblStylePr w:type="lastCol">
      <w:rPr>
        <w:rFonts w:ascii="Arial" w:hAnsi="Arial"/>
        <w:color w:val="F2F2F2"/>
        <w:sz w:val="22"/>
      </w:rPr>
      <w:tblPr/>
      <w:tcPr>
        <w:shd w:val="clear" w:color="5D8BC2" w:themeColor="accent1" w:themeTint="EA" w:fill="5D8BC2"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7D7EA" w:themeColor="accent1" w:themeTint="50" w:fill="C7D7EA" w:themeFill="accent1" w:themeFillTint="50"/>
      </w:tcPr>
    </w:tblStylePr>
    <w:tblStylePr w:type="neCell">
      <w:tblPr/>
    </w:tblStylePr>
    <w:tblStylePr w:type="nwCell">
      <w:tblPr/>
    </w:tblStylePr>
    <w:tblStylePr w:type="seCell">
      <w:tblPr/>
    </w:tblStylePr>
    <w:tblStylePr w:type="swCell">
      <w:tblPr/>
    </w:tblStylePr>
  </w:style>
  <w:style w:type="table" w:customStyle="1" w:styleId="162">
    <w:name w:val="Lined - Accent 2"/>
    <w:qFormat/>
    <w:uiPriority w:val="99"/>
    <w:pPr>
      <w:spacing w:after="0" w:line="240" w:lineRule="auto"/>
    </w:pPr>
    <w:rPr>
      <w:color w:val="404040"/>
    </w:rPr>
    <w:tblPr/>
    <w:tblStylePr w:type="firstRow">
      <w:rPr>
        <w:rFonts w:ascii="Arial" w:hAnsi="Arial"/>
        <w:color w:val="F2F2F2"/>
        <w:sz w:val="22"/>
      </w:rPr>
      <w:tblPr/>
      <w:tcPr>
        <w:shd w:val="clear" w:color="D99795" w:themeColor="accent2" w:themeTint="97" w:fill="D99795" w:themeFill="accent2" w:themeFillTint="97"/>
      </w:tcPr>
    </w:tblStylePr>
    <w:tblStylePr w:type="lastRow">
      <w:rPr>
        <w:rFonts w:ascii="Arial" w:hAnsi="Arial"/>
        <w:color w:val="F2F2F2"/>
        <w:sz w:val="22"/>
      </w:rPr>
      <w:tblPr/>
      <w:tcPr>
        <w:shd w:val="clear" w:color="D99795" w:themeColor="accent2" w:themeTint="97" w:fill="D99795" w:themeFill="accent2" w:themeFillTint="97"/>
      </w:tcPr>
    </w:tblStylePr>
    <w:tblStylePr w:type="firstCol">
      <w:rPr>
        <w:rFonts w:ascii="Arial" w:hAnsi="Arial"/>
        <w:color w:val="F2F2F2"/>
        <w:sz w:val="22"/>
      </w:rPr>
      <w:tblPr/>
      <w:tcPr>
        <w:shd w:val="clear" w:color="D99795" w:themeColor="accent2" w:themeTint="97" w:fill="D99795" w:themeFill="accent2" w:themeFillTint="97"/>
      </w:tcPr>
    </w:tblStylePr>
    <w:tblStylePr w:type="lastCol">
      <w:rPr>
        <w:rFonts w:ascii="Arial" w:hAnsi="Arial"/>
        <w:color w:val="F2F2F2"/>
        <w:sz w:val="22"/>
      </w:rPr>
      <w:tblPr/>
      <w:tcPr>
        <w:shd w:val="clear" w:color="D99795" w:themeColor="accent2" w:themeTint="97" w:fill="D9979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2DCDC" w:themeColor="accent2" w:themeTint="32" w:fill="F2DCDC" w:themeFill="accent2" w:themeFillTint="32"/>
      </w:tcPr>
    </w:tblStylePr>
    <w:tblStylePr w:type="neCell">
      <w:tblPr/>
    </w:tblStylePr>
    <w:tblStylePr w:type="nwCell">
      <w:tblPr/>
    </w:tblStylePr>
    <w:tblStylePr w:type="seCell">
      <w:tblPr/>
    </w:tblStylePr>
    <w:tblStylePr w:type="swCell">
      <w:tblPr/>
    </w:tblStylePr>
  </w:style>
  <w:style w:type="table" w:customStyle="1" w:styleId="163">
    <w:name w:val="Lined - Accent 3"/>
    <w:qFormat/>
    <w:uiPriority w:val="99"/>
    <w:pPr>
      <w:spacing w:after="0" w:line="240" w:lineRule="auto"/>
    </w:pPr>
    <w:rPr>
      <w:color w:val="404040"/>
    </w:rPr>
    <w:tblPr/>
    <w:tblStylePr w:type="firstRow">
      <w:rPr>
        <w:rFonts w:ascii="Arial" w:hAnsi="Arial"/>
        <w:color w:val="F2F2F2"/>
        <w:sz w:val="22"/>
      </w:rPr>
      <w:tblPr/>
      <w:tcPr>
        <w:shd w:val="clear" w:color="9BBB59" w:themeColor="accent3" w:themeTint="FE" w:fill="9BBB59" w:themeFill="accent3" w:themeFillTint="FE"/>
      </w:tcPr>
    </w:tblStylePr>
    <w:tblStylePr w:type="lastRow">
      <w:rPr>
        <w:rFonts w:ascii="Arial" w:hAnsi="Arial"/>
        <w:color w:val="F2F2F2"/>
        <w:sz w:val="22"/>
      </w:rPr>
      <w:tblPr/>
      <w:tcPr>
        <w:shd w:val="clear" w:color="9BBB59" w:themeColor="accent3" w:themeTint="FE" w:fill="9BBB59" w:themeFill="accent3" w:themeFillTint="FE"/>
      </w:tcPr>
    </w:tblStylePr>
    <w:tblStylePr w:type="firstCol">
      <w:rPr>
        <w:rFonts w:ascii="Arial" w:hAnsi="Arial"/>
        <w:color w:val="F2F2F2"/>
        <w:sz w:val="22"/>
      </w:rPr>
      <w:tblPr/>
      <w:tcPr>
        <w:shd w:val="clear" w:color="9BBB59" w:themeColor="accent3" w:themeTint="FE" w:fill="9BBB59" w:themeFill="accent3" w:themeFillTint="FE"/>
      </w:tcPr>
    </w:tblStylePr>
    <w:tblStylePr w:type="lastCol">
      <w:rPr>
        <w:rFonts w:ascii="Arial" w:hAnsi="Arial"/>
        <w:color w:val="F2F2F2"/>
        <w:sz w:val="22"/>
      </w:rPr>
      <w:tblPr/>
      <w:tcPr>
        <w:shd w:val="clear" w:color="9BBB59" w:themeColor="accent3" w:themeTint="FE" w:fill="9BBB59"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AF1DD" w:themeColor="accent3" w:themeTint="34" w:fill="EAF1DD"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AF1DD" w:themeColor="accent3" w:themeTint="34" w:fill="EAF1DD" w:themeFill="accent3" w:themeFillTint="34"/>
      </w:tcPr>
    </w:tblStylePr>
    <w:tblStylePr w:type="neCell">
      <w:tblPr/>
    </w:tblStylePr>
    <w:tblStylePr w:type="nwCell">
      <w:tblPr/>
    </w:tblStylePr>
    <w:tblStylePr w:type="seCell">
      <w:tblPr/>
    </w:tblStylePr>
    <w:tblStylePr w:type="swCell">
      <w:tblPr/>
    </w:tblStylePr>
  </w:style>
  <w:style w:type="table" w:customStyle="1" w:styleId="164">
    <w:name w:val="Lined - Accent 4"/>
    <w:qFormat/>
    <w:uiPriority w:val="99"/>
    <w:pPr>
      <w:spacing w:after="0" w:line="240" w:lineRule="auto"/>
    </w:pPr>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5DFEC" w:themeColor="accent4" w:themeTint="34" w:fill="E5DFEC" w:themeFill="accent4" w:themeFillTint="34"/>
      </w:tcPr>
    </w:tblStylePr>
    <w:tblStylePr w:type="neCell">
      <w:tblPr/>
    </w:tblStylePr>
    <w:tblStylePr w:type="nwCell">
      <w:tblPr/>
    </w:tblStylePr>
    <w:tblStylePr w:type="seCell">
      <w:tblPr/>
    </w:tblStylePr>
    <w:tblStylePr w:type="swCell">
      <w:tblPr/>
    </w:tblStylePr>
  </w:style>
  <w:style w:type="table" w:customStyle="1" w:styleId="165">
    <w:name w:val="Lined - Accent 5"/>
    <w:uiPriority w:val="99"/>
    <w:pPr>
      <w:spacing w:after="0" w:line="240" w:lineRule="auto"/>
    </w:pPr>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AEEF3" w:themeColor="accent5" w:themeTint="34" w:fill="DAEEF3" w:themeFill="accent5" w:themeFillTint="34"/>
      </w:tcPr>
    </w:tblStylePr>
    <w:tblStylePr w:type="neCell">
      <w:tblPr/>
    </w:tblStylePr>
    <w:tblStylePr w:type="nwCell">
      <w:tblPr/>
    </w:tblStylePr>
    <w:tblStylePr w:type="seCell">
      <w:tblPr/>
    </w:tblStylePr>
    <w:tblStylePr w:type="swCell">
      <w:tblPr/>
    </w:tblStylePr>
  </w:style>
  <w:style w:type="table" w:customStyle="1" w:styleId="166">
    <w:name w:val="Lined - Accent 6"/>
    <w:qFormat/>
    <w:uiPriority w:val="99"/>
    <w:pPr>
      <w:spacing w:after="0" w:line="240" w:lineRule="auto"/>
    </w:pPr>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FDE9D9" w:themeColor="accent6" w:themeTint="34" w:fill="FDE9D9"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DE9D9" w:themeColor="accent6" w:themeTint="34" w:fill="FDE9D9" w:themeFill="accent6" w:themeFillTint="34"/>
      </w:tcPr>
    </w:tblStylePr>
    <w:tblStylePr w:type="neCell">
      <w:tblPr/>
    </w:tblStylePr>
    <w:tblStylePr w:type="nwCell">
      <w:tblPr/>
    </w:tblStylePr>
    <w:tblStylePr w:type="seCell">
      <w:tblPr/>
    </w:tblStylePr>
    <w:tblStylePr w:type="swCell">
      <w:tbl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blPr/>
      <w:tcPr>
        <w:shd w:val="clear" w:color="5D8BC2" w:themeColor="accent1" w:themeTint="EA" w:fill="5D8BC2" w:themeFill="accent1" w:themeFillTint="EA"/>
      </w:tcPr>
    </w:tblStylePr>
    <w:tblStylePr w:type="lastRow">
      <w:rPr>
        <w:rFonts w:ascii="Arial" w:hAnsi="Arial"/>
        <w:color w:val="F2F2F2"/>
        <w:sz w:val="22"/>
      </w:rPr>
      <w:tblPr/>
      <w:tcPr>
        <w:shd w:val="clear" w:color="5D8BC2" w:themeColor="accent1" w:themeTint="EA" w:fill="5D8BC2" w:themeFill="accent1" w:themeFillTint="EA"/>
      </w:tcPr>
    </w:tblStylePr>
    <w:tblStylePr w:type="firstCol">
      <w:rPr>
        <w:rFonts w:ascii="Arial" w:hAnsi="Arial"/>
        <w:color w:val="F2F2F2"/>
        <w:sz w:val="22"/>
      </w:rPr>
      <w:tblPr/>
      <w:tcPr>
        <w:shd w:val="clear" w:color="5D8BC2" w:themeColor="accent1" w:themeTint="EA" w:fill="5D8BC2" w:themeFill="accent1" w:themeFillTint="EA"/>
      </w:tcPr>
    </w:tblStylePr>
    <w:tblStylePr w:type="lastCol">
      <w:rPr>
        <w:rFonts w:ascii="Arial" w:hAnsi="Arial"/>
        <w:color w:val="F2F2F2"/>
        <w:sz w:val="22"/>
      </w:rPr>
      <w:tblPr/>
      <w:tcPr>
        <w:shd w:val="clear" w:color="5D8BC2" w:themeColor="accent1" w:themeTint="EA" w:fill="5D8BC2"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7D7EA" w:themeColor="accent1" w:themeTint="50" w:fill="C7D7EA" w:themeFill="accent1" w:themeFillTint="50"/>
      </w:tcPr>
    </w:tblStylePr>
    <w:tblStylePr w:type="neCell">
      <w:tblPr/>
    </w:tblStylePr>
    <w:tblStylePr w:type="nwCell">
      <w:tblPr/>
    </w:tblStylePr>
    <w:tblStylePr w:type="seCell">
      <w:tblPr/>
    </w:tblStylePr>
    <w:tblStylePr w:type="swCell">
      <w:tbl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blPr/>
      <w:tcPr>
        <w:shd w:val="clear" w:color="D99795" w:themeColor="accent2" w:themeTint="97" w:fill="D99795" w:themeFill="accent2" w:themeFillTint="97"/>
      </w:tcPr>
    </w:tblStylePr>
    <w:tblStylePr w:type="lastRow">
      <w:rPr>
        <w:rFonts w:ascii="Arial" w:hAnsi="Arial"/>
        <w:color w:val="F2F2F2"/>
        <w:sz w:val="22"/>
      </w:rPr>
      <w:tblPr/>
      <w:tcPr>
        <w:shd w:val="clear" w:color="D99795" w:themeColor="accent2" w:themeTint="97" w:fill="D99795" w:themeFill="accent2" w:themeFillTint="97"/>
      </w:tcPr>
    </w:tblStylePr>
    <w:tblStylePr w:type="firstCol">
      <w:rPr>
        <w:rFonts w:ascii="Arial" w:hAnsi="Arial"/>
        <w:color w:val="F2F2F2"/>
        <w:sz w:val="22"/>
      </w:rPr>
      <w:tblPr/>
      <w:tcPr>
        <w:shd w:val="clear" w:color="D99795" w:themeColor="accent2" w:themeTint="97" w:fill="D99795" w:themeFill="accent2" w:themeFillTint="97"/>
      </w:tcPr>
    </w:tblStylePr>
    <w:tblStylePr w:type="lastCol">
      <w:rPr>
        <w:rFonts w:ascii="Arial" w:hAnsi="Arial"/>
        <w:color w:val="F2F2F2"/>
        <w:sz w:val="22"/>
      </w:rPr>
      <w:tblPr/>
      <w:tcPr>
        <w:shd w:val="clear" w:color="D99795" w:themeColor="accent2" w:themeTint="97" w:fill="D9979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2DCDC" w:themeColor="accent2" w:themeTint="32" w:fill="F2DCDC" w:themeFill="accent2" w:themeFillTint="32"/>
      </w:tcPr>
    </w:tblStylePr>
    <w:tblStylePr w:type="neCell">
      <w:tblPr/>
    </w:tblStylePr>
    <w:tblStylePr w:type="nwCell">
      <w:tblPr/>
    </w:tblStylePr>
    <w:tblStylePr w:type="seCell">
      <w:tblPr/>
    </w:tblStylePr>
    <w:tblStylePr w:type="swCell">
      <w:tbl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blPr/>
      <w:tcPr>
        <w:shd w:val="clear" w:color="9BBB59" w:themeColor="accent3" w:themeTint="FE" w:fill="9BBB59" w:themeFill="accent3" w:themeFillTint="FE"/>
      </w:tcPr>
    </w:tblStylePr>
    <w:tblStylePr w:type="lastRow">
      <w:rPr>
        <w:rFonts w:ascii="Arial" w:hAnsi="Arial"/>
        <w:color w:val="F2F2F2"/>
        <w:sz w:val="22"/>
      </w:rPr>
      <w:tblPr/>
      <w:tcPr>
        <w:shd w:val="clear" w:color="9BBB59" w:themeColor="accent3" w:themeTint="FE" w:fill="9BBB59" w:themeFill="accent3" w:themeFillTint="FE"/>
      </w:tcPr>
    </w:tblStylePr>
    <w:tblStylePr w:type="firstCol">
      <w:rPr>
        <w:rFonts w:ascii="Arial" w:hAnsi="Arial"/>
        <w:color w:val="F2F2F2"/>
        <w:sz w:val="22"/>
      </w:rPr>
      <w:tblPr/>
      <w:tcPr>
        <w:shd w:val="clear" w:color="9BBB59" w:themeColor="accent3" w:themeTint="FE" w:fill="9BBB59" w:themeFill="accent3" w:themeFillTint="FE"/>
      </w:tcPr>
    </w:tblStylePr>
    <w:tblStylePr w:type="lastCol">
      <w:rPr>
        <w:rFonts w:ascii="Arial" w:hAnsi="Arial"/>
        <w:color w:val="F2F2F2"/>
        <w:sz w:val="22"/>
      </w:rPr>
      <w:tblPr/>
      <w:tcPr>
        <w:shd w:val="clear" w:color="9BBB59" w:themeColor="accent3" w:themeTint="FE" w:fill="9BBB59"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AF1DD" w:themeColor="accent3" w:themeTint="34" w:fill="EAF1DD"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AF1DD" w:themeColor="accent3" w:themeTint="34" w:fill="EAF1DD" w:themeFill="accent3" w:themeFillTint="34"/>
      </w:tcPr>
    </w:tblStylePr>
    <w:tblStylePr w:type="neCell">
      <w:tblPr/>
    </w:tblStylePr>
    <w:tblStylePr w:type="nwCell">
      <w:tblPr/>
    </w:tblStylePr>
    <w:tblStylePr w:type="seCell">
      <w:tblPr/>
    </w:tblStylePr>
    <w:tblStylePr w:type="swCell">
      <w:tblPr/>
    </w:tblStylePr>
  </w:style>
  <w:style w:type="table" w:customStyle="1" w:styleId="17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5DFEC" w:themeColor="accent4" w:themeTint="34" w:fill="E5DFEC" w:themeFill="accent4" w:themeFillTint="34"/>
      </w:tcPr>
    </w:tblStylePr>
    <w:tblStylePr w:type="neCell">
      <w:tblPr/>
    </w:tblStylePr>
    <w:tblStylePr w:type="nwCell">
      <w:tblPr/>
    </w:tblStylePr>
    <w:tblStylePr w:type="seCell">
      <w:tblPr/>
    </w:tblStylePr>
    <w:tblStylePr w:type="swCell">
      <w:tblPr/>
    </w:tblStylePr>
  </w:style>
  <w:style w:type="table" w:customStyle="1" w:styleId="172">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AEEF3" w:themeColor="accent5" w:themeTint="34" w:fill="DAEEF3" w:themeFill="accent5" w:themeFillTint="34"/>
      </w:tcPr>
    </w:tblStylePr>
    <w:tblStylePr w:type="neCell">
      <w:tblPr/>
    </w:tblStylePr>
    <w:tblStylePr w:type="nwCell">
      <w:tblPr/>
    </w:tblStylePr>
    <w:tblStylePr w:type="seCell">
      <w:tblPr/>
    </w:tblStylePr>
    <w:tblStylePr w:type="swCell">
      <w:tbl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FDE9D9" w:themeColor="accent6" w:themeTint="34" w:fill="FDE9D9"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DE9D9" w:themeColor="accent6" w:themeTint="34" w:fill="FDE9D9" w:themeFill="accent6" w:themeFillTint="34"/>
      </w:tcPr>
    </w:tblStylePr>
    <w:tblStylePr w:type="neCell">
      <w:tblPr/>
    </w:tblStylePr>
    <w:tblStylePr w:type="nwCell">
      <w:tblPr/>
    </w:tblStylePr>
    <w:tblStylePr w:type="seCell">
      <w:tblPr/>
    </w:tblStylePr>
    <w:tblStylePr w:type="swCell">
      <w:tblPr/>
    </w:tblStylePr>
  </w:style>
  <w:style w:type="table" w:customStyle="1" w:styleId="174">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blPr/>
      <w:tcPr>
        <w:tcBorders>
          <w:bottom w:val="single" w:color="7E7E7E" w:themeColor="text1" w:themeTint="80" w:sz="12" w:space="0"/>
        </w:tcBorders>
      </w:tcPr>
    </w:tblStylePr>
    <w:tblStylePr w:type="lastRow">
      <w:rPr>
        <w:rFonts w:ascii="Arial" w:hAnsi="Arial"/>
        <w:color w:val="404040"/>
        <w:sz w:val="22"/>
      </w:rPr>
      <w:tblPr/>
      <w:tcPr>
        <w:tcBorders>
          <w:top w:val="single" w:color="7E7E7E" w:themeColor="text1" w:themeTint="80"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7E7E7E" w:themeColor="text1" w:themeTint="80"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75">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blPr/>
      <w:tcPr>
        <w:tcBorders>
          <w:bottom w:val="single" w:color="4F81BD" w:themeColor="accent1" w:sz="12" w:space="0"/>
        </w:tcBorders>
      </w:tcPr>
    </w:tblStylePr>
    <w:tblStylePr w:type="lastRow">
      <w:rPr>
        <w:rFonts w:ascii="Arial" w:hAnsi="Arial"/>
        <w:color w:val="404040"/>
        <w:sz w:val="22"/>
      </w:rPr>
      <w:tblPr/>
      <w:tcPr>
        <w:tcBorders>
          <w:top w:val="single" w:color="4F81BD" w:themeColor="accent1"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4F81BD" w:themeColor="accent1"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76">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blPr/>
      <w:tcPr>
        <w:tcBorders>
          <w:bottom w:val="single" w:color="D99795" w:themeColor="accent2" w:themeTint="97" w:sz="12" w:space="0"/>
        </w:tcBorders>
      </w:tcPr>
    </w:tblStylePr>
    <w:tblStylePr w:type="lastRow">
      <w:rPr>
        <w:rFonts w:ascii="Arial" w:hAnsi="Arial"/>
        <w:color w:val="404040"/>
        <w:sz w:val="22"/>
      </w:rPr>
      <w:tblPr/>
      <w:tcPr>
        <w:tcBorders>
          <w:top w:val="single" w:color="D99795" w:themeColor="accent2" w:themeTint="97"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D99795" w:themeColor="accent2" w:themeTint="97"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77">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blPr/>
      <w:tcPr>
        <w:tcBorders>
          <w:bottom w:val="single" w:color="C3D69C" w:themeColor="accent3" w:themeTint="98" w:sz="12" w:space="0"/>
        </w:tcBorders>
      </w:tcPr>
    </w:tblStylePr>
    <w:tblStylePr w:type="lastRow">
      <w:rPr>
        <w:rFonts w:ascii="Arial" w:hAnsi="Arial"/>
        <w:color w:val="404040"/>
        <w:sz w:val="22"/>
      </w:rPr>
      <w:tblPr/>
      <w:tcPr>
        <w:tcBorders>
          <w:top w:val="single" w:color="C3D69C" w:themeColor="accent3"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C3D69C" w:themeColor="accent3"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78">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blPr/>
      <w:tcPr>
        <w:tcBorders>
          <w:bottom w:val="single" w:color="B2A1C6" w:themeColor="accent4" w:themeTint="9A" w:sz="12" w:space="0"/>
        </w:tcBorders>
      </w:tcPr>
    </w:tblStylePr>
    <w:tblStylePr w:type="lastRow">
      <w:rPr>
        <w:rFonts w:ascii="Arial" w:hAnsi="Arial"/>
        <w:color w:val="404040"/>
        <w:sz w:val="22"/>
      </w:rPr>
      <w:tblPr/>
      <w:tcPr>
        <w:tcBorders>
          <w:top w:val="single" w:color="B2A1C6" w:themeColor="accent4"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B2A1C6" w:themeColor="accent4"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79">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blPr/>
      <w:tcPr>
        <w:tcBorders>
          <w:bottom w:val="single" w:color="92CCDC" w:themeColor="accent5" w:themeTint="9A" w:sz="12" w:space="0"/>
        </w:tcBorders>
      </w:tcPr>
    </w:tblStylePr>
    <w:tblStylePr w:type="lastRow">
      <w:rPr>
        <w:rFonts w:ascii="Arial" w:hAnsi="Arial"/>
        <w:color w:val="404040"/>
        <w:sz w:val="22"/>
      </w:rPr>
      <w:tblPr/>
      <w:tcPr>
        <w:tcBorders>
          <w:top w:val="single" w:color="92CCDC" w:themeColor="accent5"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92CCDC" w:themeColor="accent5"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80">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blPr/>
      <w:tcPr>
        <w:tcBorders>
          <w:bottom w:val="single" w:color="FAC090" w:themeColor="accent6" w:themeTint="98" w:sz="12" w:space="0"/>
        </w:tcBorders>
      </w:tcPr>
    </w:tblStylePr>
    <w:tblStylePr w:type="lastRow">
      <w:rPr>
        <w:rFonts w:ascii="Arial" w:hAnsi="Arial"/>
        <w:color w:val="404040"/>
        <w:sz w:val="22"/>
      </w:rPr>
      <w:tblPr/>
      <w:tcPr>
        <w:tcBorders>
          <w:top w:val="single" w:color="FAC090" w:themeColor="accent6"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FAC090" w:themeColor="accent6"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181">
    <w:name w:val="Footnote Text Char"/>
    <w:link w:val="24"/>
    <w:uiPriority w:val="99"/>
    <w:rPr>
      <w:sz w:val="18"/>
    </w:rPr>
  </w:style>
  <w:style w:type="character" w:customStyle="1" w:styleId="182">
    <w:name w:val="Endnote Text Char"/>
    <w:link w:val="18"/>
    <w:uiPriority w:val="99"/>
    <w:rPr>
      <w:sz w:val="20"/>
    </w:rPr>
  </w:style>
  <w:style w:type="paragraph" w:customStyle="1" w:styleId="183">
    <w:name w:val="TOC Heading"/>
    <w:unhideWhenUsed/>
    <w:uiPriority w:val="39"/>
    <w:rPr>
      <w:rFonts w:hint="default" w:ascii="Times New Roman" w:hAnsi="Times New Roman" w:eastAsia="宋体" w:cs="Times New Roman"/>
    </w:rPr>
  </w:style>
  <w:style w:type="paragraph" w:customStyle="1" w:styleId="184">
    <w:name w:val="标题 11"/>
    <w:basedOn w:val="1"/>
    <w:next w:val="1"/>
    <w:link w:val="193"/>
    <w:qFormat/>
    <w:uiPriority w:val="1"/>
    <w:pPr>
      <w:keepNext/>
      <w:keepLines/>
      <w:spacing w:before="340" w:after="330" w:line="578" w:lineRule="auto"/>
      <w:outlineLvl w:val="0"/>
    </w:pPr>
    <w:rPr>
      <w:b/>
      <w:bCs/>
      <w:sz w:val="44"/>
      <w:szCs w:val="44"/>
    </w:rPr>
  </w:style>
  <w:style w:type="paragraph" w:customStyle="1" w:styleId="185">
    <w:name w:val="标题 21"/>
    <w:basedOn w:val="1"/>
    <w:next w:val="1"/>
    <w:link w:val="194"/>
    <w:qFormat/>
    <w:uiPriority w:val="1"/>
    <w:pPr>
      <w:keepNext/>
      <w:keepLines/>
      <w:spacing w:before="260" w:after="260" w:line="416" w:lineRule="auto"/>
      <w:outlineLvl w:val="1"/>
    </w:pPr>
    <w:rPr>
      <w:rFonts w:ascii="等线 Light" w:hAnsi="等线 Light" w:eastAsia="等线 Light" w:cs="Times New Roman"/>
      <w:b/>
      <w:bCs/>
      <w:sz w:val="32"/>
      <w:szCs w:val="32"/>
    </w:rPr>
  </w:style>
  <w:style w:type="paragraph" w:customStyle="1" w:styleId="186">
    <w:name w:val="标题 31"/>
    <w:basedOn w:val="1"/>
    <w:next w:val="1"/>
    <w:link w:val="195"/>
    <w:unhideWhenUsed/>
    <w:qFormat/>
    <w:uiPriority w:val="9"/>
    <w:pPr>
      <w:keepNext/>
      <w:keepLines/>
      <w:spacing w:before="260" w:after="260" w:line="416" w:lineRule="auto"/>
      <w:outlineLvl w:val="2"/>
    </w:pPr>
    <w:rPr>
      <w:b/>
      <w:bCs/>
      <w:sz w:val="32"/>
      <w:szCs w:val="32"/>
    </w:rPr>
  </w:style>
  <w:style w:type="paragraph" w:customStyle="1" w:styleId="187">
    <w:name w:val="标题 41"/>
    <w:basedOn w:val="1"/>
    <w:next w:val="1"/>
    <w:link w:val="196"/>
    <w:qFormat/>
    <w:uiPriority w:val="0"/>
    <w:pPr>
      <w:keepNext/>
      <w:keepLines/>
      <w:spacing w:before="280" w:after="290" w:line="376" w:lineRule="auto"/>
      <w:outlineLvl w:val="3"/>
    </w:pPr>
    <w:rPr>
      <w:rFonts w:ascii="等线 Light" w:hAnsi="等线 Light" w:eastAsia="等线 Light" w:cs="Times New Roman"/>
      <w:b/>
      <w:bCs/>
      <w:sz w:val="28"/>
      <w:szCs w:val="28"/>
    </w:rPr>
  </w:style>
  <w:style w:type="paragraph" w:customStyle="1" w:styleId="188">
    <w:name w:val="标题 51"/>
    <w:basedOn w:val="1"/>
    <w:next w:val="1"/>
    <w:link w:val="197"/>
    <w:unhideWhenUsed/>
    <w:qFormat/>
    <w:uiPriority w:val="9"/>
    <w:pPr>
      <w:keepNext/>
      <w:keepLines/>
      <w:spacing w:before="280" w:after="290" w:line="376" w:lineRule="auto"/>
      <w:outlineLvl w:val="4"/>
    </w:pPr>
    <w:rPr>
      <w:b/>
      <w:bCs/>
      <w:sz w:val="28"/>
      <w:szCs w:val="28"/>
    </w:rPr>
  </w:style>
  <w:style w:type="paragraph" w:customStyle="1" w:styleId="189">
    <w:name w:val="标题 61"/>
    <w:basedOn w:val="1"/>
    <w:next w:val="1"/>
    <w:link w:val="198"/>
    <w:unhideWhenUsed/>
    <w:qFormat/>
    <w:uiPriority w:val="9"/>
    <w:pPr>
      <w:keepNext/>
      <w:keepLines/>
      <w:spacing w:before="240" w:after="64" w:line="320" w:lineRule="auto"/>
      <w:outlineLvl w:val="5"/>
    </w:pPr>
    <w:rPr>
      <w:rFonts w:ascii="等线 Light" w:hAnsi="等线 Light" w:eastAsia="等线 Light" w:cs="Times New Roman"/>
      <w:b/>
      <w:bCs/>
      <w:sz w:val="24"/>
      <w:szCs w:val="24"/>
    </w:rPr>
  </w:style>
  <w:style w:type="paragraph" w:customStyle="1" w:styleId="190">
    <w:name w:val="标题 71"/>
    <w:basedOn w:val="1"/>
    <w:next w:val="1"/>
    <w:link w:val="199"/>
    <w:unhideWhenUsed/>
    <w:qFormat/>
    <w:uiPriority w:val="9"/>
    <w:pPr>
      <w:keepNext/>
      <w:keepLines/>
      <w:spacing w:before="240" w:after="64" w:line="320" w:lineRule="auto"/>
      <w:outlineLvl w:val="6"/>
    </w:pPr>
    <w:rPr>
      <w:b/>
      <w:bCs/>
      <w:sz w:val="24"/>
      <w:szCs w:val="24"/>
    </w:rPr>
  </w:style>
  <w:style w:type="character" w:customStyle="1" w:styleId="191">
    <w:name w:val="默认段落字体1"/>
    <w:link w:val="1"/>
    <w:unhideWhenUsed/>
    <w:uiPriority w:val="1"/>
  </w:style>
  <w:style w:type="table" w:customStyle="1" w:styleId="192">
    <w:name w:val="普通表格1"/>
    <w:unhideWhenUsed/>
    <w:qFormat/>
    <w:uiPriority w:val="99"/>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193">
    <w:name w:val="标题 1 字符"/>
    <w:link w:val="184"/>
    <w:qFormat/>
    <w:uiPriority w:val="9"/>
    <w:rPr>
      <w:b/>
      <w:bCs/>
      <w:sz w:val="44"/>
      <w:szCs w:val="44"/>
    </w:rPr>
  </w:style>
  <w:style w:type="character" w:customStyle="1" w:styleId="194">
    <w:name w:val="标题 2 字符"/>
    <w:link w:val="185"/>
    <w:qFormat/>
    <w:uiPriority w:val="1"/>
    <w:rPr>
      <w:rFonts w:ascii="等线 Light" w:hAnsi="等线 Light" w:eastAsia="等线 Light" w:cs="Times New Roman"/>
      <w:b/>
      <w:bCs/>
      <w:sz w:val="32"/>
      <w:szCs w:val="32"/>
    </w:rPr>
  </w:style>
  <w:style w:type="character" w:customStyle="1" w:styleId="195">
    <w:name w:val="标题 3 字符"/>
    <w:link w:val="186"/>
    <w:uiPriority w:val="9"/>
    <w:rPr>
      <w:rFonts w:ascii="等线" w:hAnsi="等线" w:eastAsia="等线"/>
      <w:b/>
      <w:bCs/>
      <w:sz w:val="32"/>
      <w:szCs w:val="32"/>
    </w:rPr>
  </w:style>
  <w:style w:type="character" w:customStyle="1" w:styleId="196">
    <w:name w:val="标题 4 字符"/>
    <w:link w:val="187"/>
    <w:qFormat/>
    <w:uiPriority w:val="0"/>
    <w:rPr>
      <w:rFonts w:ascii="等线 Light" w:hAnsi="等线 Light" w:eastAsia="等线 Light" w:cs="Times New Roman"/>
      <w:b/>
      <w:bCs/>
      <w:sz w:val="28"/>
      <w:szCs w:val="28"/>
    </w:rPr>
  </w:style>
  <w:style w:type="character" w:customStyle="1" w:styleId="197">
    <w:name w:val="标题 5 字符"/>
    <w:link w:val="188"/>
    <w:uiPriority w:val="9"/>
    <w:rPr>
      <w:rFonts w:ascii="等线" w:hAnsi="等线" w:eastAsia="等线"/>
      <w:b/>
      <w:bCs/>
      <w:sz w:val="28"/>
      <w:szCs w:val="28"/>
    </w:rPr>
  </w:style>
  <w:style w:type="character" w:customStyle="1" w:styleId="198">
    <w:name w:val="标题 6 字符"/>
    <w:link w:val="189"/>
    <w:uiPriority w:val="9"/>
    <w:rPr>
      <w:rFonts w:ascii="等线 Light" w:hAnsi="等线 Light" w:eastAsia="等线 Light" w:cs="Times New Roman"/>
      <w:b/>
      <w:bCs/>
      <w:sz w:val="24"/>
      <w:szCs w:val="24"/>
    </w:rPr>
  </w:style>
  <w:style w:type="character" w:customStyle="1" w:styleId="199">
    <w:name w:val="标题 7 字符"/>
    <w:link w:val="190"/>
    <w:uiPriority w:val="9"/>
    <w:rPr>
      <w:rFonts w:ascii="等线" w:hAnsi="等线" w:eastAsia="等线"/>
      <w:b/>
      <w:bCs/>
      <w:sz w:val="24"/>
      <w:szCs w:val="24"/>
    </w:rPr>
  </w:style>
  <w:style w:type="paragraph" w:customStyle="1" w:styleId="200">
    <w:name w:val="目录 71"/>
    <w:basedOn w:val="1"/>
    <w:next w:val="1"/>
    <w:unhideWhenUsed/>
    <w:qFormat/>
    <w:uiPriority w:val="39"/>
    <w:pPr>
      <w:ind w:left="2520"/>
    </w:pPr>
  </w:style>
  <w:style w:type="paragraph" w:customStyle="1" w:styleId="201">
    <w:name w:val="题注1"/>
    <w:basedOn w:val="1"/>
    <w:next w:val="1"/>
    <w:qFormat/>
    <w:uiPriority w:val="0"/>
    <w:rPr>
      <w:rFonts w:ascii="等线 Light" w:hAnsi="等线 Light" w:eastAsia="黑体" w:cs="Times New Roman"/>
      <w:sz w:val="20"/>
      <w:szCs w:val="20"/>
    </w:rPr>
  </w:style>
  <w:style w:type="paragraph" w:customStyle="1" w:styleId="202">
    <w:name w:val="批注文字1"/>
    <w:basedOn w:val="1"/>
    <w:link w:val="203"/>
    <w:unhideWhenUsed/>
    <w:qFormat/>
    <w:uiPriority w:val="99"/>
    <w:pPr>
      <w:jc w:val="left"/>
    </w:pPr>
  </w:style>
  <w:style w:type="character" w:customStyle="1" w:styleId="203">
    <w:name w:val="批注文字 字符"/>
    <w:link w:val="202"/>
    <w:qFormat/>
    <w:uiPriority w:val="99"/>
    <w:rPr>
      <w:rFonts w:ascii="等线" w:hAnsi="等线" w:eastAsia="等线" w:cs="Times New Roman"/>
      <w:sz w:val="21"/>
      <w:szCs w:val="22"/>
    </w:rPr>
  </w:style>
  <w:style w:type="paragraph" w:customStyle="1" w:styleId="204">
    <w:name w:val="正文文本1"/>
    <w:basedOn w:val="1"/>
    <w:link w:val="205"/>
    <w:unhideWhenUsed/>
    <w:qFormat/>
    <w:uiPriority w:val="99"/>
    <w:pPr>
      <w:spacing w:after="120"/>
    </w:pPr>
  </w:style>
  <w:style w:type="character" w:customStyle="1" w:styleId="205">
    <w:name w:val="正文文本 字符"/>
    <w:link w:val="204"/>
    <w:semiHidden/>
    <w:qFormat/>
    <w:uiPriority w:val="99"/>
  </w:style>
  <w:style w:type="paragraph" w:customStyle="1" w:styleId="206">
    <w:name w:val="目录 51"/>
    <w:basedOn w:val="1"/>
    <w:next w:val="1"/>
    <w:unhideWhenUsed/>
    <w:qFormat/>
    <w:uiPriority w:val="39"/>
    <w:pPr>
      <w:ind w:left="1680"/>
    </w:pPr>
  </w:style>
  <w:style w:type="paragraph" w:customStyle="1" w:styleId="207">
    <w:name w:val="目录 31"/>
    <w:basedOn w:val="1"/>
    <w:next w:val="1"/>
    <w:unhideWhenUsed/>
    <w:qFormat/>
    <w:uiPriority w:val="39"/>
    <w:pPr>
      <w:ind w:left="840"/>
    </w:pPr>
  </w:style>
  <w:style w:type="paragraph" w:customStyle="1" w:styleId="208">
    <w:name w:val="目录 81"/>
    <w:basedOn w:val="1"/>
    <w:next w:val="1"/>
    <w:unhideWhenUsed/>
    <w:qFormat/>
    <w:uiPriority w:val="39"/>
    <w:pPr>
      <w:ind w:left="2940"/>
    </w:pPr>
  </w:style>
  <w:style w:type="paragraph" w:customStyle="1" w:styleId="209">
    <w:name w:val="页脚1"/>
    <w:basedOn w:val="1"/>
    <w:link w:val="210"/>
    <w:qFormat/>
    <w:uiPriority w:val="99"/>
    <w:pPr>
      <w:tabs>
        <w:tab w:val="center" w:pos="4153"/>
        <w:tab w:val="right" w:pos="8306"/>
      </w:tabs>
      <w:jc w:val="left"/>
    </w:pPr>
    <w:rPr>
      <w:rFonts w:ascii="Tahoma" w:hAnsi="Tahoma" w:eastAsia="宋体" w:cs="Times New Roman"/>
      <w:sz w:val="18"/>
      <w:szCs w:val="18"/>
    </w:rPr>
  </w:style>
  <w:style w:type="character" w:customStyle="1" w:styleId="210">
    <w:name w:val="页脚 字符"/>
    <w:link w:val="209"/>
    <w:qFormat/>
    <w:uiPriority w:val="99"/>
    <w:rPr>
      <w:rFonts w:ascii="Tahoma" w:hAnsi="Tahoma" w:eastAsia="宋体" w:cs="Times New Roman"/>
      <w:sz w:val="18"/>
      <w:szCs w:val="18"/>
    </w:rPr>
  </w:style>
  <w:style w:type="paragraph" w:customStyle="1" w:styleId="211">
    <w:name w:val="页眉1"/>
    <w:basedOn w:val="1"/>
    <w:next w:val="1"/>
    <w:link w:val="212"/>
    <w:qFormat/>
    <w:uiPriority w:val="99"/>
    <w:pPr>
      <w:pBdr>
        <w:bottom w:val="single" w:color="000000" w:sz="6" w:space="1"/>
      </w:pBdr>
      <w:tabs>
        <w:tab w:val="center" w:pos="4153"/>
        <w:tab w:val="right" w:pos="8306"/>
      </w:tabs>
      <w:jc w:val="center"/>
    </w:pPr>
    <w:rPr>
      <w:rFonts w:ascii="Tahoma" w:hAnsi="Tahoma" w:eastAsia="宋体" w:cs="Times New Roman"/>
      <w:sz w:val="18"/>
      <w:szCs w:val="18"/>
    </w:rPr>
  </w:style>
  <w:style w:type="character" w:customStyle="1" w:styleId="212">
    <w:name w:val="页眉 字符"/>
    <w:link w:val="211"/>
    <w:qFormat/>
    <w:uiPriority w:val="99"/>
    <w:rPr>
      <w:rFonts w:ascii="Tahoma" w:hAnsi="Tahoma" w:eastAsia="宋体" w:cs="Times New Roman"/>
      <w:sz w:val="18"/>
      <w:szCs w:val="18"/>
    </w:rPr>
  </w:style>
  <w:style w:type="paragraph" w:customStyle="1" w:styleId="213">
    <w:name w:val="目录 11"/>
    <w:basedOn w:val="1"/>
    <w:next w:val="1"/>
    <w:unhideWhenUsed/>
    <w:qFormat/>
    <w:uiPriority w:val="39"/>
  </w:style>
  <w:style w:type="paragraph" w:customStyle="1" w:styleId="214">
    <w:name w:val="目录 41"/>
    <w:basedOn w:val="1"/>
    <w:next w:val="1"/>
    <w:unhideWhenUsed/>
    <w:qFormat/>
    <w:uiPriority w:val="39"/>
    <w:pPr>
      <w:ind w:left="1260"/>
    </w:pPr>
  </w:style>
  <w:style w:type="paragraph" w:customStyle="1" w:styleId="215">
    <w:name w:val="目录 61"/>
    <w:basedOn w:val="1"/>
    <w:next w:val="1"/>
    <w:unhideWhenUsed/>
    <w:qFormat/>
    <w:uiPriority w:val="39"/>
    <w:pPr>
      <w:ind w:left="2100"/>
    </w:pPr>
  </w:style>
  <w:style w:type="paragraph" w:customStyle="1" w:styleId="216">
    <w:name w:val="目录 21"/>
    <w:basedOn w:val="1"/>
    <w:next w:val="1"/>
    <w:unhideWhenUsed/>
    <w:qFormat/>
    <w:uiPriority w:val="39"/>
    <w:pPr>
      <w:ind w:left="420"/>
    </w:pPr>
  </w:style>
  <w:style w:type="paragraph" w:customStyle="1" w:styleId="217">
    <w:name w:val="目录 91"/>
    <w:basedOn w:val="1"/>
    <w:next w:val="1"/>
    <w:unhideWhenUsed/>
    <w:qFormat/>
    <w:uiPriority w:val="39"/>
    <w:pPr>
      <w:ind w:left="3360"/>
    </w:pPr>
  </w:style>
  <w:style w:type="paragraph" w:customStyle="1" w:styleId="218">
    <w:name w:val="普通(网站)1"/>
    <w:basedOn w:val="1"/>
    <w:unhideWhenUsed/>
    <w:qFormat/>
    <w:uiPriority w:val="99"/>
    <w:pPr>
      <w:spacing w:beforeAutospacing="1" w:afterAutospacing="1"/>
      <w:jc w:val="left"/>
    </w:pPr>
    <w:rPr>
      <w:rFonts w:cs="Times New Roman"/>
      <w:sz w:val="24"/>
    </w:rPr>
  </w:style>
  <w:style w:type="paragraph" w:customStyle="1" w:styleId="219">
    <w:name w:val="批注主题1"/>
    <w:basedOn w:val="202"/>
    <w:next w:val="202"/>
    <w:link w:val="220"/>
    <w:unhideWhenUsed/>
    <w:qFormat/>
    <w:uiPriority w:val="99"/>
    <w:rPr>
      <w:b/>
      <w:bCs/>
    </w:rPr>
  </w:style>
  <w:style w:type="character" w:customStyle="1" w:styleId="220">
    <w:name w:val="批注主题 字符"/>
    <w:link w:val="219"/>
    <w:semiHidden/>
    <w:qFormat/>
    <w:uiPriority w:val="99"/>
    <w:rPr>
      <w:rFonts w:ascii="等线" w:hAnsi="等线" w:eastAsia="等线" w:cs="Times New Roman"/>
      <w:b/>
      <w:bCs/>
      <w:sz w:val="21"/>
      <w:szCs w:val="22"/>
    </w:rPr>
  </w:style>
  <w:style w:type="table" w:customStyle="1" w:styleId="221">
    <w:name w:val="网格型11"/>
    <w:basedOn w:val="192"/>
    <w:unhideWhenUsed/>
    <w:qFormat/>
    <w:uiPriority w:val="39"/>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222">
    <w:name w:val="要点1"/>
    <w:link w:val="1"/>
    <w:qFormat/>
    <w:uiPriority w:val="22"/>
    <w:rPr>
      <w:b/>
    </w:rPr>
  </w:style>
  <w:style w:type="character" w:customStyle="1" w:styleId="223">
    <w:name w:val="超链接1"/>
    <w:link w:val="1"/>
    <w:unhideWhenUsed/>
    <w:qFormat/>
    <w:uiPriority w:val="99"/>
    <w:rPr>
      <w:color w:val="0563C1"/>
      <w:u w:val="single"/>
    </w:rPr>
  </w:style>
  <w:style w:type="character" w:customStyle="1" w:styleId="224">
    <w:name w:val="批注引用1"/>
    <w:link w:val="1"/>
    <w:unhideWhenUsed/>
    <w:qFormat/>
    <w:uiPriority w:val="99"/>
    <w:rPr>
      <w:sz w:val="21"/>
      <w:szCs w:val="21"/>
    </w:rPr>
  </w:style>
  <w:style w:type="paragraph" w:customStyle="1" w:styleId="225">
    <w:name w:val="列表段落"/>
    <w:basedOn w:val="1"/>
    <w:qFormat/>
    <w:uiPriority w:val="34"/>
    <w:pPr>
      <w:ind w:firstLine="420"/>
    </w:pPr>
  </w:style>
  <w:style w:type="table" w:customStyle="1" w:styleId="226">
    <w:name w:val="网格型2"/>
    <w:basedOn w:val="192"/>
    <w:qFormat/>
    <w:uiPriority w:val="99"/>
    <w:pPr>
      <w:widowControl w:val="0"/>
      <w:jc w:val="both"/>
    </w:pP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227">
    <w:name w:val="font21"/>
    <w:link w:val="1"/>
    <w:qFormat/>
    <w:uiPriority w:val="0"/>
    <w:rPr>
      <w:rFonts w:hint="eastAsia" w:ascii="宋体" w:hAnsi="宋体" w:eastAsia="宋体" w:cs="宋体"/>
      <w:color w:val="000000"/>
      <w:sz w:val="22"/>
      <w:szCs w:val="22"/>
      <w:u w:val="none"/>
    </w:rPr>
  </w:style>
  <w:style w:type="character" w:customStyle="1" w:styleId="228">
    <w:name w:val="font41"/>
    <w:link w:val="1"/>
    <w:qFormat/>
    <w:uiPriority w:val="0"/>
    <w:rPr>
      <w:rFonts w:hint="eastAsia" w:ascii="宋体" w:hAnsi="宋体" w:eastAsia="宋体" w:cs="宋体"/>
      <w:color w:val="000000"/>
      <w:sz w:val="20"/>
      <w:szCs w:val="20"/>
      <w:u w:val="none"/>
    </w:rPr>
  </w:style>
  <w:style w:type="paragraph" w:customStyle="1" w:styleId="229">
    <w:name w:val="TOC 标题1"/>
    <w:basedOn w:val="184"/>
    <w:next w:val="1"/>
    <w:unhideWhenUsed/>
    <w:qFormat/>
    <w:uiPriority w:val="39"/>
    <w:pPr>
      <w:widowControl/>
      <w:spacing w:before="240" w:after="0" w:line="259" w:lineRule="auto"/>
      <w:jc w:val="left"/>
      <w:outlineLvl w:val="9"/>
    </w:pPr>
    <w:rPr>
      <w:rFonts w:ascii="等线 Light" w:hAnsi="等线 Light" w:eastAsia="等线 Light" w:cs="Times New Roman"/>
      <w:b w:val="0"/>
      <w:bCs w:val="0"/>
      <w:color w:val="2F5496"/>
      <w:sz w:val="32"/>
      <w:szCs w:val="32"/>
    </w:rPr>
  </w:style>
  <w:style w:type="character" w:customStyle="1" w:styleId="230">
    <w:name w:val="未处理的提及1"/>
    <w:link w:val="1"/>
    <w:unhideWhenUsed/>
    <w:qFormat/>
    <w:uiPriority w:val="99"/>
    <w:rPr>
      <w:color w:val="605E5C"/>
      <w:shd w:val="clear" w:color="auto" w:fill="E1DFDD"/>
    </w:rPr>
  </w:style>
  <w:style w:type="paragraph" w:customStyle="1" w:styleId="231">
    <w:name w:val="本文正文"/>
    <w:basedOn w:val="1"/>
    <w:qFormat/>
    <w:uiPriority w:val="0"/>
    <w:pPr>
      <w:spacing w:line="360" w:lineRule="auto"/>
      <w:ind w:firstLine="560"/>
    </w:pPr>
    <w:rPr>
      <w:rFonts w:ascii="Calibri" w:hAnsi="Calibri" w:eastAsia="宋体" w:cs="Times New Roman"/>
      <w:sz w:val="28"/>
    </w:rPr>
  </w:style>
  <w:style w:type="character" w:customStyle="1" w:styleId="232">
    <w:name w:val="未处理的提及2"/>
    <w:link w:val="1"/>
    <w:unhideWhenUsed/>
    <w:qFormat/>
    <w:uiPriority w:val="99"/>
    <w:rPr>
      <w:color w:val="605E5C"/>
      <w:shd w:val="clear" w:color="auto" w:fill="E1DFDD"/>
    </w:rPr>
  </w:style>
  <w:style w:type="paragraph" w:customStyle="1" w:styleId="233">
    <w:name w:val="TOC 标题2"/>
    <w:basedOn w:val="184"/>
    <w:next w:val="1"/>
    <w:unhideWhenUsed/>
    <w:qFormat/>
    <w:uiPriority w:val="39"/>
    <w:pPr>
      <w:widowControl/>
      <w:spacing w:before="240" w:after="0" w:line="259" w:lineRule="auto"/>
      <w:jc w:val="left"/>
      <w:outlineLvl w:val="9"/>
    </w:pPr>
    <w:rPr>
      <w:rFonts w:ascii="等线 Light" w:hAnsi="等线 Light" w:eastAsia="等线 Light" w:cs="Times New Roman"/>
      <w:b w:val="0"/>
      <w:bCs w:val="0"/>
      <w:color w:val="2F5496"/>
      <w:sz w:val="32"/>
      <w:szCs w:val="32"/>
    </w:rPr>
  </w:style>
  <w:style w:type="character" w:customStyle="1" w:styleId="234">
    <w:name w:val="未处理的提及3"/>
    <w:link w:val="1"/>
    <w:unhideWhenUsed/>
    <w:qFormat/>
    <w:uiPriority w:val="99"/>
    <w:rPr>
      <w:color w:val="605E5C"/>
      <w:shd w:val="clear" w:color="auto" w:fill="E1DFDD"/>
    </w:rPr>
  </w:style>
  <w:style w:type="table" w:customStyle="1" w:styleId="235">
    <w:name w:val="网格型1"/>
    <w:basedOn w:val="192"/>
    <w:qFormat/>
    <w:uiPriority w:val="59"/>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236">
    <w:name w:val="未处理的提及4"/>
    <w:link w:val="1"/>
    <w:unhideWhenUsed/>
    <w:qFormat/>
    <w:uiPriority w:val="99"/>
    <w:rPr>
      <w:color w:val="605E5C"/>
      <w:shd w:val="clear" w:color="auto" w:fill="E1DFDD"/>
    </w:rPr>
  </w:style>
  <w:style w:type="paragraph" w:customStyle="1" w:styleId="237">
    <w:name w:val="表格"/>
    <w:basedOn w:val="1"/>
    <w:qFormat/>
    <w:uiPriority w:val="0"/>
    <w:pPr>
      <w:widowControl/>
    </w:pPr>
    <w:rPr>
      <w:rFonts w:ascii="仿宋_GB2312" w:hAnsi="仿宋_GB2312"/>
      <w:szCs w:val="21"/>
      <w:lang w:val="zh-CN"/>
    </w:rPr>
  </w:style>
  <w:style w:type="table" w:customStyle="1" w:styleId="238">
    <w:name w:val="网格型3"/>
    <w:basedOn w:val="192"/>
    <w:unhideWhenUsed/>
    <w:qFormat/>
    <w:uiPriority w:val="39"/>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paragraph" w:customStyle="1" w:styleId="239">
    <w:name w:val="修订"/>
    <w:unhideWhenUsed/>
    <w:uiPriority w:val="99"/>
    <w:rPr>
      <w:rFonts w:hint="default" w:ascii="等线" w:hAnsi="等线" w:eastAsia="等线" w:cs="Times New Roman"/>
      <w:sz w:val="21"/>
      <w:szCs w:val="22"/>
      <w:lang w:val="en-US" w:eastAsia="zh-CN" w:bidi="ar-SA"/>
    </w:rPr>
  </w:style>
  <w:style w:type="character" w:customStyle="1" w:styleId="240">
    <w:name w:val="未处理的提及"/>
    <w:link w:val="1"/>
    <w:unhideWhenUsed/>
    <w:uiPriority w:val="99"/>
    <w:rPr>
      <w:color w:val="605E5C"/>
      <w:shd w:val="clear" w:color="auto" w:fill="E1DFDD"/>
    </w:rPr>
  </w:style>
  <w:style w:type="paragraph" w:customStyle="1" w:styleId="241">
    <w:name w:val="western"/>
    <w:basedOn w:val="1"/>
    <w:uiPriority w:val="0"/>
    <w:pPr>
      <w:widowControl/>
      <w:spacing w:before="100" w:beforeAutospacing="1" w:after="100" w:afterAutospacing="1"/>
      <w:jc w:val="left"/>
    </w:pPr>
    <w:rPr>
      <w:rFonts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83</Pages>
  <Words>7003</Words>
  <Characters>7551</Characters>
  <TotalTime>0</TotalTime>
  <ScaleCrop>false</ScaleCrop>
  <LinksUpToDate>false</LinksUpToDate>
  <CharactersWithSpaces>7688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2022-11-06T13:07:00Z</dcterms:created>
  <dc:creator>庄 </dc:creator>
  <cp:lastModifiedBy>天才白癡夢</cp:lastModifiedBy>
  <dcterms:modified xsi:type="dcterms:W3CDTF">2025-03-12T09:08:04Z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eyJoZGlkIjoiNGVhZmE3YjFmNTRmMTE0MWE5NDVmOGExYjEyMzk1MGYiLCJ1c2VySWQiOiI3NTg2Mzg3MTkifQ==</vt:lpwstr>
  </property>
  <property fmtid="{D5CDD505-2E9C-101B-9397-08002B2CF9AE}" pid="3" name="KSOProductBuildVer">
    <vt:lpwstr>2052-12.1.0.20305</vt:lpwstr>
  </property>
  <property fmtid="{D5CDD505-2E9C-101B-9397-08002B2CF9AE}" pid="4" name="ICV">
    <vt:lpwstr>7C6A7FA3E1E04F8E8A7575558E8C4829_12</vt:lpwstr>
  </property>
</Properties>
</file>